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body>
    <w:p w:rsidR="007543B0" w:rsidRDefault="007543B0" w14:paraId="76A0A57C" w14:textId="77777777" w:rsidP="00A3727F" w:rsidRPr="007543B0">
      <w:pPr>
        <w:jc w:val="center"/>
        <w:spacing w:line="360" w:lineRule="auto"/>
        <w:rPr>
          <w:bCs/>
          <w:b/>
          <w:rFonts w:ascii="Arial" w:cs="Arial" w:hAnsi="Arial"/>
          <w:sz w:val="28"/>
          <w:szCs w:val="28"/>
        </w:rPr>
      </w:pPr>
      <w:r w:rsidRPr="007543B0">
        <w:rPr>
          <w:bCs/>
          <w:b/>
          <w:rFonts w:ascii="Arial" w:cs="Arial" w:hAnsi="Arial"/>
          <w:sz w:val="28"/>
          <w:szCs w:val="28"/>
        </w:rPr>
        <w:t>BMHP6026 – Component 1</w:t>
      </w:r>
    </w:p>
    <w:p w:rsidR="007543B0" w:rsidRDefault="007543B0" w14:paraId="0BF96AFB" w14:textId="77777777" w:rsidP="00A3727F" w:rsidRPr="007543B0">
      <w:pPr>
        <w:jc w:val="center"/>
        <w:spacing w:line="360" w:lineRule="auto"/>
        <w:rPr>
          <w:bCs/>
          <w:b/>
          <w:rFonts w:ascii="Arial" w:cs="Arial" w:hAnsi="Arial"/>
          <w:sz w:val="28"/>
          <w:szCs w:val="28"/>
        </w:rPr>
      </w:pPr>
      <w:r w:rsidRPr="007543B0">
        <w:rPr>
          <w:bCs/>
          <w:b/>
          <w:rFonts w:ascii="Arial" w:cs="Arial" w:hAnsi="Arial"/>
          <w:sz w:val="28"/>
          <w:szCs w:val="28"/>
        </w:rPr>
        <w:t>Critical Evaluation Report</w:t>
      </w:r>
    </w:p>
    <w:p w:rsidR="007543B0" w:rsidRDefault="007543B0" w14:paraId="7A89C611" w14:textId="52E0AC41" w:rsidP="00A3727F" w:rsidRPr="007543B0">
      <w:pPr>
        <w:jc w:val="center"/>
        <w:spacing w:line="360" w:lineRule="auto"/>
        <w:rPr>
          <w:bCs/>
          <w:b/>
          <w:rFonts w:ascii="Arial" w:cs="Arial" w:hAnsi="Arial"/>
          <w:sz w:val="28"/>
          <w:szCs w:val="28"/>
        </w:rPr>
      </w:pPr>
    </w:p>
    <w:p w:rsidR="007543B0" w:rsidRDefault="007543B0" w14:paraId="128084CC" w14:textId="77777777" w:rsidP="00A3727F" w:rsidRPr="007543B0">
      <w:pPr>
        <w:jc w:val="center"/>
        <w:spacing w:line="360" w:lineRule="auto"/>
        <w:rPr>
          <w:bCs/>
          <w:b/>
          <w:rFonts w:ascii="Arial" w:cs="Arial" w:hAnsi="Arial"/>
          <w:sz w:val="28"/>
          <w:szCs w:val="28"/>
        </w:rPr>
      </w:pPr>
      <w:r w:rsidRPr="007543B0">
        <w:rPr>
          <w:bCs/>
          <w:b/>
          <w:rFonts w:ascii="Arial" w:cs="Arial" w:hAnsi="Arial"/>
          <w:sz w:val="28"/>
          <w:szCs w:val="28"/>
        </w:rPr>
        <w:t>Title:</w:t>
      </w:r>
    </w:p>
    <w:p w:rsidR="007543B0" w:rsidRDefault="007543B0" w14:paraId="67733B15" w14:textId="77777777" w:rsidP="00A3727F" w:rsidRPr="007543B0">
      <w:pPr>
        <w:jc w:val="center"/>
        <w:spacing w:line="360" w:lineRule="auto"/>
        <w:rPr>
          <w:bCs/>
          <w:b/>
          <w:rFonts w:ascii="Arial" w:cs="Arial" w:hAnsi="Arial"/>
          <w:sz w:val="28"/>
          <w:szCs w:val="28"/>
        </w:rPr>
      </w:pPr>
      <w:r w:rsidRPr="007543B0">
        <w:rPr>
          <w:bCs/>
          <w:b/>
          <w:rFonts w:ascii="Arial" w:cs="Arial" w:hAnsi="Arial"/>
          <w:sz w:val="28"/>
          <w:szCs w:val="28"/>
        </w:rPr>
        <w:t>A Critical Evaluation of the NHS App as a Digital Innovation in UK Health Care</w:t>
      </w:r>
    </w:p>
    <w:p w:rsidR="007543B0" w:rsidRDefault="007543B0" w14:paraId="4AAE7E94" w14:textId="103D2224" w:rsidP="00A3727F" w:rsidRPr="007543B0">
      <w:pPr>
        <w:jc w:val="center"/>
        <w:spacing w:line="360" w:lineRule="auto"/>
        <w:rPr>
          <w:bCs/>
          <w:b/>
          <w:rFonts w:ascii="Arial" w:cs="Arial" w:hAnsi="Arial"/>
          <w:sz w:val="28"/>
          <w:szCs w:val="28"/>
        </w:rPr>
      </w:pPr>
    </w:p>
    <w:p w:rsidR="007543B0" w:rsidRDefault="007543B0" w14:paraId="233AC776" w14:textId="486DFA0F" w:rsidP="00A3727F" w:rsidRPr="007543B0">
      <w:pPr>
        <w:jc w:val="center"/>
        <w:spacing w:line="360" w:lineRule="auto"/>
        <w:rPr>
          <w:bCs/>
          <w:b/>
          <w:rFonts w:ascii="Arial" w:cs="Arial" w:hAnsi="Arial"/>
          <w:sz w:val="28"/>
          <w:szCs w:val="28"/>
        </w:rPr>
      </w:pPr>
      <w:r w:rsidRPr="007543B0">
        <w:rPr>
          <w:bCs/>
          <w:b/>
          <w:rFonts w:ascii="Arial" w:cs="Arial" w:hAnsi="Arial"/>
          <w:sz w:val="28"/>
          <w:szCs w:val="28"/>
        </w:rPr>
        <w:t>Student Name: Catalina-Gabriela Poghirc</w:t>
      </w:r>
      <w:r>
        <w:rPr>
          <w:b/>
          <w:rFonts w:ascii="Arial" w:cs="Arial" w:hAnsi="Arial"/>
          <w:sz w:val="28"/>
          <w:szCs w:val="28"/>
        </w:rPr>
        <w:br/>
      </w:r>
      <w:r>
        <w:rPr>
          <w:b/>
          <w:rFonts w:ascii="Arial" w:cs="Arial" w:hAnsi="Arial"/>
          <w:sz w:val="28"/>
          <w:szCs w:val="28"/>
        </w:rPr>
        <w:t>Student ID: 2321806</w:t>
      </w:r>
      <w:r>
        <w:rPr>
          <w:b/>
          <w:rFonts w:ascii="Arial" w:cs="Arial" w:hAnsi="Arial"/>
          <w:sz w:val="28"/>
          <w:szCs w:val="28"/>
        </w:rPr>
        <w:br/>
      </w:r>
      <w:r>
        <w:rPr>
          <w:b/>
          <w:rFonts w:ascii="Arial" w:cs="Arial" w:hAnsi="Arial"/>
          <w:sz w:val="28"/>
          <w:szCs w:val="28"/>
        </w:rPr>
        <w:t>Module Code: BMHP6026</w:t>
      </w:r>
      <w:r>
        <w:rPr>
          <w:b/>
          <w:rFonts w:ascii="Arial" w:cs="Arial" w:hAnsi="Arial"/>
          <w:sz w:val="28"/>
          <w:szCs w:val="28"/>
        </w:rPr>
        <w:br/>
      </w:r>
      <w:r>
        <w:rPr>
          <w:b/>
          <w:rFonts w:ascii="Arial" w:cs="Arial" w:hAnsi="Arial"/>
          <w:sz w:val="28"/>
          <w:szCs w:val="28"/>
        </w:rPr>
        <w:br/>
      </w:r>
      <w:r>
        <w:rPr>
          <w:b/>
          <w:rFonts w:ascii="Arial" w:cs="Arial" w:hAnsi="Arial"/>
          <w:sz w:val="28"/>
          <w:szCs w:val="28"/>
        </w:rPr>
        <w:t>Submission Date: 1 March</w:t>
      </w:r>
      <w:r>
        <w:rPr>
          <w:b/>
          <w:rFonts w:ascii="Arial" w:cs="Arial" w:hAnsi="Arial"/>
          <w:sz w:val="28"/>
          <w:szCs w:val="28"/>
        </w:rPr>
        <w:br/>
      </w:r>
      <w:r>
        <w:rPr>
          <w:b/>
          <w:rFonts w:ascii="Arial" w:cs="Arial" w:hAnsi="Arial"/>
          <w:sz w:val="28"/>
          <w:szCs w:val="28"/>
        </w:rPr>
        <w:t>Tutor: Martin Svejda</w:t>
      </w:r>
      <w:r>
        <w:rPr>
          <w:b/>
          <w:rFonts w:ascii="Arial" w:cs="Arial" w:hAnsi="Arial"/>
          <w:sz w:val="28"/>
          <w:szCs w:val="28"/>
        </w:rPr>
        <w:br/>
      </w:r>
      <w:r>
        <w:rPr>
          <w:b/>
          <w:rFonts w:ascii="Arial" w:cs="Arial" w:hAnsi="Arial"/>
          <w:sz w:val="28"/>
          <w:szCs w:val="28"/>
        </w:rPr>
        <w:t>University: University of Wales Trinity Saint David</w:t>
      </w:r>
    </w:p>
    <w:p w:rsidR="006A6A4C" w:rsidRDefault="006A6A4C" w14:paraId="2EEAB22A" w14:textId="77777777" w:rsidP="00A3727F" w:rsidRPr="00A3727F">
      <w:pPr>
        <w:jc w:val="both"/>
        <w:spacing w:line="360" w:lineRule="auto"/>
        <w:rPr>
          <w:rFonts w:ascii="Arial" w:cs="Arial" w:hAnsi="Arial"/>
          <w:sz w:val="22"/>
          <w:szCs w:val="22"/>
        </w:rPr>
      </w:pPr>
    </w:p>
    <w:p w:rsidR="00F621FB" w:rsidRDefault="00F621FB" w14:paraId="3AAC6414" w14:textId="77777777" w:rsidP="00A3727F" w:rsidRPr="00A3727F">
      <w:pPr>
        <w:jc w:val="both"/>
        <w:spacing w:line="360" w:lineRule="auto"/>
        <w:rPr>
          <w:rFonts w:ascii="Arial" w:cs="Arial" w:hAnsi="Arial"/>
          <w:sz w:val="22"/>
          <w:szCs w:val="22"/>
        </w:rPr>
      </w:pPr>
    </w:p>
    <w:p w:rsidR="00F621FB" w:rsidRDefault="00F621FB" w14:paraId="397721AD" w14:textId="77777777" w:rsidP="00A3727F" w:rsidRPr="00A3727F">
      <w:pPr>
        <w:jc w:val="both"/>
        <w:spacing w:line="360" w:lineRule="auto"/>
        <w:rPr>
          <w:rFonts w:ascii="Arial" w:cs="Arial" w:hAnsi="Arial"/>
          <w:sz w:val="22"/>
          <w:szCs w:val="22"/>
        </w:rPr>
      </w:pPr>
    </w:p>
    <w:p w:rsidR="00F621FB" w:rsidRDefault="00F621FB" w14:paraId="69C3A867" w14:textId="77777777" w:rsidP="00A3727F" w:rsidRPr="00A3727F">
      <w:pPr>
        <w:jc w:val="both"/>
        <w:spacing w:line="360" w:lineRule="auto"/>
        <w:rPr>
          <w:rFonts w:ascii="Arial" w:cs="Arial" w:hAnsi="Arial"/>
          <w:sz w:val="22"/>
          <w:szCs w:val="22"/>
        </w:rPr>
      </w:pPr>
    </w:p>
    <w:p w:rsidR="00F621FB" w:rsidRDefault="00F621FB" w14:paraId="02ED3CB0" w14:textId="77777777" w:rsidP="00A3727F" w:rsidRPr="00A3727F">
      <w:pPr>
        <w:jc w:val="both"/>
        <w:spacing w:line="360" w:lineRule="auto"/>
        <w:rPr>
          <w:rFonts w:ascii="Arial" w:cs="Arial" w:hAnsi="Arial"/>
          <w:sz w:val="22"/>
          <w:szCs w:val="22"/>
        </w:rPr>
      </w:pPr>
    </w:p>
    <w:p w:rsidR="00F621FB" w:rsidRDefault="00F621FB" w14:paraId="79F5DF96" w14:textId="77777777" w:rsidP="00A3727F" w:rsidRPr="00A3727F">
      <w:pPr>
        <w:jc w:val="both"/>
        <w:spacing w:line="360" w:lineRule="auto"/>
        <w:rPr>
          <w:rFonts w:ascii="Arial" w:cs="Arial" w:hAnsi="Arial"/>
          <w:sz w:val="22"/>
          <w:szCs w:val="22"/>
        </w:rPr>
      </w:pPr>
    </w:p>
    <w:p w:rsidR="00F621FB" w:rsidRDefault="00F621FB" w14:paraId="615D83DC" w14:textId="77777777" w:rsidP="00A3727F" w:rsidRPr="00A3727F">
      <w:pPr>
        <w:jc w:val="both"/>
        <w:spacing w:line="360" w:lineRule="auto"/>
        <w:rPr>
          <w:rFonts w:ascii="Arial" w:cs="Arial" w:hAnsi="Arial"/>
          <w:sz w:val="22"/>
          <w:szCs w:val="22"/>
        </w:rPr>
      </w:pPr>
    </w:p>
    <w:p w:rsidR="00F621FB" w:rsidRDefault="00F621FB" w14:paraId="05953D5D" w14:textId="77777777" w:rsidP="00A3727F" w:rsidRPr="00A3727F">
      <w:pPr>
        <w:jc w:val="both"/>
        <w:spacing w:line="360" w:lineRule="auto"/>
        <w:rPr>
          <w:rFonts w:ascii="Arial" w:cs="Arial" w:hAnsi="Arial"/>
          <w:sz w:val="22"/>
          <w:szCs w:val="22"/>
        </w:rPr>
      </w:pPr>
    </w:p>
    <w:p w:rsidR="00F621FB" w:rsidRDefault="00F621FB" w14:paraId="7A3D62BE" w14:textId="77777777" w:rsidP="00A3727F" w:rsidRPr="00A3727F">
      <w:pPr>
        <w:jc w:val="both"/>
        <w:spacing w:line="360" w:lineRule="auto"/>
        <w:rPr>
          <w:rFonts w:ascii="Arial" w:cs="Arial" w:hAnsi="Arial"/>
          <w:sz w:val="22"/>
          <w:szCs w:val="22"/>
        </w:rPr>
      </w:pPr>
    </w:p>
    <w:sdt>
      <w:sdtPr>
        <w:id w:val="-2017833433"/>
        <w:docPartObj>
          <w:docPartGallery w:val="Table of Contents"/>
          <w:docPartUnique/>
        </w:docPartObj>
      </w:sdtPr>
      <w:sdtEndPr>
        <w:rPr>
          <w:rFonts w:asciiTheme="minorHAnsi" w:eastAsiaTheme="minorHAnsi" w:hAnsiTheme="minorHAnsi" w:cstheme="minorBidi"/>
          <w:b/>
          <w:bCs/>
          <w:noProof/>
          <w:color w:val="auto"/>
          <w:kern w:val="2"/>
          <w:sz w:val="24"/>
          <w:szCs w:val="24"/>
          <w14:ligatures w14:val="standardContextual"/>
        </w:rPr>
      </w:sdtEndPr>
      <w:sdtContent>
        <w:p w:rsidR="00D671ED" w:rsidRDefault="00D671ED" w14:paraId="649F81CF" w14:textId="55E6927A" w:rsidP="00D671ED">
          <w:pPr>
            <w:pStyle w:val="TOCHeading"/>
            <w:jc w:val="center"/>
          </w:pPr>
          <w:r>
            <w:t>Table of Contents</w:t>
          </w:r>
        </w:p>
        <w:p w:rsidR="00D671ED" w:rsidRDefault="00D671ED" w14:paraId="7F2CF723" w14:textId="77777777" w:rsidP="00D671ED" w:rsidRPr="00D671ED"/>
        <w:p w:rsidR="00D671ED" w:rsidRDefault="00D671ED" w14:paraId="0555AF85" w14:textId="54C50897">
          <w:pPr>
            <w:pStyle w:val="TOC1"/>
            <w:tabs>
              <w:tab w:val="right" w:leader="dot" w:pos="9350"/>
            </w:tabs>
            <w:rPr>
              <w:noProof/>
            </w:rPr>
          </w:pPr>
          <w:r>
            <w:fldChar w:fldCharType="begin"/>
          </w:r>
          <w:r>
            <w:instrText xml:space="preserve"> TOC \o "1-3" \h \z \u </w:instrText>
          </w:r>
          <w:r>
            <w:fldChar w:fldCharType="separate"/>
          </w:r>
          <w:hyperlink w:anchor="_Toc222393407" w:history="1">
            <w:r w:rsidRPr="00D25B81">
              <w:rPr>
                <w:bCs/>
                <w:noProof/>
                <w:rStyle w:val="Hyperlink"/>
                <w:b/>
              </w:rPr>
              <w:t>Critical Evaluation of the NHS App as a Digital Innovation in UK Health Care</w:t>
            </w:r>
            <w:r>
              <w:rPr>
                <w:noProof/>
                <w:webHidden/>
              </w:rPr>
              <w:tab/>
            </w:r>
            <w:r>
              <w:rPr>
                <w:noProof/>
                <w:webHidden/>
              </w:rPr>
              <w:fldChar w:fldCharType="begin"/>
            </w:r>
            <w:r>
              <w:rPr>
                <w:noProof/>
                <w:webHidden/>
              </w:rPr>
              <w:instrText xml:space="preserve"> PAGEREF _Toc222393407 \h </w:instrText>
            </w:r>
            <w:r>
              <w:rPr>
                <w:noProof/>
                <w:webHidden/>
              </w:rPr>
            </w:r>
            <w:r>
              <w:rPr>
                <w:noProof/>
                <w:webHidden/>
              </w:rPr>
              <w:fldChar w:fldCharType="separate"/>
            </w:r>
            <w:r>
              <w:rPr>
                <w:noProof/>
                <w:webHidden/>
              </w:rPr>
              <w:t>2</w:t>
            </w:r>
            <w:r>
              <w:rPr>
                <w:noProof/>
                <w:webHidden/>
              </w:rPr>
              <w:fldChar w:fldCharType="end"/>
            </w:r>
          </w:hyperlink>
        </w:p>
        <w:p w:rsidR="00D671ED" w:rsidRDefault="00D671ED" w14:paraId="433B352B" w14:textId="3882DB2F">
          <w:pPr>
            <w:pStyle w:val="TOC2"/>
            <w:tabs>
              <w:tab w:val="right" w:leader="dot" w:pos="9350"/>
            </w:tabs>
            <w:rPr>
              <w:noProof/>
            </w:rPr>
          </w:pPr>
          <w:hyperlink w:anchor="_Toc222393408" w:history="1">
            <w:r w:rsidRPr="00D25B81">
              <w:rPr>
                <w:noProof/>
                <w:rStyle w:val="Hyperlink"/>
              </w:rPr>
              <w:t>Introduction</w:t>
            </w:r>
            <w:r>
              <w:rPr>
                <w:noProof/>
                <w:webHidden/>
              </w:rPr>
              <w:tab/>
            </w:r>
            <w:r>
              <w:rPr>
                <w:noProof/>
                <w:webHidden/>
              </w:rPr>
              <w:fldChar w:fldCharType="begin"/>
            </w:r>
            <w:r>
              <w:rPr>
                <w:noProof/>
                <w:webHidden/>
              </w:rPr>
              <w:instrText xml:space="preserve"> PAGEREF _Toc222393408 \h </w:instrText>
            </w:r>
            <w:r>
              <w:rPr>
                <w:noProof/>
                <w:webHidden/>
              </w:rPr>
            </w:r>
            <w:r>
              <w:rPr>
                <w:noProof/>
                <w:webHidden/>
              </w:rPr>
              <w:fldChar w:fldCharType="separate"/>
            </w:r>
            <w:r>
              <w:rPr>
                <w:noProof/>
                <w:webHidden/>
              </w:rPr>
              <w:t>2</w:t>
            </w:r>
            <w:r>
              <w:rPr>
                <w:noProof/>
                <w:webHidden/>
              </w:rPr>
              <w:fldChar w:fldCharType="end"/>
            </w:r>
          </w:hyperlink>
        </w:p>
        <w:p w:rsidR="00D671ED" w:rsidRDefault="00D671ED" w14:paraId="517380C5" w14:textId="40F4549E">
          <w:pPr>
            <w:pStyle w:val="TOC2"/>
            <w:tabs>
              <w:tab w:val="right" w:leader="dot" w:pos="9350"/>
            </w:tabs>
            <w:rPr>
              <w:noProof/>
            </w:rPr>
          </w:pPr>
          <w:hyperlink w:anchor="_Toc222393409" w:history="1">
            <w:r w:rsidRPr="00D25B81">
              <w:rPr>
                <w:noProof/>
                <w:rStyle w:val="Hyperlink"/>
              </w:rPr>
              <w:t>Impact on Workforce</w:t>
            </w:r>
            <w:r>
              <w:rPr>
                <w:noProof/>
                <w:webHidden/>
              </w:rPr>
              <w:tab/>
            </w:r>
            <w:r>
              <w:rPr>
                <w:noProof/>
                <w:webHidden/>
              </w:rPr>
              <w:fldChar w:fldCharType="begin"/>
            </w:r>
            <w:r>
              <w:rPr>
                <w:noProof/>
                <w:webHidden/>
              </w:rPr>
              <w:instrText xml:space="preserve"> PAGEREF _Toc222393409 \h </w:instrText>
            </w:r>
            <w:r>
              <w:rPr>
                <w:noProof/>
                <w:webHidden/>
              </w:rPr>
            </w:r>
            <w:r>
              <w:rPr>
                <w:noProof/>
                <w:webHidden/>
              </w:rPr>
              <w:fldChar w:fldCharType="separate"/>
            </w:r>
            <w:r>
              <w:rPr>
                <w:noProof/>
                <w:webHidden/>
              </w:rPr>
              <w:t>2</w:t>
            </w:r>
            <w:r>
              <w:rPr>
                <w:noProof/>
                <w:webHidden/>
              </w:rPr>
              <w:fldChar w:fldCharType="end"/>
            </w:r>
          </w:hyperlink>
        </w:p>
        <w:p w:rsidR="00D671ED" w:rsidRDefault="00D671ED" w14:paraId="571FF0B6" w14:textId="6F3F4BD9">
          <w:pPr>
            <w:pStyle w:val="TOC2"/>
            <w:tabs>
              <w:tab w:val="right" w:leader="dot" w:pos="9350"/>
            </w:tabs>
            <w:rPr>
              <w:noProof/>
            </w:rPr>
          </w:pPr>
          <w:hyperlink w:anchor="_Toc222393410" w:history="1">
            <w:r w:rsidRPr="00D25B81">
              <w:rPr>
                <w:noProof/>
                <w:rStyle w:val="Hyperlink"/>
              </w:rPr>
              <w:t>Impact on Service Delivery</w:t>
            </w:r>
            <w:r>
              <w:rPr>
                <w:noProof/>
                <w:webHidden/>
              </w:rPr>
              <w:tab/>
            </w:r>
            <w:r>
              <w:rPr>
                <w:noProof/>
                <w:webHidden/>
              </w:rPr>
              <w:fldChar w:fldCharType="begin"/>
            </w:r>
            <w:r>
              <w:rPr>
                <w:noProof/>
                <w:webHidden/>
              </w:rPr>
              <w:instrText xml:space="preserve"> PAGEREF _Toc222393410 \h </w:instrText>
            </w:r>
            <w:r>
              <w:rPr>
                <w:noProof/>
                <w:webHidden/>
              </w:rPr>
            </w:r>
            <w:r>
              <w:rPr>
                <w:noProof/>
                <w:webHidden/>
              </w:rPr>
              <w:fldChar w:fldCharType="separate"/>
            </w:r>
            <w:r>
              <w:rPr>
                <w:noProof/>
                <w:webHidden/>
              </w:rPr>
              <w:t>4</w:t>
            </w:r>
            <w:r>
              <w:rPr>
                <w:noProof/>
                <w:webHidden/>
              </w:rPr>
              <w:fldChar w:fldCharType="end"/>
            </w:r>
          </w:hyperlink>
        </w:p>
        <w:p w:rsidR="00D671ED" w:rsidRDefault="00D671ED" w14:paraId="7F626C93" w14:textId="450757C6">
          <w:pPr>
            <w:pStyle w:val="TOC2"/>
            <w:tabs>
              <w:tab w:val="right" w:leader="dot" w:pos="9350"/>
            </w:tabs>
            <w:rPr>
              <w:noProof/>
            </w:rPr>
          </w:pPr>
          <w:hyperlink w:anchor="_Toc222393411" w:history="1">
            <w:r w:rsidRPr="00D25B81">
              <w:rPr>
                <w:noProof/>
                <w:rStyle w:val="Hyperlink"/>
              </w:rPr>
              <w:t>Impact on Patients and Service Users</w:t>
            </w:r>
            <w:r>
              <w:rPr>
                <w:noProof/>
                <w:webHidden/>
              </w:rPr>
              <w:tab/>
            </w:r>
            <w:r>
              <w:rPr>
                <w:noProof/>
                <w:webHidden/>
              </w:rPr>
              <w:fldChar w:fldCharType="begin"/>
            </w:r>
            <w:r>
              <w:rPr>
                <w:noProof/>
                <w:webHidden/>
              </w:rPr>
              <w:instrText xml:space="preserve"> PAGEREF _Toc222393411 \h </w:instrText>
            </w:r>
            <w:r>
              <w:rPr>
                <w:noProof/>
                <w:webHidden/>
              </w:rPr>
            </w:r>
            <w:r>
              <w:rPr>
                <w:noProof/>
                <w:webHidden/>
              </w:rPr>
              <w:fldChar w:fldCharType="separate"/>
            </w:r>
            <w:r>
              <w:rPr>
                <w:noProof/>
                <w:webHidden/>
              </w:rPr>
              <w:t>6</w:t>
            </w:r>
            <w:r>
              <w:rPr>
                <w:noProof/>
                <w:webHidden/>
              </w:rPr>
              <w:fldChar w:fldCharType="end"/>
            </w:r>
          </w:hyperlink>
        </w:p>
        <w:p w:rsidR="00D671ED" w:rsidRDefault="00D671ED" w14:paraId="7DEC4A45" w14:textId="513C0D05">
          <w:pPr>
            <w:pStyle w:val="TOC2"/>
            <w:tabs>
              <w:tab w:val="right" w:leader="dot" w:pos="9350"/>
            </w:tabs>
            <w:rPr>
              <w:noProof/>
            </w:rPr>
          </w:pPr>
          <w:hyperlink w:anchor="_Toc222393412" w:history="1">
            <w:r w:rsidRPr="00D25B81">
              <w:rPr>
                <w:bCs/>
                <w:noProof/>
                <w:rStyle w:val="Hyperlink"/>
                <w:b/>
              </w:rPr>
              <w:t>Recommendations</w:t>
            </w:r>
            <w:r>
              <w:rPr>
                <w:noProof/>
                <w:webHidden/>
              </w:rPr>
              <w:tab/>
            </w:r>
            <w:r>
              <w:rPr>
                <w:noProof/>
                <w:webHidden/>
              </w:rPr>
              <w:fldChar w:fldCharType="begin"/>
            </w:r>
            <w:r>
              <w:rPr>
                <w:noProof/>
                <w:webHidden/>
              </w:rPr>
              <w:instrText xml:space="preserve"> PAGEREF _Toc222393412 \h </w:instrText>
            </w:r>
            <w:r>
              <w:rPr>
                <w:noProof/>
                <w:webHidden/>
              </w:rPr>
            </w:r>
            <w:r>
              <w:rPr>
                <w:noProof/>
                <w:webHidden/>
              </w:rPr>
              <w:fldChar w:fldCharType="separate"/>
            </w:r>
            <w:r>
              <w:rPr>
                <w:noProof/>
                <w:webHidden/>
              </w:rPr>
              <w:t>9</w:t>
            </w:r>
            <w:r>
              <w:rPr>
                <w:noProof/>
                <w:webHidden/>
              </w:rPr>
              <w:fldChar w:fldCharType="end"/>
            </w:r>
          </w:hyperlink>
        </w:p>
        <w:p w:rsidR="00D671ED" w:rsidRDefault="00D671ED" w14:paraId="6CEA3778" w14:textId="476E8777">
          <w:pPr>
            <w:pStyle w:val="TOC2"/>
            <w:tabs>
              <w:tab w:val="right" w:leader="dot" w:pos="9350"/>
            </w:tabs>
            <w:rPr>
              <w:noProof/>
            </w:rPr>
          </w:pPr>
          <w:hyperlink w:anchor="_Toc222393413" w:history="1">
            <w:r w:rsidRPr="00D25B81">
              <w:rPr>
                <w:noProof/>
                <w:rStyle w:val="Hyperlink"/>
              </w:rPr>
              <w:t>Reference</w:t>
            </w:r>
            <w:r>
              <w:rPr>
                <w:noProof/>
                <w:webHidden/>
              </w:rPr>
              <w:tab/>
            </w:r>
            <w:r>
              <w:rPr>
                <w:noProof/>
                <w:webHidden/>
              </w:rPr>
              <w:fldChar w:fldCharType="begin"/>
            </w:r>
            <w:r>
              <w:rPr>
                <w:noProof/>
                <w:webHidden/>
              </w:rPr>
              <w:instrText xml:space="preserve"> PAGEREF _Toc222393413 \h </w:instrText>
            </w:r>
            <w:r>
              <w:rPr>
                <w:noProof/>
                <w:webHidden/>
              </w:rPr>
            </w:r>
            <w:r>
              <w:rPr>
                <w:noProof/>
                <w:webHidden/>
              </w:rPr>
              <w:fldChar w:fldCharType="separate"/>
            </w:r>
            <w:r>
              <w:rPr>
                <w:noProof/>
                <w:webHidden/>
              </w:rPr>
              <w:t>11</w:t>
            </w:r>
            <w:r>
              <w:rPr>
                <w:noProof/>
                <w:webHidden/>
              </w:rPr>
              <w:fldChar w:fldCharType="end"/>
            </w:r>
          </w:hyperlink>
        </w:p>
        <w:p w:rsidR="00D671ED" w:rsidRDefault="00D671ED" w14:paraId="5643BECF" w14:textId="764FC8AD">
          <w:r>
            <w:rPr>
              <w:bCs/>
              <w:noProof/>
              <w:b/>
            </w:rPr>
            <w:fldChar w:fldCharType="end"/>
          </w:r>
        </w:p>
      </w:sdtContent>
    </w:sdt>
    <w:p w:rsidR="00F621FB" w:rsidRDefault="00F621FB" w14:paraId="0A1B903C" w14:textId="77777777" w:rsidP="00A3727F">
      <w:pPr>
        <w:jc w:val="both"/>
        <w:spacing w:line="360" w:lineRule="auto"/>
        <w:rPr>
          <w:rFonts w:ascii="Arial" w:cs="Arial" w:hAnsi="Arial"/>
          <w:sz w:val="22"/>
          <w:szCs w:val="22"/>
        </w:rPr>
      </w:pPr>
    </w:p>
    <w:p w:rsidR="00A3727F" w:rsidRDefault="00A3727F" w14:paraId="6F0D0A8C" w14:textId="77777777" w:rsidP="00A3727F" w:rsidRPr="00A3727F">
      <w:pPr>
        <w:jc w:val="both"/>
        <w:spacing w:line="360" w:lineRule="auto"/>
        <w:rPr>
          <w:rFonts w:ascii="Arial" w:cs="Arial" w:hAnsi="Arial"/>
          <w:sz w:val="22"/>
          <w:szCs w:val="22"/>
        </w:rPr>
      </w:pPr>
    </w:p>
    <w:p w:rsidR="00F621FB" w:rsidRDefault="00F621FB" w14:paraId="60FC6594" w14:textId="77777777" w:rsidP="00A3727F">
      <w:pPr>
        <w:jc w:val="both"/>
        <w:spacing w:line="360" w:lineRule="auto"/>
        <w:rPr>
          <w:rFonts w:ascii="Arial" w:cs="Arial" w:hAnsi="Arial"/>
          <w:sz w:val="22"/>
          <w:szCs w:val="22"/>
        </w:rPr>
      </w:pPr>
    </w:p>
    <w:p w:rsidR="00242494" w:rsidRDefault="00242494" w14:paraId="77B2E582" w14:textId="77777777" w:rsidP="00A3727F">
      <w:pPr>
        <w:jc w:val="both"/>
        <w:spacing w:line="360" w:lineRule="auto"/>
        <w:rPr>
          <w:rFonts w:ascii="Arial" w:cs="Arial" w:hAnsi="Arial"/>
          <w:sz w:val="22"/>
          <w:szCs w:val="22"/>
        </w:rPr>
      </w:pPr>
    </w:p>
    <w:p w:rsidR="00242494" w:rsidRDefault="00242494" w14:paraId="2F208766" w14:textId="77777777" w:rsidP="00A3727F">
      <w:pPr>
        <w:jc w:val="both"/>
        <w:spacing w:line="360" w:lineRule="auto"/>
        <w:rPr>
          <w:rFonts w:ascii="Arial" w:cs="Arial" w:hAnsi="Arial"/>
          <w:sz w:val="22"/>
          <w:szCs w:val="22"/>
        </w:rPr>
      </w:pPr>
    </w:p>
    <w:p w:rsidR="00242494" w:rsidRDefault="00242494" w14:paraId="5E609F18" w14:textId="77777777" w:rsidP="00A3727F">
      <w:pPr>
        <w:jc w:val="both"/>
        <w:spacing w:line="360" w:lineRule="auto"/>
        <w:rPr>
          <w:rFonts w:ascii="Arial" w:cs="Arial" w:hAnsi="Arial"/>
          <w:sz w:val="22"/>
          <w:szCs w:val="22"/>
        </w:rPr>
      </w:pPr>
    </w:p>
    <w:p w:rsidR="00242494" w:rsidRDefault="00242494" w14:paraId="75273400" w14:textId="77777777" w:rsidP="00A3727F">
      <w:pPr>
        <w:jc w:val="both"/>
        <w:spacing w:line="360" w:lineRule="auto"/>
        <w:rPr>
          <w:rFonts w:ascii="Arial" w:cs="Arial" w:hAnsi="Arial"/>
          <w:sz w:val="22"/>
          <w:szCs w:val="22"/>
        </w:rPr>
      </w:pPr>
    </w:p>
    <w:p w:rsidR="00242494" w:rsidRDefault="00242494" w14:paraId="158F1580" w14:textId="77777777" w:rsidP="00A3727F">
      <w:pPr>
        <w:jc w:val="both"/>
        <w:spacing w:line="360" w:lineRule="auto"/>
        <w:rPr>
          <w:rFonts w:ascii="Arial" w:cs="Arial" w:hAnsi="Arial"/>
          <w:sz w:val="22"/>
          <w:szCs w:val="22"/>
        </w:rPr>
      </w:pPr>
    </w:p>
    <w:p w:rsidR="00242494" w:rsidRDefault="00242494" w14:paraId="6DE86CC3" w14:textId="77777777" w:rsidP="00A3727F">
      <w:pPr>
        <w:jc w:val="both"/>
        <w:spacing w:line="360" w:lineRule="auto"/>
        <w:rPr>
          <w:rFonts w:ascii="Arial" w:cs="Arial" w:hAnsi="Arial"/>
          <w:sz w:val="22"/>
          <w:szCs w:val="22"/>
        </w:rPr>
      </w:pPr>
    </w:p>
    <w:p w:rsidR="00242494" w:rsidRDefault="00242494" w14:paraId="4FEB443C" w14:textId="77777777" w:rsidP="00A3727F">
      <w:pPr>
        <w:jc w:val="both"/>
        <w:spacing w:line="360" w:lineRule="auto"/>
        <w:rPr>
          <w:rFonts w:ascii="Arial" w:cs="Arial" w:hAnsi="Arial"/>
          <w:sz w:val="22"/>
          <w:szCs w:val="22"/>
        </w:rPr>
      </w:pPr>
    </w:p>
    <w:p w:rsidR="00242494" w:rsidRDefault="00242494" w14:paraId="5D57F8F9" w14:textId="77777777" w:rsidP="00A3727F" w:rsidRPr="00A3727F">
      <w:pPr>
        <w:jc w:val="both"/>
        <w:spacing w:line="360" w:lineRule="auto"/>
        <w:rPr>
          <w:rFonts w:ascii="Arial" w:cs="Arial" w:hAnsi="Arial"/>
          <w:sz w:val="22"/>
          <w:szCs w:val="22"/>
        </w:rPr>
      </w:pPr>
    </w:p>
    <w:p w:rsidR="00F621FB" w:rsidRDefault="00F621FB" w14:paraId="6B1C1EAF" w14:textId="77777777" w:rsidP="007564CC" w:rsidRPr="007564CC">
      <w:pPr>
        <w:pStyle w:val="Heading1"/>
        <w:jc w:val="center"/>
        <w:rPr>
          <w:sz w:val="28"/>
          <w:szCs w:val="28"/>
        </w:rPr>
      </w:pPr>
    </w:p>
    <w:p w:rsidR="00F621FB" w:rsidRDefault="00F621FB" w14:paraId="70104B6E" w14:textId="77777777" w:rsidP="007564CC" w:rsidRPr="007564CC">
      <w:pPr>
        <w:pStyle w:val="Heading1"/>
        <w:jc w:val="center"/>
        <w:rPr>
          <w:bCs/>
          <w:b/>
          <w:sz w:val="28"/>
          <w:szCs w:val="28"/>
        </w:rPr>
      </w:pPr>
      <w:bookmarkStart w:id="0" w:name="_Toc222393407"/>
      <w:r w:rsidRPr="007564CC">
        <w:rPr>
          <w:bCs/>
          <w:b/>
          <w:sz w:val="28"/>
          <w:szCs w:val="28"/>
        </w:rPr>
        <w:t>Critical Evaluation of the NHS App as a Digital Innovation in UK Health Care</w:t>
      </w:r>
      <w:bookmarkEnd w:id="0"/>
    </w:p>
    <w:p w:rsidR="00F621FB" w:rsidRDefault="00F621FB" w14:paraId="3C2AB9AA" w14:textId="77777777" w:rsidP="007564CC" w:rsidRPr="00F621FB">
      <w:pPr>
        <w:pStyle w:val="Heading2"/>
      </w:pPr>
      <w:bookmarkStart w:id="1" w:name="_Toc222393408"/>
      <w:r w:rsidRPr="00F621FB">
        <w:t>Introduction</w:t>
      </w:r>
      <w:bookmarkEnd w:id="1"/>
    </w:p>
    <w:p w:rsidR="004F1262" w:rsidRDefault="00622D87" w14:paraId="760FEC7A" w14:textId="66331B32" w:rsidP="00A3727F" w:rsidRPr="00A3727F">
      <w:pPr>
        <w:jc w:val="both"/>
        <w:spacing w:line="360" w:lineRule="auto"/>
        <w:rPr>
          <w:rFonts w:ascii="Arial" w:cs="Arial" w:hAnsi="Arial"/>
          <w:sz w:val="22"/>
          <w:szCs w:val="22"/>
        </w:rPr>
      </w:pPr>
      <w:r w:rsidRPr="00A3727F">
        <w:rPr>
          <w:rFonts w:ascii="Arial" w:cs="Arial" w:hAnsi="Arial"/>
          <w:sz w:val="22"/>
          <w:szCs w:val="22"/>
        </w:rPr>
        <w:t xml:space="preserve">As a result of the publication of the NHS Long Term Plan and the increased pace of digital change </w:t>
      </w:r>
      <w:r w:rsidR="004F1262" w:rsidRPr="00A3727F">
        <w:rPr>
          <w:rFonts w:ascii="Arial" w:cs="Arial" w:hAnsi="Arial"/>
          <w:sz w:val="22"/>
          <w:szCs w:val="22"/>
        </w:rPr>
        <w:t>because of</w:t>
      </w:r>
      <w:r w:rsidRPr="00A3727F">
        <w:rPr>
          <w:rFonts w:ascii="Arial" w:cs="Arial" w:hAnsi="Arial"/>
          <w:sz w:val="22"/>
          <w:szCs w:val="22"/>
        </w:rPr>
        <w:t xml:space="preserve"> COVID, digital transformation is now key to the strategic development of UK health services (NHS England, 2019). One of the most notable digital innovations to be introduced within the last 10 years is the NHS App. The NHS App was launched across the UK by NHS England in 2019. As stated by NHS England (2023a), patients can book appointments with their GPs and order repeat prescriptions using the NHS App among other things. This is a breakthrough for patients in self-management and integrated digital health. This report critiques the impact of the NHS App on three areas: workforce, service delivery, and patient/service users. Through the App, accessibility and administrative ease has developed however, there are concerns concerning digital exclusion, workforce adaptation, data security, inequalities, etc. This report forecasts that while the NHS App has improved the responsiveness of the system and empowered patients, the benefits will not reach everyone unless policy bunting and workforce development are undertaken. Through analysis of recent UK evidence.</w:t>
      </w:r>
    </w:p>
    <w:p w:rsidR="00CC5AA9" w:rsidRDefault="00CC5AA9" w14:paraId="6D32DDBB" w14:textId="78086B79" w:rsidP="007564CC" w:rsidRPr="00CC5AA9">
      <w:pPr>
        <w:pStyle w:val="Heading2"/>
      </w:pPr>
      <w:bookmarkStart w:id="2" w:name="_Toc222393409"/>
      <w:r w:rsidRPr="00CC5AA9">
        <w:t>Impact on Workforce</w:t>
      </w:r>
      <w:bookmarkEnd w:id="2"/>
    </w:p>
    <w:p w:rsidR="004F1262" w:rsidRDefault="004F1262" w14:paraId="16EBAC66" w14:textId="60E8D18A" w:rsidP="00A3727F" w:rsidRPr="004F1262">
      <w:pPr>
        <w:jc w:val="both"/>
        <w:spacing w:line="360" w:lineRule="auto"/>
        <w:rPr>
          <w:rFonts w:ascii="Arial" w:cs="Arial" w:hAnsi="Arial"/>
          <w:sz w:val="22"/>
          <w:szCs w:val="22"/>
        </w:rPr>
      </w:pPr>
      <w:r w:rsidRPr="004F1262">
        <w:rPr>
          <w:rFonts w:ascii="Arial" w:cs="Arial" w:hAnsi="Arial"/>
          <w:sz w:val="22"/>
          <w:szCs w:val="22"/>
        </w:rPr>
        <w:t xml:space="preserve">The introduction of the NHS App has changed administrative and clinical processes in primary care. The App reduces calls to reception and </w:t>
      </w:r>
      <w:r w:rsidR="00F600C1" w:rsidRPr="004F1262">
        <w:rPr>
          <w:rFonts w:ascii="Arial" w:cs="Arial" w:hAnsi="Arial"/>
          <w:sz w:val="22"/>
          <w:szCs w:val="22"/>
        </w:rPr>
        <w:t>face to</w:t>
      </w:r>
      <w:r w:rsidRPr="004F1262">
        <w:rPr>
          <w:rFonts w:ascii="Arial" w:cs="Arial" w:hAnsi="Arial"/>
          <w:sz w:val="22"/>
          <w:szCs w:val="22"/>
        </w:rPr>
        <w:t xml:space="preserve">- face admin by allowing patients to book appointments, view medical records and request repeat prescriptions themselves (Healthwatch England, 2021). This move is in line with NHS England’s wider digital transformation policy for the NHS, which supports digital-first access models as part of </w:t>
      </w:r>
      <w:r w:rsidR="00F600C1" w:rsidRPr="004F1262">
        <w:rPr>
          <w:rFonts w:ascii="Arial" w:cs="Arial" w:hAnsi="Arial"/>
          <w:sz w:val="22"/>
          <w:szCs w:val="22"/>
        </w:rPr>
        <w:t>modernizing</w:t>
      </w:r>
      <w:r w:rsidRPr="004F1262">
        <w:rPr>
          <w:rFonts w:ascii="Arial" w:cs="Arial" w:hAnsi="Arial"/>
          <w:sz w:val="22"/>
          <w:szCs w:val="22"/>
        </w:rPr>
        <w:t xml:space="preserve"> primary care services (NHS England, 2019). </w:t>
      </w:r>
    </w:p>
    <w:p w:rsidR="001C4DB9" w:rsidRDefault="004F1262" w14:paraId="7D6C17B4" w14:textId="5EBB7738" w:rsidP="00A3727F" w:rsidRPr="00A3727F">
      <w:pPr>
        <w:jc w:val="both"/>
        <w:spacing w:line="360" w:lineRule="auto"/>
        <w:rPr>
          <w:rFonts w:ascii="Arial" w:cs="Arial" w:hAnsi="Arial"/>
          <w:sz w:val="22"/>
          <w:szCs w:val="22"/>
        </w:rPr>
      </w:pPr>
      <w:r w:rsidRPr="00A3727F">
        <w:rPr>
          <w:rFonts w:ascii="Arial" w:cs="Arial" w:hAnsi="Arial"/>
          <w:sz w:val="22"/>
          <w:szCs w:val="22"/>
        </w:rPr>
        <w:t xml:space="preserve">According to </w:t>
      </w:r>
      <w:proofErr w:type="spellStart"/>
      <w:r w:rsidRPr="00A3727F">
        <w:rPr>
          <w:rFonts w:ascii="Arial" w:cs="Arial" w:hAnsi="Arial"/>
          <w:sz w:val="22"/>
          <w:szCs w:val="22"/>
        </w:rPr>
        <w:t>Bakhai</w:t>
      </w:r>
      <w:proofErr w:type="spellEnd"/>
      <w:r w:rsidRPr="00A3727F">
        <w:rPr>
          <w:rFonts w:ascii="Arial" w:cs="Arial" w:hAnsi="Arial"/>
          <w:sz w:val="22"/>
          <w:szCs w:val="22"/>
        </w:rPr>
        <w:t xml:space="preserve"> et al. (2020), automation of standard transactions should enable administrative staff to redirect their time toward complex queries, safeguarding duties, and patient-support functions. Nonetheless, the expected efficiency gains have not been equal. While some GP practices say that workflow is more streamlined, others are reporting that a higher digital workload has become the norm due to rising patient demands. Improved ease-of-access has meant that patients are more likely to request appointments and see a doctor online (</w:t>
      </w:r>
      <w:proofErr w:type="spellStart"/>
      <w:r w:rsidRPr="00A3727F">
        <w:rPr>
          <w:rFonts w:ascii="Arial" w:cs="Arial" w:hAnsi="Arial"/>
          <w:sz w:val="22"/>
          <w:szCs w:val="22"/>
        </w:rPr>
        <w:t>Bakhai</w:t>
      </w:r>
      <w:proofErr w:type="spellEnd"/>
      <w:r w:rsidRPr="00A3727F">
        <w:rPr>
          <w:rFonts w:ascii="Arial" w:cs="Arial" w:hAnsi="Arial"/>
          <w:sz w:val="22"/>
          <w:szCs w:val="22"/>
        </w:rPr>
        <w:t xml:space="preserve"> et al, 2020; Murphy et al, 2021). This occurs through “supply-induced demand,” where new access mechanisms create greater use instead of substituting for existing demand (Maguire et al., 2022). </w:t>
      </w:r>
      <w:r w:rsidRPr="00A3727F">
        <w:rPr>
          <w:rFonts w:ascii="Arial" w:cs="Arial" w:hAnsi="Arial"/>
          <w:sz w:val="22"/>
          <w:szCs w:val="22"/>
        </w:rPr>
        <w:t>Research done by Salisbury et al. (2016) into online consultation systems found that digital access often adds to existing consultation methods rather than replacing them. As a result, staff might have a greater role in triaging, managing chronological messages and monitoring online front doors. Digital systems do not ease pressure but add to it by breaking work down into several tasks and bombarding one with messages (Greenhalgh et al, 2020; Atherton et al, 2018).</w:t>
        <w:lastRenderedPageBreak/>
      </w:r>
    </w:p>
    <w:p w:rsidR="00B62DFC" w:rsidRDefault="001C4DB9" w14:paraId="55D3E93F" w14:textId="7107F2B7" w:rsidP="00A3727F" w:rsidRPr="00A3727F">
      <w:pPr>
        <w:jc w:val="both"/>
        <w:spacing w:line="360" w:lineRule="auto"/>
        <w:rPr>
          <w:rFonts w:ascii="Arial" w:cs="Arial" w:hAnsi="Arial"/>
          <w:sz w:val="22"/>
          <w:szCs w:val="22"/>
        </w:rPr>
      </w:pPr>
      <w:r w:rsidRPr="001C4DB9">
        <w:rPr>
          <w:rFonts w:ascii="Arial" w:cs="Arial" w:hAnsi="Arial"/>
          <w:sz w:val="22"/>
          <w:szCs w:val="22"/>
        </w:rPr>
        <w:t>The pandemic of COVID-19 increased the reliance on the remote/digital system of triage and hybrid care model as part of routine practice. This change led to better infection control and convenience, but also new administrative demands such as digital coding, remote monitoring oversight, and controlling patient expectations of rapid response (</w:t>
      </w:r>
      <w:proofErr w:type="spellStart"/>
      <w:r w:rsidRPr="001C4DB9">
        <w:rPr>
          <w:rFonts w:ascii="Arial" w:cs="Arial" w:hAnsi="Arial"/>
          <w:sz w:val="22"/>
          <w:szCs w:val="22"/>
        </w:rPr>
        <w:t>Mould</w:t>
      </w:r>
      <w:proofErr w:type="spellEnd"/>
      <w:r w:rsidRPr="001C4DB9">
        <w:rPr>
          <w:rFonts w:ascii="Arial" w:cs="Arial" w:hAnsi="Arial"/>
          <w:sz w:val="22"/>
          <w:szCs w:val="22"/>
        </w:rPr>
        <w:t xml:space="preserve"> et al, 2022). According to evidence presented by the King’s Fund, having more digital access may be more productive but will inevitably make people work harder unless they hire more staff or rearrange their workers (The King’s Fund, 2022). A workforce upskilling and role evolution will take place on the skills front driven by digital transformation. According to the Topol Review (Health Education England, 2019), NHS staff will need to be skilled in digital literacy, data interpretation, AI and cyber security if they are to make best use of technology in clinical practice. A growing emphasis on training reception and administration staff in digital triage protocols, navigating electronic patient records, and helping patients with app-related queries. There is a need for clinical staff to become confident with the etiquette of remote consultations, risk assessment in a virtual setting, and digital safeguarding procedures (Greenhalgh et al., 2020; Shaw et al., 2018). It has also been documented that different generations have different levels of digital confidence. Although younger healthcare workers are typically quick and able to adapt easily to new technologies, older workers may experience technostress, anxiety, and/or resistance (</w:t>
      </w:r>
      <w:proofErr w:type="spellStart"/>
      <w:r w:rsidRPr="001C4DB9">
        <w:rPr>
          <w:rFonts w:ascii="Arial" w:cs="Arial" w:hAnsi="Arial"/>
          <w:sz w:val="22"/>
          <w:szCs w:val="22"/>
        </w:rPr>
        <w:t>Locock</w:t>
      </w:r>
      <w:proofErr w:type="spellEnd"/>
      <w:r w:rsidRPr="001C4DB9">
        <w:rPr>
          <w:rFonts w:ascii="Arial" w:cs="Arial" w:hAnsi="Arial"/>
          <w:sz w:val="22"/>
          <w:szCs w:val="22"/>
        </w:rPr>
        <w:t xml:space="preserve"> et al., 2021). </w:t>
      </w:r>
      <w:r w:rsidR="00F600C1" w:rsidRPr="001C4DB9">
        <w:rPr>
          <w:rFonts w:ascii="Arial" w:cs="Arial" w:hAnsi="Arial"/>
          <w:sz w:val="22"/>
          <w:szCs w:val="22"/>
        </w:rPr>
        <w:t>Organizational</w:t>
      </w:r>
      <w:r w:rsidRPr="001C4DB9">
        <w:rPr>
          <w:rFonts w:ascii="Arial" w:cs="Arial" w:hAnsi="Arial"/>
          <w:sz w:val="22"/>
          <w:szCs w:val="22"/>
        </w:rPr>
        <w:t xml:space="preserve"> culture, leadership support, and structured training </w:t>
      </w:r>
      <w:r w:rsidR="00F600C1" w:rsidRPr="001C4DB9">
        <w:rPr>
          <w:rFonts w:ascii="Arial" w:cs="Arial" w:hAnsi="Arial"/>
          <w:sz w:val="22"/>
          <w:szCs w:val="22"/>
        </w:rPr>
        <w:t>programmed</w:t>
      </w:r>
      <w:r w:rsidRPr="001C4DB9">
        <w:rPr>
          <w:rFonts w:ascii="Arial" w:cs="Arial" w:hAnsi="Arial"/>
          <w:sz w:val="22"/>
          <w:szCs w:val="22"/>
        </w:rPr>
        <w:t xml:space="preserve"> play an important role in reducing these gaps (West et al., 2022). </w:t>
      </w:r>
    </w:p>
    <w:p w:rsidR="00F621FB" w:rsidRDefault="00B62DFC" w14:paraId="0845052E" w14:textId="105109CD" w:rsidP="00A3727F">
      <w:pPr>
        <w:jc w:val="both"/>
        <w:spacing w:line="360" w:lineRule="auto"/>
        <w:rPr>
          <w:rFonts w:ascii="Arial" w:cs="Arial" w:hAnsi="Arial"/>
          <w:sz w:val="22"/>
          <w:szCs w:val="22"/>
        </w:rPr>
      </w:pPr>
      <w:r w:rsidRPr="00A3727F">
        <w:rPr>
          <w:rFonts w:ascii="Arial" w:cs="Arial" w:hAnsi="Arial"/>
          <w:sz w:val="22"/>
          <w:szCs w:val="22"/>
        </w:rPr>
        <w:t xml:space="preserve">The absence of an inclusive training framework for digital transformation may worsen internal workforce inequalities and ongoing morale issues (The Health Foundation, 2021). There are also worries about </w:t>
      </w:r>
      <w:r w:rsidR="00F600C1" w:rsidRPr="00A3727F">
        <w:rPr>
          <w:rFonts w:ascii="Arial" w:cs="Arial" w:hAnsi="Arial"/>
          <w:sz w:val="22"/>
          <w:szCs w:val="22"/>
        </w:rPr>
        <w:t>depersonalization</w:t>
      </w:r>
      <w:r w:rsidRPr="00A3727F">
        <w:rPr>
          <w:rFonts w:ascii="Arial" w:cs="Arial" w:hAnsi="Arial"/>
          <w:sz w:val="22"/>
          <w:szCs w:val="22"/>
        </w:rPr>
        <w:t xml:space="preserve"> of care and its influence on professional identity. Relational continuity, which is a characteristic thought to be the main defining feature of UK general practice, may be undermined when digital interfaces replace face-to-face interaction (Greenhalgh et al., 2020). Research shows that while many patients are keen on convenience, clinicians are accordingly concerned that transactional digital interactions can reduce opportunities for holistic assessment and informal rapport building (Atherton et al., 2018; Murphy et al., 2021). Over </w:t>
      </w:r>
      <w:r w:rsidR="00F600C1" w:rsidRPr="00A3727F">
        <w:rPr>
          <w:rFonts w:ascii="Arial" w:cs="Arial" w:hAnsi="Arial"/>
          <w:sz w:val="22"/>
          <w:szCs w:val="22"/>
        </w:rPr>
        <w:t>time,</w:t>
      </w:r>
      <w:r w:rsidRPr="00A3727F">
        <w:rPr>
          <w:rFonts w:ascii="Arial" w:cs="Arial" w:hAnsi="Arial"/>
          <w:sz w:val="22"/>
          <w:szCs w:val="22"/>
        </w:rPr>
        <w:t xml:space="preserve"> these will change the perception of autonomy with respect to patients and doctors. Workforce </w:t>
      </w:r>
      <w:r w:rsidRPr="00A3727F">
        <w:rPr>
          <w:rFonts w:ascii="Arial" w:cs="Arial" w:hAnsi="Arial"/>
          <w:sz w:val="22"/>
          <w:szCs w:val="22"/>
        </w:rPr>
        <w:t xml:space="preserve">wellness needs to be addressed. According to Hall et al. (2019), general practice employees exhibited substantially high levels of burnout even before widespread digital integration. According to Maguire et al. (2022), using digital systems to create more administrator work, but not more administrators often </w:t>
        <w:lastRenderedPageBreak/>
      </w:r>
      <w:r w:rsidR="00F600C1" w:rsidRPr="00A3727F">
        <w:rPr>
          <w:rFonts w:ascii="Arial" w:cs="Arial" w:hAnsi="Arial"/>
          <w:sz w:val="22"/>
          <w:szCs w:val="22"/>
        </w:rPr>
        <w:t>increase</w:t>
      </w:r>
      <w:r w:rsidRPr="00A3727F">
        <w:rPr>
          <w:rFonts w:ascii="Arial" w:cs="Arial" w:hAnsi="Arial"/>
          <w:sz w:val="22"/>
          <w:szCs w:val="22"/>
        </w:rPr>
        <w:t xml:space="preserve"> stress rather than relieve it. Strategies that help implement change effectively (phased implementation, protected time for learning and co-design with frontline staff) aid digital adoption (The King’s Fund 2022; West et.al 2022). The NHS App has not eased pressure on the workforce in critical terms. It has shifted tasks, changed skills required and modified ways of working. The long-term success of this depends on reasonably adequate investments in digital infrastructure, training </w:t>
      </w:r>
      <w:r w:rsidR="00F600C1" w:rsidRPr="00A3727F">
        <w:rPr>
          <w:rFonts w:ascii="Arial" w:cs="Arial" w:hAnsi="Arial"/>
          <w:sz w:val="22"/>
          <w:szCs w:val="22"/>
        </w:rPr>
        <w:t>programs</w:t>
      </w:r>
      <w:r w:rsidRPr="00A3727F">
        <w:rPr>
          <w:rFonts w:ascii="Arial" w:cs="Arial" w:hAnsi="Arial"/>
          <w:sz w:val="22"/>
          <w:szCs w:val="22"/>
        </w:rPr>
        <w:t xml:space="preserve"> for the workforce, and engagement strategies. Digital innovation must be effectively managed and continuously supporting resources allocated, otherwise there is a danger it could exacerbate workloads and contribute to burnout of staff. This is more likely than achieving the impact on efficiency and quality that it is designed to do (Health Education England, 2019; Greenhalgh et al., 2020; The Health Foundation, 2021).</w:t>
      </w:r>
    </w:p>
    <w:p w:rsidR="00F600C1" w:rsidRDefault="00F600C1" w14:paraId="1A0A06BA" w14:textId="77777777" w:rsidP="00A3727F" w:rsidRPr="00A3727F">
      <w:pPr>
        <w:jc w:val="both"/>
        <w:spacing w:line="360" w:lineRule="auto"/>
        <w:rPr>
          <w:rFonts w:ascii="Arial" w:cs="Arial" w:hAnsi="Arial"/>
          <w:sz w:val="22"/>
          <w:szCs w:val="22"/>
        </w:rPr>
      </w:pPr>
    </w:p>
    <w:p w:rsidR="000658D8" w:rsidRDefault="000658D8" w14:paraId="528798C1" w14:textId="77777777" w:rsidP="007564CC" w:rsidRPr="000658D8">
      <w:pPr>
        <w:pStyle w:val="Heading2"/>
      </w:pPr>
      <w:bookmarkStart w:id="3" w:name="_Toc222393410"/>
      <w:r w:rsidRPr="000658D8">
        <w:t>Impact on Service Delivery</w:t>
      </w:r>
      <w:bookmarkEnd w:id="3"/>
    </w:p>
    <w:p w:rsidR="00167E11" w:rsidRDefault="00F614BE" w14:paraId="13A20444" w14:textId="46072CFC" w:rsidP="00A3727F" w:rsidRPr="00A3727F">
      <w:pPr>
        <w:jc w:val="both"/>
        <w:spacing w:line="360" w:lineRule="auto"/>
        <w:rPr>
          <w:rFonts w:ascii="Arial" w:cs="Arial" w:hAnsi="Arial"/>
          <w:sz w:val="22"/>
          <w:szCs w:val="22"/>
        </w:rPr>
      </w:pPr>
      <w:r w:rsidRPr="00A3727F">
        <w:rPr>
          <w:rFonts w:ascii="Arial" w:cs="Arial" w:hAnsi="Arial"/>
          <w:sz w:val="22"/>
          <w:szCs w:val="22"/>
        </w:rPr>
        <w:t xml:space="preserve">The NHS App improves efficiency, transparency and accessibility in the delivery of primary care services. The benefit of the </w:t>
      </w:r>
      <w:r w:rsidR="00F600C1" w:rsidRPr="00A3727F">
        <w:rPr>
          <w:rFonts w:ascii="Arial" w:cs="Arial" w:hAnsi="Arial"/>
          <w:sz w:val="22"/>
          <w:szCs w:val="22"/>
        </w:rPr>
        <w:t>digitization</w:t>
      </w:r>
      <w:r w:rsidRPr="00A3727F">
        <w:rPr>
          <w:rFonts w:ascii="Arial" w:cs="Arial" w:hAnsi="Arial"/>
          <w:sz w:val="22"/>
          <w:szCs w:val="22"/>
        </w:rPr>
        <w:t xml:space="preserve"> of repeat prescription ordering is the reduction in paper processing and paperwork errors (NHS Digital, 2022). Automatically recording prescriptions increases accuracy and speeds up communication between pharmacies and GP practices. The app’s role as a digital vaccination passport during the Covid pandemic showed it could be scaled up and integrated nationally (Department of Health and Social Care, 2021). As of 2023, over 30 million people have registered for this service (NHS England, 2023b). This shows the ability of the App to act as digital infrastructure at a population level. But it hasn't been without its challenges. The integration with current GP IT systems has been inconsistent leading to functionality issues between practices (Maguire et al., 2022). Interoperability is a known weakness within NHS digitals systems limiting the smooth transfer of data across care settings. Cost is another important factor. Digital tools are often sold as cheaper alternatives. However, significant initial spending will be required on cyber- and cloud facilities, and staff training (NAO, 2020). Furthermore, cybersecurity risks pose systemic threats. Public confidence could be damaged by data breaches, especially due to rising general awareness of this issue. It impacted workflow a short-term disruption at it implementation. Practices reported transitional confusion and duplication of systems with parallel running of digital and analogue processes (</w:t>
      </w:r>
      <w:proofErr w:type="spellStart"/>
      <w:r w:rsidRPr="00A3727F">
        <w:rPr>
          <w:rFonts w:ascii="Arial" w:cs="Arial" w:hAnsi="Arial"/>
          <w:sz w:val="22"/>
          <w:szCs w:val="22"/>
        </w:rPr>
        <w:t>Bakhai</w:t>
      </w:r>
      <w:proofErr w:type="spellEnd"/>
      <w:r w:rsidRPr="00A3727F">
        <w:rPr>
          <w:rFonts w:ascii="Arial" w:cs="Arial" w:hAnsi="Arial"/>
          <w:sz w:val="22"/>
          <w:szCs w:val="22"/>
        </w:rPr>
        <w:t xml:space="preserve"> et al., 2020) Digital transformation involves a stepped approach and a significant leadership oversight. The </w:t>
      </w:r>
      <w:r w:rsidRPr="00A3727F">
        <w:rPr>
          <w:rFonts w:ascii="Arial" w:cs="Arial" w:hAnsi="Arial"/>
          <w:sz w:val="22"/>
          <w:szCs w:val="22"/>
        </w:rPr>
        <w:t>NHS App improves administrative processes and digital coordination on a national level, thus impacting service delivery. The full benefits of digital transformation will only be realized when interoperability issues are resolved, cyber resilience ensured and demand on the digital transformer matches the capacity of the workforce in a digital world.</w:t>
        <w:lastRenderedPageBreak/>
      </w:r>
    </w:p>
    <w:p w:rsidR="00DE404D" w:rsidRDefault="00DE404D" w14:paraId="5CB807DE" w14:textId="77777777" w:rsidP="00A3727F" w:rsidRPr="00A3727F">
      <w:pPr>
        <w:jc w:val="both"/>
        <w:spacing w:line="360" w:lineRule="auto"/>
        <w:rPr>
          <w:rFonts w:ascii="Arial" w:cs="Arial" w:hAnsi="Arial"/>
          <w:sz w:val="22"/>
          <w:szCs w:val="22"/>
        </w:rPr>
      </w:pPr>
    </w:p>
    <w:p w:rsidR="00DE404D" w:rsidRDefault="00DE404D" w14:paraId="3A4CC06C" w14:textId="77777777" w:rsidP="00A3727F" w:rsidRPr="00A3727F">
      <w:pPr>
        <w:jc w:val="both"/>
        <w:spacing w:line="360" w:lineRule="auto"/>
        <w:rPr>
          <w:rFonts w:ascii="Arial" w:cs="Arial" w:hAnsi="Arial"/>
          <w:sz w:val="22"/>
          <w:szCs w:val="22"/>
        </w:rPr>
      </w:pPr>
    </w:p>
    <w:p w:rsidR="00DE404D" w:rsidRDefault="00DE404D" w14:paraId="727380E7" w14:textId="77777777" w:rsidP="00A3727F" w:rsidRPr="00A3727F">
      <w:pPr>
        <w:jc w:val="both"/>
        <w:spacing w:line="360" w:lineRule="auto"/>
        <w:rPr>
          <w:rFonts w:ascii="Arial" w:cs="Arial" w:hAnsi="Arial"/>
          <w:sz w:val="22"/>
          <w:szCs w:val="22"/>
        </w:rPr>
      </w:pPr>
    </w:p>
    <w:p w:rsidR="00DE404D" w:rsidRDefault="00DE404D" w14:paraId="2B7505E1" w14:textId="77777777" w:rsidP="00A3727F" w:rsidRPr="00A3727F">
      <w:pPr>
        <w:jc w:val="both"/>
        <w:spacing w:line="360" w:lineRule="auto"/>
        <w:rPr>
          <w:rFonts w:ascii="Arial" w:cs="Arial" w:hAnsi="Arial"/>
          <w:sz w:val="22"/>
          <w:szCs w:val="22"/>
        </w:rPr>
      </w:pPr>
    </w:p>
    <w:p w:rsidR="00DE404D" w:rsidRDefault="00DE404D" w14:paraId="1E0F7406" w14:textId="77777777" w:rsidP="00A3727F" w:rsidRPr="00A3727F">
      <w:pPr>
        <w:jc w:val="both"/>
        <w:spacing w:line="360" w:lineRule="auto"/>
        <w:rPr>
          <w:rFonts w:ascii="Arial" w:cs="Arial" w:hAnsi="Arial"/>
          <w:sz w:val="22"/>
          <w:szCs w:val="22"/>
        </w:rPr>
      </w:pPr>
    </w:p>
    <w:p w:rsidR="00DE404D" w:rsidRDefault="00DE404D" w14:paraId="064FDCA4" w14:textId="77777777" w:rsidP="00A3727F">
      <w:pPr>
        <w:jc w:val="both"/>
        <w:spacing w:line="360" w:lineRule="auto"/>
        <w:rPr>
          <w:rFonts w:ascii="Arial" w:cs="Arial" w:hAnsi="Arial"/>
          <w:sz w:val="22"/>
          <w:szCs w:val="22"/>
        </w:rPr>
      </w:pPr>
    </w:p>
    <w:p w:rsidR="007564CC" w:rsidRDefault="007564CC" w14:paraId="6EF410CB" w14:textId="77777777" w:rsidP="00A3727F">
      <w:pPr>
        <w:jc w:val="both"/>
        <w:spacing w:line="360" w:lineRule="auto"/>
        <w:rPr>
          <w:rFonts w:ascii="Arial" w:cs="Arial" w:hAnsi="Arial"/>
          <w:sz w:val="22"/>
          <w:szCs w:val="22"/>
        </w:rPr>
      </w:pPr>
    </w:p>
    <w:p w:rsidR="007564CC" w:rsidRDefault="007564CC" w14:paraId="26FF4569" w14:textId="77777777" w:rsidP="00A3727F">
      <w:pPr>
        <w:jc w:val="both"/>
        <w:spacing w:line="360" w:lineRule="auto"/>
        <w:rPr>
          <w:rFonts w:ascii="Arial" w:cs="Arial" w:hAnsi="Arial"/>
          <w:sz w:val="22"/>
          <w:szCs w:val="22"/>
        </w:rPr>
      </w:pPr>
    </w:p>
    <w:p w:rsidR="007564CC" w:rsidRDefault="007564CC" w14:paraId="3CCCBFE0" w14:textId="77777777" w:rsidP="00A3727F">
      <w:pPr>
        <w:jc w:val="both"/>
        <w:spacing w:line="360" w:lineRule="auto"/>
        <w:rPr>
          <w:rFonts w:ascii="Arial" w:cs="Arial" w:hAnsi="Arial"/>
          <w:sz w:val="22"/>
          <w:szCs w:val="22"/>
        </w:rPr>
      </w:pPr>
    </w:p>
    <w:p w:rsidR="007564CC" w:rsidRDefault="007564CC" w14:paraId="41F86F6D" w14:textId="77777777" w:rsidP="00A3727F">
      <w:pPr>
        <w:jc w:val="both"/>
        <w:spacing w:line="360" w:lineRule="auto"/>
        <w:rPr>
          <w:rFonts w:ascii="Arial" w:cs="Arial" w:hAnsi="Arial"/>
          <w:sz w:val="22"/>
          <w:szCs w:val="22"/>
        </w:rPr>
      </w:pPr>
    </w:p>
    <w:p w:rsidR="007564CC" w:rsidRDefault="007564CC" w14:paraId="4EE5092E" w14:textId="77777777" w:rsidP="00A3727F">
      <w:pPr>
        <w:jc w:val="both"/>
        <w:spacing w:line="360" w:lineRule="auto"/>
        <w:rPr>
          <w:rFonts w:ascii="Arial" w:cs="Arial" w:hAnsi="Arial"/>
          <w:sz w:val="22"/>
          <w:szCs w:val="22"/>
        </w:rPr>
      </w:pPr>
    </w:p>
    <w:p w:rsidR="007564CC" w:rsidRDefault="007564CC" w14:paraId="219EB704" w14:textId="77777777" w:rsidP="00A3727F">
      <w:pPr>
        <w:jc w:val="both"/>
        <w:spacing w:line="360" w:lineRule="auto"/>
        <w:rPr>
          <w:rFonts w:ascii="Arial" w:cs="Arial" w:hAnsi="Arial"/>
          <w:sz w:val="22"/>
          <w:szCs w:val="22"/>
        </w:rPr>
      </w:pPr>
    </w:p>
    <w:p w:rsidR="007564CC" w:rsidRDefault="007564CC" w14:paraId="05C632F6" w14:textId="77777777" w:rsidP="00A3727F">
      <w:pPr>
        <w:jc w:val="both"/>
        <w:spacing w:line="360" w:lineRule="auto"/>
        <w:rPr>
          <w:rFonts w:ascii="Arial" w:cs="Arial" w:hAnsi="Arial"/>
          <w:sz w:val="22"/>
          <w:szCs w:val="22"/>
        </w:rPr>
      </w:pPr>
    </w:p>
    <w:p w:rsidR="00F600C1" w:rsidRDefault="00F600C1" w14:paraId="530722B8" w14:textId="77777777" w:rsidP="00A3727F">
      <w:pPr>
        <w:jc w:val="both"/>
        <w:spacing w:line="360" w:lineRule="auto"/>
        <w:rPr>
          <w:rFonts w:ascii="Arial" w:cs="Arial" w:hAnsi="Arial"/>
          <w:sz w:val="22"/>
          <w:szCs w:val="22"/>
        </w:rPr>
      </w:pPr>
    </w:p>
    <w:p w:rsidR="00F600C1" w:rsidRDefault="00F600C1" w14:paraId="65F9E0E9" w14:textId="77777777" w:rsidP="00A3727F">
      <w:pPr>
        <w:jc w:val="both"/>
        <w:spacing w:line="360" w:lineRule="auto"/>
        <w:rPr>
          <w:rFonts w:ascii="Arial" w:cs="Arial" w:hAnsi="Arial"/>
          <w:sz w:val="22"/>
          <w:szCs w:val="22"/>
        </w:rPr>
      </w:pPr>
    </w:p>
    <w:p w:rsidR="00F600C1" w:rsidRDefault="00F600C1" w14:paraId="415895BB" w14:textId="77777777" w:rsidP="00A3727F">
      <w:pPr>
        <w:jc w:val="both"/>
        <w:spacing w:line="360" w:lineRule="auto"/>
        <w:rPr>
          <w:rFonts w:ascii="Arial" w:cs="Arial" w:hAnsi="Arial"/>
          <w:sz w:val="22"/>
          <w:szCs w:val="22"/>
        </w:rPr>
      </w:pPr>
    </w:p>
    <w:p w:rsidR="00F600C1" w:rsidRDefault="00F600C1" w14:paraId="6B326C03" w14:textId="77777777" w:rsidP="00A3727F">
      <w:pPr>
        <w:jc w:val="both"/>
        <w:spacing w:line="360" w:lineRule="auto"/>
        <w:rPr>
          <w:rFonts w:ascii="Arial" w:cs="Arial" w:hAnsi="Arial"/>
          <w:sz w:val="22"/>
          <w:szCs w:val="22"/>
        </w:rPr>
      </w:pPr>
    </w:p>
    <w:p w:rsidR="00F600C1" w:rsidRDefault="00F600C1" w14:paraId="62D34ADC" w14:textId="77777777" w:rsidP="00A3727F">
      <w:pPr>
        <w:jc w:val="both"/>
        <w:spacing w:line="360" w:lineRule="auto"/>
        <w:rPr>
          <w:rFonts w:ascii="Arial" w:cs="Arial" w:hAnsi="Arial"/>
          <w:sz w:val="22"/>
          <w:szCs w:val="22"/>
        </w:rPr>
      </w:pPr>
    </w:p>
    <w:p w:rsidR="00F600C1" w:rsidRDefault="00F600C1" w14:paraId="1405A9E2" w14:textId="77777777" w:rsidP="00A3727F">
      <w:pPr>
        <w:jc w:val="both"/>
        <w:spacing w:line="360" w:lineRule="auto"/>
        <w:rPr>
          <w:rFonts w:ascii="Arial" w:cs="Arial" w:hAnsi="Arial"/>
          <w:sz w:val="22"/>
          <w:szCs w:val="22"/>
        </w:rPr>
      </w:pPr>
    </w:p>
    <w:p w:rsidR="007564CC" w:rsidRDefault="007564CC" w14:paraId="0268F2E2" w14:textId="77777777" w:rsidP="00A3727F" w:rsidRPr="000658D8">
      <w:pPr>
        <w:jc w:val="both"/>
        <w:spacing w:line="360" w:lineRule="auto"/>
        <w:rPr>
          <w:rFonts w:ascii="Arial" w:cs="Arial" w:hAnsi="Arial"/>
          <w:sz w:val="22"/>
          <w:szCs w:val="22"/>
        </w:rPr>
      </w:pPr>
    </w:p>
    <w:p w:rsidR="007202B0" w:rsidRDefault="00FC250D" w14:paraId="74E82D84" w14:textId="2D5BED67" w:rsidP="007564CC" w:rsidRPr="00A3727F">
      <w:pPr>
        <w:pStyle w:val="Heading2"/>
      </w:pPr>
      <w:bookmarkStart w:id="4" w:name="_Toc222393411"/>
      <w:r w:rsidRPr="00A3727F">
        <w:t>Impact on Patients and Service Users</w:t>
        <w:lastRenderedPageBreak/>
      </w:r>
      <w:bookmarkEnd w:id="4"/>
    </w:p>
    <w:p w:rsidR="007251C8" w:rsidRDefault="007251C8" w14:paraId="268860C1" w14:textId="77777777" w:rsidP="00A3727F" w:rsidRPr="00A3727F">
      <w:pPr>
        <w:jc w:val="both"/>
        <w:spacing w:line="360" w:lineRule="auto"/>
        <w:rPr>
          <w:rFonts w:ascii="Arial" w:cs="Arial" w:hAnsi="Arial"/>
          <w:sz w:val="22"/>
          <w:szCs w:val="22"/>
        </w:rPr>
      </w:pPr>
    </w:p>
    <w:p w:rsidR="00A04B95" w:rsidRDefault="008B7BCC" w14:paraId="5D804337" w14:textId="0874E949" w:rsidP="00A3727F" w:rsidRPr="00A3727F">
      <w:pPr>
        <w:jc w:val="both"/>
        <w:spacing w:line="360" w:lineRule="auto"/>
        <w:rPr>
          <w:rFonts w:ascii="Arial" w:cs="Arial" w:hAnsi="Arial"/>
          <w:sz w:val="22"/>
          <w:szCs w:val="22"/>
        </w:rPr>
      </w:pPr>
      <w:r>
        <w:rPr>
          <w:noProof/>
        </w:rPr>
        <w:drawing>
          <wp:inline distB="0" distL="0" distR="0" distT="0" wp14:anchorId="08263AC3" wp14:editId="1C03E0CD">
            <wp:extent cx="5341620" cy="3795395"/>
            <wp:effectExtent l="0" t="0" r="0" b="0"/>
            <wp:docPr id="14859000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900069" name=""/>
                    <pic:cNvPicPr/>
                  </pic:nvPicPr>
                  <pic:blipFill>
                    <a:blip r:embed="rId13"/>
                    <a:stretch>
                      <a:fillRect/>
                    </a:stretch>
                  </pic:blipFill>
                  <pic:spPr>
                    <a:xfrm>
                      <a:off x="0" y="0"/>
                      <a:ext cx="5346919" cy="3799397"/>
                    </a:xfrm>
                    <a:prstGeom prst="rect">
                      <a:avLst/>
                    </a:prstGeom>
                  </pic:spPr>
                </pic:pic>
              </a:graphicData>
            </a:graphic>
          </wp:inline>
        </w:drawing>
      </w:r>
    </w:p>
    <w:p w:rsidR="007E3CE1" w:rsidRDefault="00B47253" w14:paraId="555E18D1" w14:textId="343A02F1" w:rsidP="00A3727F" w:rsidRPr="00A3727F">
      <w:pPr>
        <w:jc w:val="both"/>
        <w:spacing w:line="360" w:lineRule="auto"/>
        <w:rPr>
          <w:rFonts w:ascii="Arial" w:cs="Arial" w:hAnsi="Arial"/>
          <w:sz w:val="22"/>
          <w:szCs w:val="22"/>
        </w:rPr>
      </w:pPr>
      <w:r w:rsidRPr="00A3727F">
        <w:rPr>
          <w:rFonts w:ascii="Arial" w:cs="Arial" w:hAnsi="Arial"/>
          <w:sz w:val="22"/>
          <w:szCs w:val="22"/>
        </w:rPr>
        <w:t>Patients and service users have probably been most visible beneficiaries of the NHS App. The App enables users to book appointments 24/7 and order repeat prescriptions. Users can also access COVID-19 vaccination status, and view GP health records. As a result, reliance on telephone queuing and in-person visits for admin purposes has gone down. (Healthwatch England, 2021; NHS England, 2023a) For many users, especially those of working age and with caring responsibilities, this flexibility makes it easier for them to access care with less hassle (The King’s Fund, 2022). The App improves independence and empowers patients to manage long-term conditions for digitally confident patients. Patient access to coded medical information, test results and medication history will enhance transparency and shared decision-making, consistent with person-</w:t>
      </w:r>
      <w:r w:rsidR="00F600C1" w:rsidRPr="00A3727F">
        <w:rPr>
          <w:rFonts w:ascii="Arial" w:cs="Arial" w:hAnsi="Arial"/>
          <w:sz w:val="22"/>
          <w:szCs w:val="22"/>
        </w:rPr>
        <w:t>centered</w:t>
      </w:r>
      <w:r w:rsidRPr="00A3727F">
        <w:rPr>
          <w:rFonts w:ascii="Arial" w:cs="Arial" w:hAnsi="Arial"/>
          <w:sz w:val="22"/>
          <w:szCs w:val="22"/>
        </w:rPr>
        <w:t xml:space="preserve"> care (NHS England, 2023a; Coulter et al., 2015). According to research conducted by Neves et al. in 2020, patients are more likely to identify errors, adhere to their medication regime, and be proactive in consultations when they view their records. This is consistent with wider NHS policy promises to digitally enabled self-care and </w:t>
      </w:r>
      <w:r w:rsidR="00F600C1" w:rsidRPr="00A3727F">
        <w:rPr>
          <w:rFonts w:ascii="Arial" w:cs="Arial" w:hAnsi="Arial"/>
          <w:sz w:val="22"/>
          <w:szCs w:val="22"/>
        </w:rPr>
        <w:t>personalized</w:t>
      </w:r>
      <w:r w:rsidRPr="00A3727F">
        <w:rPr>
          <w:rFonts w:ascii="Arial" w:cs="Arial" w:hAnsi="Arial"/>
          <w:sz w:val="22"/>
          <w:szCs w:val="22"/>
        </w:rPr>
        <w:t xml:space="preserve"> health systems through the NHS digital transformation strategies (NHS England, 2019). In addition, some users may experience decreased stigma here. Individuals who require help for sensitive </w:t>
      </w:r>
      <w:r w:rsidRPr="00A3727F">
        <w:rPr>
          <w:rFonts w:ascii="Arial" w:cs="Arial" w:hAnsi="Arial"/>
          <w:sz w:val="22"/>
          <w:szCs w:val="22"/>
        </w:rPr>
        <w:t xml:space="preserve">conditions are more likely to contact a clinician digitally instead of through reception staff (Atherton et al., 2018). People with limited mobility or chronic illness can reduce the strain of moving and transport barriers to obtaining prescriptions and organizing appointments (Shaw et al., 2018). In </w:t>
        <w:lastRenderedPageBreak/>
      </w:r>
      <w:r w:rsidR="00F600C1" w:rsidRPr="00A3727F">
        <w:rPr>
          <w:rFonts w:ascii="Arial" w:cs="Arial" w:hAnsi="Arial"/>
          <w:sz w:val="22"/>
          <w:szCs w:val="22"/>
        </w:rPr>
        <w:t>this regard</w:t>
      </w:r>
      <w:r w:rsidRPr="00A3727F">
        <w:rPr>
          <w:rFonts w:ascii="Arial" w:cs="Arial" w:hAnsi="Arial"/>
          <w:sz w:val="22"/>
          <w:szCs w:val="22"/>
        </w:rPr>
        <w:t>, the NHS App may increase accessibility for some groups.</w:t>
      </w:r>
    </w:p>
    <w:p w:rsidR="00654CD4" w:rsidRDefault="002D7D48" w14:paraId="3605ACA8" w14:textId="669D649A" w:rsidP="00A3727F" w:rsidRPr="00A3727F">
      <w:pPr>
        <w:jc w:val="both"/>
        <w:spacing w:line="360" w:lineRule="auto"/>
        <w:rPr>
          <w:rFonts w:ascii="Arial" w:cs="Arial" w:hAnsi="Arial"/>
          <w:sz w:val="22"/>
          <w:szCs w:val="22"/>
        </w:rPr>
      </w:pPr>
      <w:r w:rsidRPr="00A3727F">
        <w:rPr>
          <w:rFonts w:ascii="Arial" w:cs="Arial" w:hAnsi="Arial"/>
          <w:sz w:val="22"/>
          <w:szCs w:val="22"/>
        </w:rPr>
        <w:t xml:space="preserve">However, benefits are not equally shared. Digital exclusion is still a major structural issue. Millions of adults in the UK do not have reliable access to the internet, </w:t>
      </w:r>
      <w:r w:rsidR="00F600C1" w:rsidRPr="00A3727F">
        <w:rPr>
          <w:rFonts w:ascii="Arial" w:cs="Arial" w:hAnsi="Arial"/>
          <w:sz w:val="22"/>
          <w:szCs w:val="22"/>
        </w:rPr>
        <w:t>smart devices</w:t>
      </w:r>
      <w:r w:rsidRPr="00A3727F">
        <w:rPr>
          <w:rFonts w:ascii="Arial" w:cs="Arial" w:hAnsi="Arial"/>
          <w:sz w:val="22"/>
          <w:szCs w:val="22"/>
        </w:rPr>
        <w:t xml:space="preserve">, or the confidence to use online systems (Good Things Foundation, 2022). According to 2023 data from Lloyds Bank, around 10 million people in the UK do not have basic digital skills. Individuals with limited ability or experience in using the Internet. Older, low-income, disability, migrants, and low English proficiency people are disproportionately affected. Consequently, digital-first approaches may perpetuate inequities in health and </w:t>
      </w:r>
      <w:r w:rsidR="00F600C1" w:rsidRPr="00A3727F">
        <w:rPr>
          <w:rFonts w:ascii="Arial" w:cs="Arial" w:hAnsi="Arial"/>
          <w:sz w:val="22"/>
          <w:szCs w:val="22"/>
        </w:rPr>
        <w:t>socioeconomics</w:t>
      </w:r>
      <w:r w:rsidRPr="00A3727F">
        <w:rPr>
          <w:rFonts w:ascii="Arial" w:cs="Arial" w:hAnsi="Arial"/>
          <w:sz w:val="22"/>
          <w:szCs w:val="22"/>
        </w:rPr>
        <w:t xml:space="preserve"> (The Health Foundation, 2021). Barriers of language and accessibility are quite serious. The accessible features incorporated into the NHS App might enable the navigation of some disabled people. However, people with visual impairments, cognitive impairments or limited English literacy might find it difficult to navigate or comprehend (Maguire et al., 2022). Lack of translation services or user-friendly design can further </w:t>
      </w:r>
      <w:r w:rsidR="00F600C1" w:rsidRPr="00A3727F">
        <w:rPr>
          <w:rFonts w:ascii="Arial" w:cs="Arial" w:hAnsi="Arial"/>
          <w:sz w:val="22"/>
          <w:szCs w:val="22"/>
        </w:rPr>
        <w:t>marginalize</w:t>
      </w:r>
      <w:r w:rsidRPr="00A3727F">
        <w:rPr>
          <w:rFonts w:ascii="Arial" w:cs="Arial" w:hAnsi="Arial"/>
          <w:sz w:val="22"/>
          <w:szCs w:val="22"/>
        </w:rPr>
        <w:t xml:space="preserve"> already disadvantaged users of digital platforms (Greenhalgh et al., 2020). For reducing the risk of exclusion, inclusive design principles such as co-production with diverse patient groups are essential (</w:t>
      </w:r>
      <w:proofErr w:type="spellStart"/>
      <w:r w:rsidRPr="00A3727F">
        <w:rPr>
          <w:rFonts w:ascii="Arial" w:cs="Arial" w:hAnsi="Arial"/>
          <w:sz w:val="22"/>
          <w:szCs w:val="22"/>
        </w:rPr>
        <w:t>Locock</w:t>
      </w:r>
      <w:proofErr w:type="spellEnd"/>
      <w:r w:rsidRPr="00A3727F">
        <w:rPr>
          <w:rFonts w:ascii="Arial" w:cs="Arial" w:hAnsi="Arial"/>
          <w:sz w:val="22"/>
          <w:szCs w:val="22"/>
        </w:rPr>
        <w:t xml:space="preserve"> et al.,2021). Geographic disparities hinder access further. Rural residents with unreliable broadband may not remain consistently connected with digital health services. Thereby affecting their usage of the same. Rural areas of England, Scotland, and Wales experience mobile coverage and broadband quality discrepancies, according to Ofcom (2022) reports. If GP practices focus on making access more digital or cut back on telephone capacity, people in the area who cannot access digital may not be responded to as quickly or will have to wait longer (The King’s Fund, 2022). Trust and data security make reference to another dimension. Even though the NHS works under tough information governance processes, trust can be fragile, especially after the National Audit Office investigated high-profile data-sharing incidents (2020). Patients should trust that their sensitive health data is securely stored, managed transparently and not misused. Some users might limit their engagement with a digital health tool, especially those from communities with a long-standing </w:t>
      </w:r>
      <w:r w:rsidR="00F600C1" w:rsidRPr="00A3727F">
        <w:rPr>
          <w:rFonts w:ascii="Arial" w:cs="Arial" w:hAnsi="Arial"/>
          <w:sz w:val="22"/>
          <w:szCs w:val="22"/>
        </w:rPr>
        <w:t>skepticism</w:t>
      </w:r>
      <w:r w:rsidRPr="00A3727F">
        <w:rPr>
          <w:rFonts w:ascii="Arial" w:cs="Arial" w:hAnsi="Arial"/>
          <w:sz w:val="22"/>
          <w:szCs w:val="22"/>
        </w:rPr>
        <w:t xml:space="preserve"> of institutional data collection (The Health Foundation, 2021).</w:t>
      </w:r>
    </w:p>
    <w:p w:rsidR="00553065" w:rsidRDefault="00654CD4" w14:paraId="72468231" w14:textId="09DCB14C" w:rsidP="00A3727F" w:rsidRPr="00A3727F">
      <w:pPr>
        <w:jc w:val="both"/>
        <w:spacing w:line="360" w:lineRule="auto"/>
        <w:rPr>
          <w:rFonts w:ascii="Arial" w:cs="Arial" w:hAnsi="Arial"/>
          <w:sz w:val="22"/>
          <w:szCs w:val="22"/>
        </w:rPr>
      </w:pPr>
      <w:r w:rsidRPr="00A3727F">
        <w:rPr>
          <w:rFonts w:ascii="Arial" w:cs="Arial" w:hAnsi="Arial"/>
          <w:sz w:val="22"/>
          <w:szCs w:val="22"/>
        </w:rPr>
        <w:t xml:space="preserve">There are effects on </w:t>
      </w:r>
      <w:r w:rsidR="00F600C1" w:rsidRPr="00A3727F">
        <w:rPr>
          <w:rFonts w:ascii="Arial" w:cs="Arial" w:hAnsi="Arial"/>
          <w:sz w:val="22"/>
          <w:szCs w:val="22"/>
        </w:rPr>
        <w:t>behavior</w:t>
      </w:r>
      <w:r w:rsidRPr="00A3727F">
        <w:rPr>
          <w:rFonts w:ascii="Arial" w:cs="Arial" w:hAnsi="Arial"/>
          <w:sz w:val="22"/>
          <w:szCs w:val="22"/>
        </w:rPr>
        <w:t xml:space="preserve"> also. The rise in contact with services could be contributed by people contacting more often with increased ease of access (</w:t>
      </w:r>
      <w:proofErr w:type="spellStart"/>
      <w:r w:rsidRPr="00A3727F">
        <w:rPr>
          <w:rFonts w:ascii="Arial" w:cs="Arial" w:hAnsi="Arial"/>
          <w:sz w:val="22"/>
          <w:szCs w:val="22"/>
        </w:rPr>
        <w:t>Bakhai</w:t>
      </w:r>
      <w:proofErr w:type="spellEnd"/>
      <w:r w:rsidRPr="00A3727F">
        <w:rPr>
          <w:rFonts w:ascii="Arial" w:cs="Arial" w:hAnsi="Arial"/>
          <w:sz w:val="22"/>
          <w:szCs w:val="22"/>
        </w:rPr>
        <w:t xml:space="preserve"> et al., 2020). Like unmet need, this situation may reflect some frustration when systems produce automated messages or </w:t>
      </w:r>
      <w:r w:rsidRPr="00A3727F">
        <w:rPr>
          <w:rFonts w:ascii="Arial" w:cs="Arial" w:hAnsi="Arial"/>
          <w:sz w:val="22"/>
          <w:szCs w:val="22"/>
        </w:rPr>
        <w:t xml:space="preserve">delays that fall short of meeting patient needs (Murphy et al., 2021). The instantaneous access to the internet can raise expectations that the clinical will respond just as quickly, which may make them less satisfied when their capacity does not allow for that. The NHS App promotes empowerment while presenting risks of exclusion, suggests the critique. It bolsters self-sufficiency, transparency, and convenience of digitally literate citizens. These are </w:t>
        <w:lastRenderedPageBreak/>
      </w:r>
      <w:r w:rsidR="00F600C1" w:rsidRPr="00A3727F">
        <w:rPr>
          <w:rFonts w:ascii="Arial" w:cs="Arial" w:hAnsi="Arial"/>
          <w:sz w:val="22"/>
          <w:szCs w:val="22"/>
        </w:rPr>
        <w:t>new age</w:t>
      </w:r>
      <w:r w:rsidRPr="00A3727F">
        <w:rPr>
          <w:rFonts w:ascii="Arial" w:cs="Arial" w:hAnsi="Arial"/>
          <w:sz w:val="22"/>
          <w:szCs w:val="22"/>
        </w:rPr>
        <w:t xml:space="preserve"> expectations for on demand digital services. However, without complementary non-digital routes, investment in community-based digital literacy </w:t>
      </w:r>
      <w:r w:rsidR="00F600C1" w:rsidRPr="00A3727F">
        <w:rPr>
          <w:rFonts w:ascii="Arial" w:cs="Arial" w:hAnsi="Arial"/>
          <w:sz w:val="22"/>
          <w:szCs w:val="22"/>
        </w:rPr>
        <w:t>programs</w:t>
      </w:r>
      <w:r w:rsidRPr="00A3727F">
        <w:rPr>
          <w:rFonts w:ascii="Arial" w:cs="Arial" w:hAnsi="Arial"/>
          <w:sz w:val="22"/>
          <w:szCs w:val="22"/>
        </w:rPr>
        <w:t xml:space="preserve"> and infrastructure improvements, it may widen inequalities between connected and disconnected groups (Good Things Foundation, 2022; The Health Foundation, 2021). In conclusion, healthcare digital transformation would also require inclusive design, options to access (such as telephone and face-to-face), culturally appropriate engagement strategies and sustained public trust building. The NHS App’s long-term sustainability and effectiveness will depend not only on the technologies it uses but also its ability to accommodate the diverse patient populations across the country. The NHS App is one of the most important digital innovations in UK healthcare in a decade. The NHS England initiative reflects broader policy ambitions to </w:t>
      </w:r>
      <w:r w:rsidR="00F600C1" w:rsidRPr="00A3727F">
        <w:rPr>
          <w:rFonts w:ascii="Arial" w:cs="Arial" w:hAnsi="Arial"/>
          <w:sz w:val="22"/>
          <w:szCs w:val="22"/>
        </w:rPr>
        <w:t>modernize</w:t>
      </w:r>
      <w:r w:rsidRPr="00A3727F">
        <w:rPr>
          <w:rFonts w:ascii="Arial" w:cs="Arial" w:hAnsi="Arial"/>
          <w:sz w:val="22"/>
          <w:szCs w:val="22"/>
        </w:rPr>
        <w:t xml:space="preserve"> primary care, improve system efficiency, and empower patients as part of wider digital transformation strategies. The use of digital means by the NHS has grown rapidly and more so due to and since Covid-19 pandemic. However, as this critical evaluation has shown, its impact is both uneven and contradictory. The App has done little in eliminating pressure for the workforce but redistributing it. Maintenance of phone systems has been replaced by monitoring of messages, reviewing automated filters and platforms. The competent use of remote consultation, digital record keeping, and risk assessment in a virtual setting are increasingly becoming an essential requirement of clinical roles. The Topol Review identified digital upskilling of the workforce as an urgent priority (Health Education England, 2019) and these changes are in response to this. If there isn’t an ongoing investment in professional development and structured change management, the risk is that digital innovation will contribute, rather than alleviate, burnout (The King’s Fund, 2022).</w:t>
      </w:r>
    </w:p>
    <w:p w:rsidR="00553065" w:rsidRDefault="00F600C1" w14:paraId="5154FA7B" w14:textId="0B099A5D" w:rsidP="00A3727F" w:rsidRPr="00553065">
      <w:pPr>
        <w:jc w:val="both"/>
        <w:spacing w:line="360" w:lineRule="auto"/>
        <w:rPr>
          <w:rFonts w:ascii="Arial" w:cs="Arial" w:hAnsi="Arial"/>
          <w:sz w:val="22"/>
          <w:szCs w:val="22"/>
        </w:rPr>
      </w:pPr>
      <w:r w:rsidRPr="00553065">
        <w:rPr>
          <w:rFonts w:ascii="Arial" w:cs="Arial" w:hAnsi="Arial"/>
          <w:sz w:val="22"/>
          <w:szCs w:val="22"/>
        </w:rPr>
        <w:t>Regarding</w:t>
      </w:r>
      <w:r w:rsidR="00553065" w:rsidRPr="00553065">
        <w:rPr>
          <w:rFonts w:ascii="Arial" w:cs="Arial" w:hAnsi="Arial"/>
          <w:sz w:val="22"/>
          <w:szCs w:val="22"/>
        </w:rPr>
        <w:t xml:space="preserve"> service delivery, the NHS App has enabled the booking of appointments, ordering of prescriptions and access to </w:t>
      </w:r>
      <w:r w:rsidR="002955FF" w:rsidRPr="00A3727F">
        <w:rPr>
          <w:rFonts w:ascii="Arial" w:cs="Arial" w:hAnsi="Arial"/>
          <w:sz w:val="22"/>
          <w:szCs w:val="22"/>
        </w:rPr>
        <w:t>patients’</w:t>
      </w:r>
      <w:r w:rsidR="00553065" w:rsidRPr="00553065">
        <w:rPr>
          <w:rFonts w:ascii="Arial" w:cs="Arial" w:hAnsi="Arial"/>
          <w:sz w:val="22"/>
          <w:szCs w:val="22"/>
        </w:rPr>
        <w:t xml:space="preserve"> medical records; improving administrative efficiency and national </w:t>
      </w:r>
      <w:r w:rsidR="002955FF" w:rsidRPr="00A3727F">
        <w:rPr>
          <w:rFonts w:ascii="Arial" w:cs="Arial" w:hAnsi="Arial"/>
          <w:sz w:val="22"/>
          <w:szCs w:val="22"/>
        </w:rPr>
        <w:t>standardization</w:t>
      </w:r>
      <w:r w:rsidR="00553065" w:rsidRPr="00553065">
        <w:rPr>
          <w:rFonts w:ascii="Arial" w:cs="Arial" w:hAnsi="Arial"/>
          <w:sz w:val="22"/>
          <w:szCs w:val="22"/>
        </w:rPr>
        <w:t xml:space="preserve">. This helps to enable a more cohesive, data-driven model of care and aligns with NHS’s long-term digital plans. Nonetheless, on-going interoperability issues with GP IT systems, restrictions of legacy software, and uneven infrastructure across regions undermine consistent functioning (The Health Foundation, 2021). Due to heightened public awareness of data governance, as well as previous system-level reviews by the National Audit Office (2020), cybersecurity remains an ongoing priority. Therefore, the public will continue to have confidence </w:t>
      </w:r>
      <w:r w:rsidR="00553065" w:rsidRPr="00553065">
        <w:rPr>
          <w:rFonts w:ascii="Arial" w:cs="Arial" w:hAnsi="Arial"/>
          <w:sz w:val="22"/>
          <w:szCs w:val="22"/>
        </w:rPr>
        <w:t>if transparency and technological resilience are maintained. The App has made it easier, more empowering and has made it more transparent. Users confident in using digital tools enjoy having access to their health information any time of the day and greater visibility of it. This strengthens the principles of person-</w:t>
        <w:lastRenderedPageBreak/>
      </w:r>
      <w:r w:rsidR="002955FF" w:rsidRPr="00A3727F">
        <w:rPr>
          <w:rFonts w:ascii="Arial" w:cs="Arial" w:hAnsi="Arial"/>
          <w:sz w:val="22"/>
          <w:szCs w:val="22"/>
        </w:rPr>
        <w:t>centered</w:t>
      </w:r>
      <w:r w:rsidR="00553065" w:rsidRPr="00553065">
        <w:rPr>
          <w:rFonts w:ascii="Arial" w:cs="Arial" w:hAnsi="Arial"/>
          <w:sz w:val="22"/>
          <w:szCs w:val="22"/>
        </w:rPr>
        <w:t xml:space="preserve"> care. Digital exclusion continues to be a major structural issue. The Good Things Foundation (2022) shows that there remain inequalities in digital skills and internet-enabled devices amongst older people, those on low incomes and other </w:t>
      </w:r>
      <w:r w:rsidR="002955FF" w:rsidRPr="00A3727F">
        <w:rPr>
          <w:rFonts w:ascii="Arial" w:cs="Arial" w:hAnsi="Arial"/>
          <w:sz w:val="22"/>
          <w:szCs w:val="22"/>
        </w:rPr>
        <w:t>marginalized</w:t>
      </w:r>
      <w:r w:rsidR="00553065" w:rsidRPr="00553065">
        <w:rPr>
          <w:rFonts w:ascii="Arial" w:cs="Arial" w:hAnsi="Arial"/>
          <w:sz w:val="22"/>
          <w:szCs w:val="22"/>
        </w:rPr>
        <w:t xml:space="preserve"> groups. According to the Health Foundation (2021), the risk of exacerbating health inequalities is higher for these digital-first strategies if mitigated by inclusive policy safeguards. The NHS App shows that digital transformation does not necessarily equal improvement of systems. </w:t>
      </w:r>
    </w:p>
    <w:p w:rsidR="002955FF" w:rsidRDefault="00553065" w14:paraId="50ECE532" w14:textId="7B6A1D95" w:rsidP="007564CC" w:rsidRPr="007564CC">
      <w:pPr>
        <w:jc w:val="both"/>
        <w:spacing w:line="360" w:lineRule="auto"/>
        <w:rPr>
          <w:rFonts w:ascii="Arial" w:cs="Arial" w:hAnsi="Arial"/>
          <w:sz w:val="22"/>
          <w:szCs w:val="22"/>
        </w:rPr>
      </w:pPr>
      <w:r w:rsidRPr="00A3727F">
        <w:rPr>
          <w:rFonts w:ascii="Arial" w:cs="Arial" w:hAnsi="Arial"/>
          <w:sz w:val="22"/>
          <w:szCs w:val="22"/>
        </w:rPr>
        <w:t xml:space="preserve">Technology is an enabler; however, the outcomes depend on the level of </w:t>
      </w:r>
      <w:r w:rsidR="002955FF" w:rsidRPr="00A3727F">
        <w:rPr>
          <w:rFonts w:ascii="Arial" w:cs="Arial" w:hAnsi="Arial"/>
          <w:sz w:val="22"/>
          <w:szCs w:val="22"/>
        </w:rPr>
        <w:t>organization</w:t>
      </w:r>
      <w:r w:rsidRPr="00A3727F">
        <w:rPr>
          <w:rFonts w:ascii="Arial" w:cs="Arial" w:hAnsi="Arial"/>
          <w:sz w:val="22"/>
          <w:szCs w:val="22"/>
        </w:rPr>
        <w:t xml:space="preserve"> readiness, employee engagement, investment in infrastructure and implementation from an equity perspective. Who benefits the most from digital healthcare reform will depend on structural determinants like income, education, access to regional connectivity and digital literacy.</w:t>
      </w:r>
    </w:p>
    <w:p w:rsidR="00C064AD" w:rsidRDefault="00C064AD" w14:paraId="6DC63CB3" w14:textId="51C36B01" w:rsidP="007564CC" w:rsidRPr="00C064AD">
      <w:pPr>
        <w:pStyle w:val="Heading2"/>
        <w:rPr>
          <w:bCs/>
          <w:b/>
        </w:rPr>
      </w:pPr>
      <w:bookmarkStart w:id="5" w:name="_Toc222393412"/>
      <w:r w:rsidRPr="00C064AD">
        <w:rPr>
          <w:bCs/>
          <w:b/>
        </w:rPr>
        <w:t>Recommendations</w:t>
      </w:r>
      <w:bookmarkEnd w:id="5"/>
    </w:p>
    <w:p w:rsidR="00EC3109" w:rsidRDefault="00F600C1" w14:paraId="25FA668A" w14:textId="538D1A50" w:rsidP="00A3727F" w:rsidRPr="00A3727F">
      <w:pPr>
        <w:jc w:val="both"/>
        <w:spacing w:line="360" w:lineRule="auto"/>
        <w:rPr>
          <w:rFonts w:ascii="Arial" w:cs="Arial" w:hAnsi="Arial"/>
          <w:sz w:val="22"/>
          <w:szCs w:val="22"/>
        </w:rPr>
      </w:pPr>
      <w:r w:rsidRPr="006472B9">
        <w:rPr>
          <w:rFonts w:ascii="Arial" w:cs="Arial" w:hAnsi="Arial"/>
          <w:sz w:val="22"/>
          <w:szCs w:val="22"/>
        </w:rPr>
        <w:t>To</w:t>
      </w:r>
      <w:r w:rsidR="006472B9" w:rsidRPr="006472B9">
        <w:rPr>
          <w:rFonts w:ascii="Arial" w:cs="Arial" w:hAnsi="Arial"/>
          <w:sz w:val="22"/>
          <w:szCs w:val="22"/>
        </w:rPr>
        <w:t xml:space="preserve"> use the NHS App to </w:t>
      </w:r>
      <w:r w:rsidRPr="006472B9">
        <w:rPr>
          <w:rFonts w:ascii="Arial" w:cs="Arial" w:hAnsi="Arial"/>
          <w:sz w:val="22"/>
          <w:szCs w:val="22"/>
        </w:rPr>
        <w:t>maximize</w:t>
      </w:r>
      <w:r w:rsidR="006472B9" w:rsidRPr="006472B9">
        <w:rPr>
          <w:rFonts w:ascii="Arial" w:cs="Arial" w:hAnsi="Arial"/>
          <w:sz w:val="22"/>
          <w:szCs w:val="22"/>
        </w:rPr>
        <w:t xml:space="preserve"> benefits and not risks on UK healthcare, the NHS App can undertake the following strategies. </w:t>
      </w:r>
    </w:p>
    <w:p w:rsidR="00EC3109" w:rsidRDefault="006472B9" w14:paraId="7F75597B" w14:textId="38F79D8E" w:rsidP="00A3727F" w:rsidRPr="007564CC">
      <w:pPr>
        <w:pStyle w:val="ListParagraph"/>
        <w:numPr>
          <w:ilvl w:val="0"/>
          <w:numId w:val="1"/>
        </w:numPr>
        <w:jc w:val="both"/>
        <w:spacing w:line="360" w:lineRule="auto"/>
        <w:rPr>
          <w:bCs/>
          <w:b/>
          <w:rFonts w:ascii="Arial" w:cs="Arial" w:hAnsi="Arial"/>
          <w:sz w:val="22"/>
          <w:szCs w:val="22"/>
        </w:rPr>
      </w:pPr>
      <w:r w:rsidRPr="007564CC">
        <w:rPr>
          <w:bCs/>
          <w:b/>
          <w:rFonts w:ascii="Arial" w:cs="Arial" w:hAnsi="Arial"/>
          <w:sz w:val="22"/>
          <w:szCs w:val="22"/>
        </w:rPr>
        <w:t>Strengthened employee upskilling</w:t>
      </w:r>
    </w:p>
    <w:p w:rsidR="00EC3109" w:rsidRDefault="006472B9" w14:paraId="35898EB6" w14:textId="51FF948B" w:rsidP="00A3727F" w:rsidRPr="00A3727F">
      <w:pPr>
        <w:jc w:val="both"/>
        <w:spacing w:line="360" w:lineRule="auto"/>
        <w:rPr>
          <w:rFonts w:ascii="Arial" w:cs="Arial" w:hAnsi="Arial"/>
          <w:sz w:val="22"/>
          <w:szCs w:val="22"/>
        </w:rPr>
      </w:pPr>
      <w:r w:rsidRPr="00A3727F">
        <w:rPr>
          <w:rFonts w:ascii="Arial" w:cs="Arial" w:hAnsi="Arial"/>
          <w:sz w:val="22"/>
          <w:szCs w:val="22"/>
        </w:rPr>
        <w:t xml:space="preserve">In primary care, continuing professional development (CPD) frameworks must embed digital competency training </w:t>
      </w:r>
      <w:r w:rsidR="00F600C1" w:rsidRPr="00A3727F">
        <w:rPr>
          <w:rFonts w:ascii="Arial" w:cs="Arial" w:hAnsi="Arial"/>
          <w:sz w:val="22"/>
          <w:szCs w:val="22"/>
        </w:rPr>
        <w:t>programs</w:t>
      </w:r>
      <w:r w:rsidRPr="00A3727F">
        <w:rPr>
          <w:rFonts w:ascii="Arial" w:cs="Arial" w:hAnsi="Arial"/>
          <w:sz w:val="22"/>
          <w:szCs w:val="22"/>
        </w:rPr>
        <w:t xml:space="preserve"> as compulsory into CPD. Training should include digital triage, awareness of cybersecurity, data interpretation, and remote consultations best practice In order to adopt this intervention without increasing workload stress, protected learning time and leadership support is necessary (Health Education England, 2019). </w:t>
      </w:r>
    </w:p>
    <w:p w:rsidR="00EC3109" w:rsidRDefault="006472B9" w14:paraId="70E9B955" w14:textId="77777777" w:rsidP="00A3727F" w:rsidRPr="007564CC">
      <w:pPr>
        <w:jc w:val="both"/>
        <w:spacing w:line="360" w:lineRule="auto"/>
        <w:rPr>
          <w:bCs/>
          <w:b/>
          <w:rFonts w:ascii="Arial" w:cs="Arial" w:hAnsi="Arial"/>
          <w:sz w:val="22"/>
          <w:szCs w:val="22"/>
        </w:rPr>
      </w:pPr>
      <w:r w:rsidRPr="006472B9">
        <w:rPr>
          <w:bCs/>
          <w:b/>
          <w:rFonts w:ascii="Arial" w:cs="Arial" w:hAnsi="Arial"/>
          <w:sz w:val="22"/>
          <w:szCs w:val="22"/>
        </w:rPr>
        <w:t>2. Funding in digital inclusion</w:t>
      </w:r>
    </w:p>
    <w:p w:rsidR="00EC3109" w:rsidRDefault="006472B9" w14:paraId="774C1D21" w14:textId="3E2A1EBB" w:rsidP="00A3727F" w:rsidRPr="00A3727F">
      <w:pPr>
        <w:jc w:val="both"/>
        <w:spacing w:line="360" w:lineRule="auto"/>
        <w:rPr>
          <w:rFonts w:ascii="Arial" w:cs="Arial" w:hAnsi="Arial"/>
          <w:sz w:val="22"/>
          <w:szCs w:val="22"/>
        </w:rPr>
      </w:pPr>
      <w:r w:rsidRPr="006472B9">
        <w:rPr>
          <w:rFonts w:ascii="Arial" w:cs="Arial" w:hAnsi="Arial"/>
          <w:sz w:val="22"/>
          <w:szCs w:val="22"/>
        </w:rPr>
        <w:t xml:space="preserve"> Funding for community digital literacy schemes, device loan schemes and accessible design should be scaled up by NHS and Government bodies. Collaborating with local authorities and voluntary organizations can assist in better targeting underserved populations. Importantly, we must keep non-digital access routes (telephone and face-to-face options) to ensure access equity. </w:t>
      </w:r>
    </w:p>
    <w:p w:rsidR="00EC3109" w:rsidRDefault="006472B9" w14:paraId="03891CFF" w14:textId="77777777" w:rsidP="00A3727F" w:rsidRPr="007564CC">
      <w:pPr>
        <w:jc w:val="both"/>
        <w:spacing w:line="360" w:lineRule="auto"/>
        <w:rPr>
          <w:bCs/>
          <w:b/>
          <w:rFonts w:ascii="Arial" w:cs="Arial" w:hAnsi="Arial"/>
          <w:sz w:val="22"/>
          <w:szCs w:val="22"/>
        </w:rPr>
      </w:pPr>
      <w:r w:rsidRPr="006472B9">
        <w:rPr>
          <w:bCs/>
          <w:b/>
          <w:rFonts w:ascii="Arial" w:cs="Arial" w:hAnsi="Arial"/>
          <w:sz w:val="22"/>
          <w:szCs w:val="22"/>
        </w:rPr>
        <w:t xml:space="preserve">3. Changeability Reform </w:t>
      </w:r>
    </w:p>
    <w:p w:rsidR="00EC3109" w:rsidRDefault="006472B9" w14:paraId="17387501" w14:textId="7364070F" w:rsidP="00A3727F" w:rsidRPr="00A3727F">
      <w:pPr>
        <w:jc w:val="both"/>
        <w:spacing w:line="360" w:lineRule="auto"/>
        <w:rPr>
          <w:rFonts w:ascii="Arial" w:cs="Arial" w:hAnsi="Arial"/>
          <w:sz w:val="22"/>
          <w:szCs w:val="22"/>
        </w:rPr>
      </w:pPr>
      <w:r w:rsidRPr="006472B9">
        <w:rPr>
          <w:rFonts w:ascii="Arial" w:cs="Arial" w:hAnsi="Arial"/>
          <w:sz w:val="22"/>
          <w:szCs w:val="22"/>
        </w:rPr>
        <w:t xml:space="preserve">There is a need for a </w:t>
      </w:r>
      <w:r w:rsidR="00F600C1" w:rsidRPr="006472B9">
        <w:rPr>
          <w:rFonts w:ascii="Arial" w:cs="Arial" w:hAnsi="Arial"/>
          <w:sz w:val="22"/>
          <w:szCs w:val="22"/>
        </w:rPr>
        <w:t>standardized</w:t>
      </w:r>
      <w:r w:rsidRPr="006472B9">
        <w:rPr>
          <w:rFonts w:ascii="Arial" w:cs="Arial" w:hAnsi="Arial"/>
          <w:sz w:val="22"/>
          <w:szCs w:val="22"/>
        </w:rPr>
        <w:t xml:space="preserve"> IT infrastructure and better integration of GP clinical systems to enable uniform functionality and eliminate duplication. National procurement strategies and </w:t>
      </w:r>
      <w:r w:rsidRPr="006472B9">
        <w:rPr>
          <w:rFonts w:ascii="Arial" w:cs="Arial" w:hAnsi="Arial"/>
          <w:sz w:val="22"/>
          <w:szCs w:val="22"/>
        </w:rPr>
        <w:t xml:space="preserve">technical standards should facilitate smooth data transfer irrespective of care setting to support ICS objectives. </w:t>
        <w:lastRenderedPageBreak/>
      </w:r>
    </w:p>
    <w:p w:rsidR="00EC3109" w:rsidRDefault="006472B9" w14:paraId="3D3EF8E2" w14:textId="77777777" w:rsidP="00A3727F" w:rsidRPr="007564CC">
      <w:pPr>
        <w:jc w:val="both"/>
        <w:spacing w:line="360" w:lineRule="auto"/>
        <w:rPr>
          <w:bCs/>
          <w:b/>
          <w:rFonts w:ascii="Arial" w:cs="Arial" w:hAnsi="Arial"/>
          <w:sz w:val="22"/>
          <w:szCs w:val="22"/>
        </w:rPr>
      </w:pPr>
      <w:r w:rsidRPr="006472B9">
        <w:rPr>
          <w:bCs/>
          <w:b/>
          <w:rFonts w:ascii="Arial" w:cs="Arial" w:hAnsi="Arial"/>
          <w:sz w:val="22"/>
          <w:szCs w:val="22"/>
        </w:rPr>
        <w:t xml:space="preserve">4. Enhancement of Cybersecurity </w:t>
      </w:r>
    </w:p>
    <w:p w:rsidR="00EC3109" w:rsidRDefault="006472B9" w14:paraId="0AA068D8" w14:textId="6260F90B" w:rsidP="00A3727F" w:rsidRPr="00A3727F">
      <w:pPr>
        <w:jc w:val="both"/>
        <w:spacing w:line="360" w:lineRule="auto"/>
        <w:rPr>
          <w:rFonts w:ascii="Arial" w:cs="Arial" w:hAnsi="Arial"/>
          <w:sz w:val="22"/>
          <w:szCs w:val="22"/>
        </w:rPr>
      </w:pPr>
      <w:r w:rsidRPr="006472B9">
        <w:rPr>
          <w:rFonts w:ascii="Arial" w:cs="Arial" w:hAnsi="Arial"/>
          <w:sz w:val="22"/>
          <w:szCs w:val="22"/>
        </w:rPr>
        <w:t xml:space="preserve">It is imperative to continually invest in data protection mechanisms, monitor threats and communicate with the public in </w:t>
      </w:r>
      <w:r w:rsidR="00EC3109" w:rsidRPr="00A3727F">
        <w:rPr>
          <w:rFonts w:ascii="Arial" w:cs="Arial" w:hAnsi="Arial"/>
          <w:sz w:val="22"/>
          <w:szCs w:val="22"/>
        </w:rPr>
        <w:t>real time</w:t>
      </w:r>
      <w:r w:rsidRPr="006472B9">
        <w:rPr>
          <w:rFonts w:ascii="Arial" w:cs="Arial" w:hAnsi="Arial"/>
          <w:sz w:val="22"/>
          <w:szCs w:val="22"/>
        </w:rPr>
        <w:t xml:space="preserve">. Clear governance structures and public consultation exercises can complement improvisation in digital health data management. </w:t>
      </w:r>
    </w:p>
    <w:p w:rsidR="00EC3109" w:rsidRDefault="006472B9" w14:paraId="0CF39F2A" w14:textId="77777777" w:rsidP="00A3727F" w:rsidRPr="007564CC">
      <w:pPr>
        <w:jc w:val="both"/>
        <w:spacing w:line="360" w:lineRule="auto"/>
        <w:rPr>
          <w:bCs/>
          <w:b/>
          <w:rFonts w:ascii="Arial" w:cs="Arial" w:hAnsi="Arial"/>
          <w:sz w:val="22"/>
          <w:szCs w:val="22"/>
        </w:rPr>
      </w:pPr>
      <w:r w:rsidRPr="006472B9">
        <w:rPr>
          <w:bCs/>
          <w:b/>
          <w:rFonts w:ascii="Arial" w:cs="Arial" w:hAnsi="Arial"/>
          <w:sz w:val="22"/>
          <w:szCs w:val="22"/>
        </w:rPr>
        <w:t xml:space="preserve">5. Constant assessment and co-creation </w:t>
      </w:r>
    </w:p>
    <w:p w:rsidR="006472B9" w:rsidRDefault="006472B9" w14:paraId="1D7B1F1E" w14:textId="287059C6" w:rsidP="00A3727F" w:rsidRPr="006472B9">
      <w:pPr>
        <w:jc w:val="both"/>
        <w:spacing w:line="360" w:lineRule="auto"/>
        <w:rPr>
          <w:rFonts w:ascii="Arial" w:cs="Arial" w:hAnsi="Arial"/>
          <w:sz w:val="22"/>
          <w:szCs w:val="22"/>
        </w:rPr>
      </w:pPr>
      <w:r w:rsidRPr="006472B9">
        <w:rPr>
          <w:rFonts w:ascii="Arial" w:cs="Arial" w:hAnsi="Arial"/>
          <w:sz w:val="22"/>
          <w:szCs w:val="22"/>
        </w:rPr>
        <w:t xml:space="preserve">It </w:t>
      </w:r>
      <w:r w:rsidR="00EC3109" w:rsidRPr="00A3727F">
        <w:rPr>
          <w:rFonts w:ascii="Arial" w:cs="Arial" w:hAnsi="Arial"/>
          <w:sz w:val="22"/>
          <w:szCs w:val="22"/>
        </w:rPr>
        <w:t>is</w:t>
      </w:r>
      <w:r w:rsidRPr="006472B9">
        <w:rPr>
          <w:rFonts w:ascii="Arial" w:cs="Arial" w:hAnsi="Arial"/>
          <w:sz w:val="22"/>
          <w:szCs w:val="22"/>
        </w:rPr>
        <w:t xml:space="preserve"> essential that digital systems are evaluated frequently with help of people working on the frontlines and different patient groups. Involvement of end-users in platform development leads to real-world clinical workflows and accessibility. In conclusion, the NHS App is a game-changing tool in the current UK health care reform, but it will only have any long-lasting value if the structural, social and organizational challenges are effectively overcome. The demand and workforce pressures require that we invest in digital innovation to ensure sustainability in healthcare delivery. Nonetheless, improvement is not anywhere near guaranteed simply through technology. </w:t>
      </w:r>
    </w:p>
    <w:p w:rsidR="00151B4E" w:rsidRDefault="006472B9" w14:paraId="64FBB006" w14:textId="012051D1" w:rsidP="00A3727F" w:rsidRPr="00A3727F">
      <w:pPr>
        <w:jc w:val="both"/>
        <w:spacing w:line="360" w:lineRule="auto"/>
        <w:rPr>
          <w:rFonts w:ascii="Arial" w:cs="Arial" w:hAnsi="Arial"/>
          <w:sz w:val="22"/>
          <w:szCs w:val="22"/>
        </w:rPr>
      </w:pPr>
      <w:r w:rsidRPr="00A3727F">
        <w:rPr>
          <w:rFonts w:ascii="Arial" w:cs="Arial" w:hAnsi="Arial"/>
          <w:sz w:val="22"/>
          <w:szCs w:val="22"/>
        </w:rPr>
        <w:t>Whether the NHS App narrows existing inequalities or magnifies them will depend on the equitable implementation of the App, workforce readiness, inclusive policy design and sustained investment in infrastructure.</w:t>
      </w:r>
    </w:p>
    <w:p w:rsidR="00151B4E" w:rsidRDefault="00151B4E" w14:paraId="68DF2A86" w14:textId="77777777" w:rsidP="00A3727F" w:rsidRPr="00A3727F">
      <w:pPr>
        <w:jc w:val="both"/>
        <w:spacing w:line="360" w:lineRule="auto"/>
        <w:rPr>
          <w:rFonts w:ascii="Arial" w:cs="Arial" w:hAnsi="Arial"/>
          <w:sz w:val="22"/>
          <w:szCs w:val="22"/>
        </w:rPr>
      </w:pPr>
    </w:p>
    <w:p w:rsidR="0068155F" w:rsidRDefault="0068155F" w14:paraId="69CF1EAE" w14:textId="77777777" w:rsidP="00A3727F" w:rsidRPr="00A3727F">
      <w:pPr>
        <w:jc w:val="both"/>
        <w:spacing w:line="360" w:lineRule="auto"/>
        <w:rPr>
          <w:rFonts w:ascii="Arial" w:cs="Arial" w:hAnsi="Arial"/>
          <w:sz w:val="22"/>
          <w:szCs w:val="22"/>
        </w:rPr>
      </w:pPr>
    </w:p>
    <w:p w:rsidR="0068155F" w:rsidRDefault="0068155F" w14:paraId="21DA00B8" w14:textId="77777777" w:rsidP="00A3727F" w:rsidRPr="00A3727F">
      <w:pPr>
        <w:jc w:val="both"/>
        <w:spacing w:line="360" w:lineRule="auto"/>
        <w:rPr>
          <w:rFonts w:ascii="Arial" w:cs="Arial" w:hAnsi="Arial"/>
          <w:sz w:val="22"/>
          <w:szCs w:val="22"/>
        </w:rPr>
      </w:pPr>
    </w:p>
    <w:p w:rsidR="0068155F" w:rsidRDefault="0068155F" w14:paraId="7C61E5C3" w14:textId="77777777" w:rsidP="00A3727F" w:rsidRPr="00A3727F">
      <w:pPr>
        <w:jc w:val="both"/>
        <w:spacing w:line="360" w:lineRule="auto"/>
        <w:rPr>
          <w:rFonts w:ascii="Arial" w:cs="Arial" w:hAnsi="Arial"/>
          <w:sz w:val="22"/>
          <w:szCs w:val="22"/>
        </w:rPr>
      </w:pPr>
    </w:p>
    <w:p w:rsidR="0068155F" w:rsidRDefault="0068155F" w14:paraId="09BD233E" w14:textId="77777777" w:rsidP="00A3727F" w:rsidRPr="00A3727F">
      <w:pPr>
        <w:jc w:val="both"/>
        <w:spacing w:line="360" w:lineRule="auto"/>
        <w:rPr>
          <w:rFonts w:ascii="Arial" w:cs="Arial" w:hAnsi="Arial"/>
          <w:sz w:val="22"/>
          <w:szCs w:val="22"/>
        </w:rPr>
      </w:pPr>
    </w:p>
    <w:p w:rsidR="0068155F" w:rsidRDefault="0068155F" w14:paraId="1DD5D2FD" w14:textId="77777777" w:rsidP="00A3727F" w:rsidRPr="00A3727F">
      <w:pPr>
        <w:jc w:val="both"/>
        <w:spacing w:line="360" w:lineRule="auto"/>
        <w:rPr>
          <w:rFonts w:ascii="Arial" w:cs="Arial" w:hAnsi="Arial"/>
          <w:sz w:val="22"/>
          <w:szCs w:val="22"/>
        </w:rPr>
      </w:pPr>
    </w:p>
    <w:p w:rsidR="0068155F" w:rsidRDefault="0068155F" w14:paraId="7A928646" w14:textId="77777777" w:rsidP="00A3727F" w:rsidRPr="00A3727F">
      <w:pPr>
        <w:jc w:val="both"/>
        <w:spacing w:line="360" w:lineRule="auto"/>
        <w:rPr>
          <w:rFonts w:ascii="Arial" w:cs="Arial" w:hAnsi="Arial"/>
          <w:sz w:val="22"/>
          <w:szCs w:val="22"/>
        </w:rPr>
      </w:pPr>
    </w:p>
    <w:p w:rsidR="0068155F" w:rsidRDefault="0068155F" w14:paraId="54068E15" w14:textId="77777777" w:rsidP="00A3727F" w:rsidRPr="00A3727F">
      <w:pPr>
        <w:jc w:val="both"/>
        <w:spacing w:line="360" w:lineRule="auto"/>
        <w:rPr>
          <w:rFonts w:ascii="Arial" w:cs="Arial" w:hAnsi="Arial"/>
          <w:sz w:val="22"/>
          <w:szCs w:val="22"/>
        </w:rPr>
      </w:pPr>
    </w:p>
    <w:p w:rsidR="0068155F" w:rsidRDefault="0068155F" w14:paraId="129B8492" w14:textId="77777777" w:rsidP="00A3727F" w:rsidRPr="00A3727F">
      <w:pPr>
        <w:jc w:val="both"/>
        <w:spacing w:line="360" w:lineRule="auto"/>
        <w:rPr>
          <w:rFonts w:ascii="Arial" w:cs="Arial" w:hAnsi="Arial"/>
          <w:sz w:val="22"/>
          <w:szCs w:val="22"/>
        </w:rPr>
      </w:pPr>
    </w:p>
    <w:p w:rsidR="00151B4E" w:rsidRDefault="00151B4E" w14:paraId="47D9A8DF" w14:textId="77777777" w:rsidP="00A3727F" w:rsidRPr="00A3727F">
      <w:pPr>
        <w:jc w:val="both"/>
        <w:spacing w:line="360" w:lineRule="auto"/>
        <w:rPr>
          <w:rFonts w:ascii="Arial" w:cs="Arial" w:hAnsi="Arial"/>
          <w:sz w:val="22"/>
          <w:szCs w:val="22"/>
        </w:rPr>
      </w:pPr>
    </w:p>
    <w:p w:rsidR="000214DA" w:rsidRDefault="007763BF" w14:paraId="7618289B" w14:textId="39972955" w:rsidP="003F2FBD" w:rsidRPr="000214DA">
      <w:pPr>
        <w:pStyle w:val="Heading2"/>
        <w:jc w:val="center"/>
      </w:pPr>
      <w:bookmarkStart w:id="6" w:name="_Toc222393413"/>
      <w:r w:rsidRPr="007763BF">
        <w:t>Reference</w:t>
        <w:lastRenderedPageBreak/>
      </w:r>
      <w:bookmarkEnd w:id="6"/>
    </w:p>
    <w:p w:rsidR="000214DA" w:rsidRDefault="000214DA" w14:paraId="17DAAC09" w14:textId="77777777" w:rsidP="00A3727F" w:rsidRPr="000214DA">
      <w:pPr>
        <w:jc w:val="both"/>
        <w:spacing w:line="360" w:lineRule="auto"/>
        <w:rPr>
          <w:rFonts w:ascii="Arial" w:cs="Arial" w:hAnsi="Arial"/>
          <w:sz w:val="22"/>
          <w:szCs w:val="22"/>
        </w:rPr>
      </w:pPr>
      <w:r w:rsidRPr="000214DA">
        <w:rPr>
          <w:rFonts w:ascii="Arial" w:cs="Arial" w:hAnsi="Arial"/>
          <w:sz w:val="22"/>
          <w:szCs w:val="22"/>
        </w:rPr>
        <w:t xml:space="preserve">Atherton, H., Brant, H., </w:t>
      </w:r>
      <w:proofErr w:type="spellStart"/>
      <w:r w:rsidRPr="000214DA">
        <w:rPr>
          <w:rFonts w:ascii="Arial" w:cs="Arial" w:hAnsi="Arial"/>
          <w:sz w:val="22"/>
          <w:szCs w:val="22"/>
        </w:rPr>
        <w:t>Ziebland</w:t>
      </w:r>
      <w:proofErr w:type="spellEnd"/>
      <w:r w:rsidRPr="000214DA">
        <w:rPr>
          <w:rFonts w:ascii="Arial" w:cs="Arial" w:hAnsi="Arial"/>
          <w:sz w:val="22"/>
          <w:szCs w:val="22"/>
        </w:rPr>
        <w:t xml:space="preserve">, S., Bikker, A., Campbell, J. and Gibson, A. (2018) ‘The potential of alternatives to face-to-face consultation in general practice, and the impact on different patient groups: a mixed-methods case study’, </w:t>
      </w:r>
      <w:r w:rsidRPr="000214DA">
        <w:rPr>
          <w:iCs/>
          <w:i/>
          <w:rFonts w:ascii="Arial" w:cs="Arial" w:hAnsi="Arial"/>
          <w:sz w:val="22"/>
          <w:szCs w:val="22"/>
        </w:rPr>
        <w:t>British Journal of General Practice</w:t>
      </w:r>
      <w:r w:rsidRPr="000214DA">
        <w:rPr>
          <w:rFonts w:ascii="Arial" w:cs="Arial" w:hAnsi="Arial"/>
          <w:sz w:val="22"/>
          <w:szCs w:val="22"/>
        </w:rPr>
        <w:t>, 68(669), pp. e149–e156.</w:t>
      </w:r>
    </w:p>
    <w:p w:rsidR="000214DA" w:rsidRDefault="000214DA" w14:paraId="3B069423" w14:textId="77777777" w:rsidP="00A3727F" w:rsidRPr="000214DA">
      <w:pPr>
        <w:jc w:val="both"/>
        <w:spacing w:line="360" w:lineRule="auto"/>
        <w:rPr>
          <w:rFonts w:ascii="Arial" w:cs="Arial" w:hAnsi="Arial"/>
          <w:sz w:val="22"/>
          <w:szCs w:val="22"/>
        </w:rPr>
      </w:pPr>
      <w:proofErr w:type="spellStart"/>
      <w:r w:rsidRPr="000214DA">
        <w:rPr>
          <w:rFonts w:ascii="Arial" w:cs="Arial" w:hAnsi="Arial"/>
          <w:sz w:val="22"/>
          <w:szCs w:val="22"/>
        </w:rPr>
        <w:t>Bakhai</w:t>
      </w:r>
      <w:proofErr w:type="spellEnd"/>
      <w:r w:rsidRPr="000214DA">
        <w:rPr>
          <w:rFonts w:ascii="Arial" w:cs="Arial" w:hAnsi="Arial"/>
          <w:sz w:val="22"/>
          <w:szCs w:val="22"/>
        </w:rPr>
        <w:t xml:space="preserve">, M., Croney, L. and Waller, O. (2020a) ‘Hothousing digital primary care during COVID-19’, </w:t>
      </w:r>
      <w:r w:rsidRPr="000214DA">
        <w:rPr>
          <w:iCs/>
          <w:i/>
          <w:rFonts w:ascii="Arial" w:cs="Arial" w:hAnsi="Arial"/>
          <w:sz w:val="22"/>
          <w:szCs w:val="22"/>
        </w:rPr>
        <w:t>BMJ</w:t>
      </w:r>
      <w:r w:rsidRPr="000214DA">
        <w:rPr>
          <w:rFonts w:ascii="Arial" w:cs="Arial" w:hAnsi="Arial"/>
          <w:sz w:val="22"/>
          <w:szCs w:val="22"/>
        </w:rPr>
        <w:t>, 371, m3945.</w:t>
      </w:r>
    </w:p>
    <w:p w:rsidR="000214DA" w:rsidRDefault="000214DA" w14:paraId="066DC568" w14:textId="77777777" w:rsidP="00A3727F" w:rsidRPr="000214DA">
      <w:pPr>
        <w:jc w:val="both"/>
        <w:spacing w:line="360" w:lineRule="auto"/>
        <w:rPr>
          <w:rFonts w:ascii="Arial" w:cs="Arial" w:hAnsi="Arial"/>
          <w:sz w:val="22"/>
          <w:szCs w:val="22"/>
        </w:rPr>
      </w:pPr>
      <w:proofErr w:type="spellStart"/>
      <w:r w:rsidRPr="000214DA">
        <w:rPr>
          <w:rFonts w:ascii="Arial" w:cs="Arial" w:hAnsi="Arial"/>
          <w:sz w:val="22"/>
          <w:szCs w:val="22"/>
        </w:rPr>
        <w:t>Bakhai</w:t>
      </w:r>
      <w:proofErr w:type="spellEnd"/>
      <w:r w:rsidRPr="000214DA">
        <w:rPr>
          <w:rFonts w:ascii="Arial" w:cs="Arial" w:hAnsi="Arial"/>
          <w:sz w:val="22"/>
          <w:szCs w:val="22"/>
        </w:rPr>
        <w:t xml:space="preserve">, M., Croney, L. and Waller, O. (2020b) ‘Hothousing innovation in general practice: digital-first primary care during COVID-19’, </w:t>
      </w:r>
      <w:r w:rsidRPr="000214DA">
        <w:rPr>
          <w:iCs/>
          <w:i/>
          <w:rFonts w:ascii="Arial" w:cs="Arial" w:hAnsi="Arial"/>
          <w:sz w:val="22"/>
          <w:szCs w:val="22"/>
        </w:rPr>
        <w:t>BJGP Open</w:t>
      </w:r>
      <w:r w:rsidRPr="000214DA">
        <w:rPr>
          <w:rFonts w:ascii="Arial" w:cs="Arial" w:hAnsi="Arial"/>
          <w:sz w:val="22"/>
          <w:szCs w:val="22"/>
        </w:rPr>
        <w:t>, 4(5), pp. 1–3.</w:t>
      </w:r>
    </w:p>
    <w:p w:rsidR="000214DA" w:rsidRDefault="000214DA" w14:paraId="3C3ACD38" w14:textId="77777777" w:rsidP="00A3727F" w:rsidRPr="000214DA">
      <w:pPr>
        <w:jc w:val="both"/>
        <w:spacing w:line="360" w:lineRule="auto"/>
        <w:rPr>
          <w:rFonts w:ascii="Arial" w:cs="Arial" w:hAnsi="Arial"/>
          <w:sz w:val="22"/>
          <w:szCs w:val="22"/>
        </w:rPr>
      </w:pPr>
      <w:r w:rsidRPr="000214DA">
        <w:rPr>
          <w:rFonts w:ascii="Arial" w:cs="Arial" w:hAnsi="Arial"/>
          <w:sz w:val="22"/>
          <w:szCs w:val="22"/>
        </w:rPr>
        <w:t>Coulter, A., Entwistle, V.A. and Eccles, A. (2015) ‘</w:t>
      </w:r>
      <w:proofErr w:type="spellStart"/>
      <w:r w:rsidRPr="000214DA">
        <w:rPr>
          <w:rFonts w:ascii="Arial" w:cs="Arial" w:hAnsi="Arial"/>
          <w:sz w:val="22"/>
          <w:szCs w:val="22"/>
        </w:rPr>
        <w:t>Personalised</w:t>
      </w:r>
      <w:proofErr w:type="spellEnd"/>
      <w:r w:rsidRPr="000214DA">
        <w:rPr>
          <w:rFonts w:ascii="Arial" w:cs="Arial" w:hAnsi="Arial"/>
          <w:sz w:val="22"/>
          <w:szCs w:val="22"/>
        </w:rPr>
        <w:t xml:space="preserve"> care planning for adults with chronic or long-term health conditions’, </w:t>
      </w:r>
      <w:r w:rsidRPr="000214DA">
        <w:rPr>
          <w:iCs/>
          <w:i/>
          <w:rFonts w:ascii="Arial" w:cs="Arial" w:hAnsi="Arial"/>
          <w:sz w:val="22"/>
          <w:szCs w:val="22"/>
        </w:rPr>
        <w:t>Cochrane Database of Systematic Reviews</w:t>
      </w:r>
      <w:r w:rsidRPr="000214DA">
        <w:rPr>
          <w:rFonts w:ascii="Arial" w:cs="Arial" w:hAnsi="Arial"/>
          <w:sz w:val="22"/>
          <w:szCs w:val="22"/>
        </w:rPr>
        <w:t>, (3), CD010523.</w:t>
      </w:r>
    </w:p>
    <w:p w:rsidR="000214DA" w:rsidRDefault="000214DA" w14:paraId="36DFBE27" w14:textId="77777777" w:rsidP="00A3727F" w:rsidRPr="000214DA">
      <w:pPr>
        <w:jc w:val="both"/>
        <w:spacing w:line="360" w:lineRule="auto"/>
        <w:rPr>
          <w:rFonts w:ascii="Arial" w:cs="Arial" w:hAnsi="Arial"/>
          <w:sz w:val="22"/>
          <w:szCs w:val="22"/>
        </w:rPr>
      </w:pPr>
      <w:r w:rsidRPr="000214DA">
        <w:rPr>
          <w:rFonts w:ascii="Arial" w:cs="Arial" w:hAnsi="Arial"/>
          <w:sz w:val="22"/>
          <w:szCs w:val="22"/>
        </w:rPr>
        <w:t xml:space="preserve">Department of Health and Social Care (2021) </w:t>
      </w:r>
      <w:r w:rsidRPr="000214DA">
        <w:rPr>
          <w:iCs/>
          <w:i/>
          <w:rFonts w:ascii="Arial" w:cs="Arial" w:hAnsi="Arial"/>
          <w:sz w:val="22"/>
          <w:szCs w:val="22"/>
        </w:rPr>
        <w:t>NHS COVID Pass guidance</w:t>
      </w:r>
      <w:r w:rsidRPr="000214DA">
        <w:rPr>
          <w:rFonts w:ascii="Arial" w:cs="Arial" w:hAnsi="Arial"/>
          <w:sz w:val="22"/>
          <w:szCs w:val="22"/>
        </w:rPr>
        <w:t>. London: DHSC.</w:t>
      </w:r>
    </w:p>
    <w:p w:rsidR="000214DA" w:rsidRDefault="000214DA" w14:paraId="408EABB8" w14:textId="77777777" w:rsidP="00A3727F" w:rsidRPr="000214DA">
      <w:pPr>
        <w:jc w:val="both"/>
        <w:spacing w:line="360" w:lineRule="auto"/>
        <w:rPr>
          <w:rFonts w:ascii="Arial" w:cs="Arial" w:hAnsi="Arial"/>
          <w:sz w:val="22"/>
          <w:szCs w:val="22"/>
        </w:rPr>
      </w:pPr>
      <w:r w:rsidRPr="000214DA">
        <w:rPr>
          <w:rFonts w:ascii="Arial" w:cs="Arial" w:hAnsi="Arial"/>
          <w:sz w:val="22"/>
          <w:szCs w:val="22"/>
        </w:rPr>
        <w:t xml:space="preserve">Good Things Foundation (2022a) </w:t>
      </w:r>
      <w:r w:rsidRPr="000214DA">
        <w:rPr>
          <w:iCs/>
          <w:i/>
          <w:rFonts w:ascii="Arial" w:cs="Arial" w:hAnsi="Arial"/>
          <w:sz w:val="22"/>
          <w:szCs w:val="22"/>
        </w:rPr>
        <w:t>Digital Nation UK 2022</w:t>
      </w:r>
      <w:r w:rsidRPr="000214DA">
        <w:rPr>
          <w:rFonts w:ascii="Arial" w:cs="Arial" w:hAnsi="Arial"/>
          <w:sz w:val="22"/>
          <w:szCs w:val="22"/>
        </w:rPr>
        <w:t>. London: Good Things Foundation.</w:t>
      </w:r>
    </w:p>
    <w:p w:rsidR="000214DA" w:rsidRDefault="000214DA" w14:paraId="3C5E8B9C" w14:textId="77777777" w:rsidP="00A3727F" w:rsidRPr="000214DA">
      <w:pPr>
        <w:jc w:val="both"/>
        <w:spacing w:line="360" w:lineRule="auto"/>
        <w:rPr>
          <w:rFonts w:ascii="Arial" w:cs="Arial" w:hAnsi="Arial"/>
          <w:sz w:val="22"/>
          <w:szCs w:val="22"/>
        </w:rPr>
      </w:pPr>
      <w:r w:rsidRPr="000214DA">
        <w:rPr>
          <w:rFonts w:ascii="Arial" w:cs="Arial" w:hAnsi="Arial"/>
          <w:sz w:val="22"/>
          <w:szCs w:val="22"/>
        </w:rPr>
        <w:t xml:space="preserve">Good Things Foundation (2022b) </w:t>
      </w:r>
      <w:r w:rsidRPr="000214DA">
        <w:rPr>
          <w:iCs/>
          <w:i/>
          <w:rFonts w:ascii="Arial" w:cs="Arial" w:hAnsi="Arial"/>
          <w:sz w:val="22"/>
          <w:szCs w:val="22"/>
        </w:rPr>
        <w:t>The digital divide: annual digital inclusion report</w:t>
      </w:r>
      <w:r w:rsidRPr="000214DA">
        <w:rPr>
          <w:rFonts w:ascii="Arial" w:cs="Arial" w:hAnsi="Arial"/>
          <w:sz w:val="22"/>
          <w:szCs w:val="22"/>
        </w:rPr>
        <w:t>. London: Good Things Foundation.</w:t>
      </w:r>
    </w:p>
    <w:p w:rsidR="000214DA" w:rsidRDefault="000214DA" w14:paraId="121EAA61" w14:textId="77777777" w:rsidP="00A3727F" w:rsidRPr="000214DA">
      <w:pPr>
        <w:jc w:val="both"/>
        <w:spacing w:line="360" w:lineRule="auto"/>
        <w:rPr>
          <w:rFonts w:ascii="Arial" w:cs="Arial" w:hAnsi="Arial"/>
          <w:sz w:val="22"/>
          <w:szCs w:val="22"/>
        </w:rPr>
      </w:pPr>
      <w:r w:rsidRPr="000214DA">
        <w:rPr>
          <w:rFonts w:ascii="Arial" w:cs="Arial" w:hAnsi="Arial"/>
          <w:sz w:val="22"/>
          <w:szCs w:val="22"/>
        </w:rPr>
        <w:t xml:space="preserve">Greenhalgh, T., </w:t>
      </w:r>
      <w:proofErr w:type="spellStart"/>
      <w:r w:rsidRPr="000214DA">
        <w:rPr>
          <w:rFonts w:ascii="Arial" w:cs="Arial" w:hAnsi="Arial"/>
          <w:sz w:val="22"/>
          <w:szCs w:val="22"/>
        </w:rPr>
        <w:t>Wherton</w:t>
      </w:r>
      <w:proofErr w:type="spellEnd"/>
      <w:r w:rsidRPr="000214DA">
        <w:rPr>
          <w:rFonts w:ascii="Arial" w:cs="Arial" w:hAnsi="Arial"/>
          <w:sz w:val="22"/>
          <w:szCs w:val="22"/>
        </w:rPr>
        <w:t xml:space="preserve">, J. and Shaw, S. (2020) ‘Video consultations for COVID-19’, </w:t>
      </w:r>
      <w:r w:rsidRPr="000214DA">
        <w:rPr>
          <w:iCs/>
          <w:i/>
          <w:rFonts w:ascii="Arial" w:cs="Arial" w:hAnsi="Arial"/>
          <w:sz w:val="22"/>
          <w:szCs w:val="22"/>
        </w:rPr>
        <w:t>BMJ</w:t>
      </w:r>
      <w:r w:rsidRPr="000214DA">
        <w:rPr>
          <w:rFonts w:ascii="Arial" w:cs="Arial" w:hAnsi="Arial"/>
          <w:sz w:val="22"/>
          <w:szCs w:val="22"/>
        </w:rPr>
        <w:t>, 368, m998.</w:t>
      </w:r>
    </w:p>
    <w:p w:rsidR="000214DA" w:rsidRDefault="000214DA" w14:paraId="3D7B0263" w14:textId="77777777" w:rsidP="00A3727F" w:rsidRPr="000214DA">
      <w:pPr>
        <w:jc w:val="both"/>
        <w:spacing w:line="360" w:lineRule="auto"/>
        <w:rPr>
          <w:rFonts w:ascii="Arial" w:cs="Arial" w:hAnsi="Arial"/>
          <w:sz w:val="22"/>
          <w:szCs w:val="22"/>
        </w:rPr>
      </w:pPr>
      <w:r w:rsidRPr="000214DA">
        <w:rPr>
          <w:rFonts w:ascii="Arial" w:cs="Arial" w:hAnsi="Arial"/>
          <w:sz w:val="22"/>
          <w:szCs w:val="22"/>
        </w:rPr>
        <w:t xml:space="preserve">Hall, L.H., Johnson, J., Watt, I., </w:t>
      </w:r>
      <w:proofErr w:type="spellStart"/>
      <w:r w:rsidRPr="000214DA">
        <w:rPr>
          <w:rFonts w:ascii="Arial" w:cs="Arial" w:hAnsi="Arial"/>
          <w:sz w:val="22"/>
          <w:szCs w:val="22"/>
        </w:rPr>
        <w:t>Tsipa</w:t>
      </w:r>
      <w:proofErr w:type="spellEnd"/>
      <w:r w:rsidRPr="000214DA">
        <w:rPr>
          <w:rFonts w:ascii="Arial" w:cs="Arial" w:hAnsi="Arial"/>
          <w:sz w:val="22"/>
          <w:szCs w:val="22"/>
        </w:rPr>
        <w:t xml:space="preserve">, A. and O’Connor, D.B. (2019) ‘Healthcare staff wellbeing, burnout, and patient safety’, </w:t>
      </w:r>
      <w:r w:rsidRPr="000214DA">
        <w:rPr>
          <w:iCs/>
          <w:i/>
          <w:rFonts w:ascii="Arial" w:cs="Arial" w:hAnsi="Arial"/>
          <w:sz w:val="22"/>
          <w:szCs w:val="22"/>
        </w:rPr>
        <w:t>BMJ Open</w:t>
      </w:r>
      <w:r w:rsidRPr="000214DA">
        <w:rPr>
          <w:rFonts w:ascii="Arial" w:cs="Arial" w:hAnsi="Arial"/>
          <w:sz w:val="22"/>
          <w:szCs w:val="22"/>
        </w:rPr>
        <w:t>, 6(1), e015901.</w:t>
      </w:r>
    </w:p>
    <w:p w:rsidR="000214DA" w:rsidRDefault="000214DA" w14:paraId="33175DD1" w14:textId="77777777" w:rsidP="00A3727F" w:rsidRPr="000214DA">
      <w:pPr>
        <w:jc w:val="both"/>
        <w:spacing w:line="360" w:lineRule="auto"/>
        <w:rPr>
          <w:rFonts w:ascii="Arial" w:cs="Arial" w:hAnsi="Arial"/>
          <w:sz w:val="22"/>
          <w:szCs w:val="22"/>
        </w:rPr>
      </w:pPr>
      <w:r w:rsidRPr="000214DA">
        <w:rPr>
          <w:rFonts w:ascii="Arial" w:cs="Arial" w:hAnsi="Arial"/>
          <w:sz w:val="22"/>
          <w:szCs w:val="22"/>
        </w:rPr>
        <w:t xml:space="preserve">Health Education England (2019) </w:t>
      </w:r>
      <w:r w:rsidRPr="000214DA">
        <w:rPr>
          <w:iCs/>
          <w:i/>
          <w:rFonts w:ascii="Arial" w:cs="Arial" w:hAnsi="Arial"/>
          <w:sz w:val="22"/>
          <w:szCs w:val="22"/>
        </w:rPr>
        <w:t>The Topol Review: Preparing the healthcare workforce to deliver the digital future</w:t>
      </w:r>
      <w:r w:rsidRPr="000214DA">
        <w:rPr>
          <w:rFonts w:ascii="Arial" w:cs="Arial" w:hAnsi="Arial"/>
          <w:sz w:val="22"/>
          <w:szCs w:val="22"/>
        </w:rPr>
        <w:t>. London: HEE.</w:t>
      </w:r>
    </w:p>
    <w:p w:rsidR="000214DA" w:rsidRDefault="000214DA" w14:paraId="2276EA34" w14:textId="77777777" w:rsidP="00A3727F" w:rsidRPr="000214DA">
      <w:pPr>
        <w:jc w:val="both"/>
        <w:spacing w:line="360" w:lineRule="auto"/>
        <w:rPr>
          <w:rFonts w:ascii="Arial" w:cs="Arial" w:hAnsi="Arial"/>
          <w:sz w:val="22"/>
          <w:szCs w:val="22"/>
        </w:rPr>
      </w:pPr>
      <w:r w:rsidRPr="000214DA">
        <w:rPr>
          <w:rFonts w:ascii="Arial" w:cs="Arial" w:hAnsi="Arial"/>
          <w:sz w:val="22"/>
          <w:szCs w:val="22"/>
        </w:rPr>
        <w:t xml:space="preserve">Healthwatch England (2021) </w:t>
      </w:r>
      <w:r w:rsidRPr="000214DA">
        <w:rPr>
          <w:iCs/>
          <w:i/>
          <w:rFonts w:ascii="Arial" w:cs="Arial" w:hAnsi="Arial"/>
          <w:sz w:val="22"/>
          <w:szCs w:val="22"/>
        </w:rPr>
        <w:t>GP access and digital services report</w:t>
      </w:r>
      <w:r w:rsidRPr="000214DA">
        <w:rPr>
          <w:rFonts w:ascii="Arial" w:cs="Arial" w:hAnsi="Arial"/>
          <w:sz w:val="22"/>
          <w:szCs w:val="22"/>
        </w:rPr>
        <w:t>. London: Healthwatch England.</w:t>
      </w:r>
    </w:p>
    <w:p w:rsidR="000214DA" w:rsidRDefault="000214DA" w14:paraId="4703871C" w14:textId="77777777" w:rsidP="00A3727F" w:rsidRPr="000214DA">
      <w:pPr>
        <w:jc w:val="both"/>
        <w:spacing w:line="360" w:lineRule="auto"/>
        <w:rPr>
          <w:rFonts w:ascii="Arial" w:cs="Arial" w:hAnsi="Arial"/>
          <w:sz w:val="22"/>
          <w:szCs w:val="22"/>
        </w:rPr>
      </w:pPr>
      <w:r w:rsidRPr="000214DA">
        <w:rPr>
          <w:rFonts w:ascii="Arial" w:cs="Arial" w:hAnsi="Arial"/>
          <w:sz w:val="22"/>
          <w:szCs w:val="22"/>
        </w:rPr>
        <w:t xml:space="preserve">Lloyds Bank (2023) </w:t>
      </w:r>
      <w:r w:rsidRPr="000214DA">
        <w:rPr>
          <w:iCs/>
          <w:i/>
          <w:rFonts w:ascii="Arial" w:cs="Arial" w:hAnsi="Arial"/>
          <w:sz w:val="22"/>
          <w:szCs w:val="22"/>
        </w:rPr>
        <w:t>UK Consumer Digital Index 2023</w:t>
      </w:r>
      <w:r w:rsidRPr="000214DA">
        <w:rPr>
          <w:rFonts w:ascii="Arial" w:cs="Arial" w:hAnsi="Arial"/>
          <w:sz w:val="22"/>
          <w:szCs w:val="22"/>
        </w:rPr>
        <w:t>. London: Lloyds Banking Group.</w:t>
      </w:r>
    </w:p>
    <w:p w:rsidR="000214DA" w:rsidRDefault="000214DA" w14:paraId="6D631C2E" w14:textId="77777777" w:rsidP="00A3727F" w:rsidRPr="000214DA">
      <w:pPr>
        <w:jc w:val="both"/>
        <w:spacing w:line="360" w:lineRule="auto"/>
        <w:rPr>
          <w:rFonts w:ascii="Arial" w:cs="Arial" w:hAnsi="Arial"/>
          <w:sz w:val="22"/>
          <w:szCs w:val="22"/>
        </w:rPr>
      </w:pPr>
      <w:proofErr w:type="spellStart"/>
      <w:r w:rsidRPr="000214DA">
        <w:rPr>
          <w:rFonts w:ascii="Arial" w:cs="Arial" w:hAnsi="Arial"/>
          <w:sz w:val="22"/>
          <w:szCs w:val="22"/>
        </w:rPr>
        <w:t>Locock</w:t>
      </w:r>
      <w:proofErr w:type="spellEnd"/>
      <w:r w:rsidRPr="000214DA">
        <w:rPr>
          <w:rFonts w:ascii="Arial" w:cs="Arial" w:hAnsi="Arial"/>
          <w:sz w:val="22"/>
          <w:szCs w:val="22"/>
        </w:rPr>
        <w:t xml:space="preserve">, L., Dopson, S., Chambers, D. and Gabbay, J. (2021) ‘Understanding the role of </w:t>
      </w:r>
      <w:proofErr w:type="spellStart"/>
      <w:r w:rsidRPr="000214DA">
        <w:rPr>
          <w:rFonts w:ascii="Arial" w:cs="Arial" w:hAnsi="Arial"/>
          <w:sz w:val="22"/>
          <w:szCs w:val="22"/>
        </w:rPr>
        <w:t>organisational</w:t>
      </w:r>
      <w:proofErr w:type="spellEnd"/>
      <w:r w:rsidRPr="000214DA">
        <w:rPr>
          <w:rFonts w:ascii="Arial" w:cs="Arial" w:hAnsi="Arial"/>
          <w:sz w:val="22"/>
          <w:szCs w:val="22"/>
        </w:rPr>
        <w:t xml:space="preserve"> culture in digital health adoption’, </w:t>
      </w:r>
      <w:r w:rsidRPr="000214DA">
        <w:rPr>
          <w:iCs/>
          <w:i/>
          <w:rFonts w:ascii="Arial" w:cs="Arial" w:hAnsi="Arial"/>
          <w:sz w:val="22"/>
          <w:szCs w:val="22"/>
        </w:rPr>
        <w:t>Social Science &amp; Medicine</w:t>
      </w:r>
      <w:r w:rsidRPr="000214DA">
        <w:rPr>
          <w:rFonts w:ascii="Arial" w:cs="Arial" w:hAnsi="Arial"/>
          <w:sz w:val="22"/>
          <w:szCs w:val="22"/>
        </w:rPr>
        <w:t>, 277, 113874.</w:t>
      </w:r>
    </w:p>
    <w:p w:rsidR="000214DA" w:rsidRDefault="000214DA" w14:paraId="0E3CF6D7" w14:textId="77777777" w:rsidP="00A3727F" w:rsidRPr="000214DA">
      <w:pPr>
        <w:jc w:val="both"/>
        <w:spacing w:line="360" w:lineRule="auto"/>
        <w:rPr>
          <w:rFonts w:ascii="Arial" w:cs="Arial" w:hAnsi="Arial"/>
          <w:sz w:val="22"/>
          <w:szCs w:val="22"/>
        </w:rPr>
      </w:pPr>
      <w:r w:rsidRPr="000214DA">
        <w:rPr>
          <w:rFonts w:ascii="Arial" w:cs="Arial" w:hAnsi="Arial"/>
          <w:sz w:val="22"/>
          <w:szCs w:val="22"/>
        </w:rPr>
        <w:t xml:space="preserve">Maguire, D., Honeyman, M. and Fenney, D. (2022) </w:t>
        <w:lastRenderedPageBreak/>
      </w:r>
      <w:r w:rsidRPr="000214DA">
        <w:rPr>
          <w:iCs/>
          <w:i/>
          <w:rFonts w:ascii="Arial" w:cs="Arial" w:hAnsi="Arial"/>
          <w:sz w:val="22"/>
          <w:szCs w:val="22"/>
        </w:rPr>
        <w:t>Digital change in general practice</w:t>
      </w:r>
      <w:r w:rsidRPr="000214DA">
        <w:rPr>
          <w:rFonts w:ascii="Arial" w:cs="Arial" w:hAnsi="Arial"/>
          <w:sz w:val="22"/>
          <w:szCs w:val="22"/>
        </w:rPr>
        <w:t>. London: The King’s Fund.</w:t>
      </w:r>
    </w:p>
    <w:p w:rsidR="000214DA" w:rsidRDefault="000214DA" w14:paraId="53D65FC2" w14:textId="77777777" w:rsidP="00A3727F" w:rsidRPr="000214DA">
      <w:pPr>
        <w:jc w:val="both"/>
        <w:spacing w:line="360" w:lineRule="auto"/>
        <w:rPr>
          <w:rFonts w:ascii="Arial" w:cs="Arial" w:hAnsi="Arial"/>
          <w:sz w:val="22"/>
          <w:szCs w:val="22"/>
        </w:rPr>
      </w:pPr>
      <w:r w:rsidRPr="000214DA">
        <w:rPr>
          <w:rFonts w:ascii="Arial" w:cs="Arial" w:hAnsi="Arial"/>
          <w:sz w:val="22"/>
          <w:szCs w:val="22"/>
        </w:rPr>
        <w:t xml:space="preserve">Murphy, M., Scott, L.J., Salisbury, C., Turner, A., Scott, A., Denholm, R., Lewis, R., Iyer, G., Macleod, J. and Horwood, J. (2021) ‘Implementation of remote consulting in UK primary care following the COVID-19 pandemic: a mixed-methods longitudinal study’, </w:t>
      </w:r>
      <w:r w:rsidRPr="000214DA">
        <w:rPr>
          <w:iCs/>
          <w:i/>
          <w:rFonts w:ascii="Arial" w:cs="Arial" w:hAnsi="Arial"/>
          <w:sz w:val="22"/>
          <w:szCs w:val="22"/>
        </w:rPr>
        <w:t>British Journal of General Practice</w:t>
      </w:r>
      <w:r w:rsidRPr="000214DA">
        <w:rPr>
          <w:rFonts w:ascii="Arial" w:cs="Arial" w:hAnsi="Arial"/>
          <w:sz w:val="22"/>
          <w:szCs w:val="22"/>
        </w:rPr>
        <w:t>, 71(704), pp. e166–e177.</w:t>
      </w:r>
    </w:p>
    <w:p w:rsidR="000214DA" w:rsidRDefault="000214DA" w14:paraId="62248485" w14:textId="77777777" w:rsidP="00A3727F" w:rsidRPr="000214DA">
      <w:pPr>
        <w:jc w:val="both"/>
        <w:spacing w:line="360" w:lineRule="auto"/>
        <w:rPr>
          <w:rFonts w:ascii="Arial" w:cs="Arial" w:hAnsi="Arial"/>
          <w:sz w:val="22"/>
          <w:szCs w:val="22"/>
        </w:rPr>
      </w:pPr>
      <w:r w:rsidRPr="000214DA">
        <w:rPr>
          <w:rFonts w:ascii="Arial" w:cs="Arial" w:hAnsi="Arial"/>
          <w:sz w:val="22"/>
          <w:szCs w:val="22"/>
        </w:rPr>
        <w:t xml:space="preserve">National Audit Office (2020) </w:t>
      </w:r>
      <w:r w:rsidRPr="000214DA">
        <w:rPr>
          <w:iCs/>
          <w:i/>
          <w:rFonts w:ascii="Arial" w:cs="Arial" w:hAnsi="Arial"/>
          <w:sz w:val="22"/>
          <w:szCs w:val="22"/>
        </w:rPr>
        <w:t>Digital transformation in the NHS</w:t>
      </w:r>
      <w:r w:rsidRPr="000214DA">
        <w:rPr>
          <w:rFonts w:ascii="Arial" w:cs="Arial" w:hAnsi="Arial"/>
          <w:sz w:val="22"/>
          <w:szCs w:val="22"/>
        </w:rPr>
        <w:t>. London: NAO.</w:t>
      </w:r>
    </w:p>
    <w:p w:rsidR="000214DA" w:rsidRDefault="000214DA" w14:paraId="2DFCC380" w14:textId="77777777" w:rsidP="00A3727F" w:rsidRPr="000214DA">
      <w:pPr>
        <w:jc w:val="both"/>
        <w:spacing w:line="360" w:lineRule="auto"/>
        <w:rPr>
          <w:rFonts w:ascii="Arial" w:cs="Arial" w:hAnsi="Arial"/>
          <w:sz w:val="22"/>
          <w:szCs w:val="22"/>
        </w:rPr>
      </w:pPr>
      <w:r w:rsidRPr="000214DA">
        <w:rPr>
          <w:rFonts w:ascii="Arial" w:cs="Arial" w:hAnsi="Arial"/>
          <w:sz w:val="22"/>
          <w:szCs w:val="22"/>
        </w:rPr>
        <w:t xml:space="preserve">Neves, A.L., Freise, L., Laranjo, L., Carter, A.W., Darzi, A. and Mayer, E.K. (2020) ‘Impact of providing patients access to electronic health records on quality and safety of care’, </w:t>
      </w:r>
      <w:r w:rsidRPr="000214DA">
        <w:rPr>
          <w:iCs/>
          <w:i/>
          <w:rFonts w:ascii="Arial" w:cs="Arial" w:hAnsi="Arial"/>
          <w:sz w:val="22"/>
          <w:szCs w:val="22"/>
        </w:rPr>
        <w:t>BMJ Quality &amp; Safety</w:t>
      </w:r>
      <w:r w:rsidRPr="000214DA">
        <w:rPr>
          <w:rFonts w:ascii="Arial" w:cs="Arial" w:hAnsi="Arial"/>
          <w:sz w:val="22"/>
          <w:szCs w:val="22"/>
        </w:rPr>
        <w:t>, 29(12), pp. 1019–1032.</w:t>
      </w:r>
    </w:p>
    <w:p w:rsidR="000214DA" w:rsidRDefault="000214DA" w14:paraId="54E4CF87" w14:textId="77777777" w:rsidP="00A3727F" w:rsidRPr="000214DA">
      <w:pPr>
        <w:jc w:val="both"/>
        <w:spacing w:line="360" w:lineRule="auto"/>
        <w:rPr>
          <w:rFonts w:ascii="Arial" w:cs="Arial" w:hAnsi="Arial"/>
          <w:sz w:val="22"/>
          <w:szCs w:val="22"/>
        </w:rPr>
      </w:pPr>
      <w:r w:rsidRPr="000214DA">
        <w:rPr>
          <w:rFonts w:ascii="Arial" w:cs="Arial" w:hAnsi="Arial"/>
          <w:sz w:val="22"/>
          <w:szCs w:val="22"/>
        </w:rPr>
        <w:t xml:space="preserve">NHS Digital (2022) </w:t>
      </w:r>
      <w:r w:rsidRPr="000214DA">
        <w:rPr>
          <w:iCs/>
          <w:i/>
          <w:rFonts w:ascii="Arial" w:cs="Arial" w:hAnsi="Arial"/>
          <w:sz w:val="22"/>
          <w:szCs w:val="22"/>
        </w:rPr>
        <w:t>Primary care digital maturity report</w:t>
      </w:r>
      <w:r w:rsidRPr="000214DA">
        <w:rPr>
          <w:rFonts w:ascii="Arial" w:cs="Arial" w:hAnsi="Arial"/>
          <w:sz w:val="22"/>
          <w:szCs w:val="22"/>
        </w:rPr>
        <w:t>. Leeds: NHS Digital.</w:t>
      </w:r>
    </w:p>
    <w:p w:rsidR="000214DA" w:rsidRDefault="000214DA" w14:paraId="68FA5990" w14:textId="77777777" w:rsidP="00A3727F" w:rsidRPr="000214DA">
      <w:pPr>
        <w:jc w:val="both"/>
        <w:spacing w:line="360" w:lineRule="auto"/>
        <w:rPr>
          <w:rFonts w:ascii="Arial" w:cs="Arial" w:hAnsi="Arial"/>
          <w:sz w:val="22"/>
          <w:szCs w:val="22"/>
        </w:rPr>
      </w:pPr>
      <w:r w:rsidRPr="000214DA">
        <w:rPr>
          <w:rFonts w:ascii="Arial" w:cs="Arial" w:hAnsi="Arial"/>
          <w:sz w:val="22"/>
          <w:szCs w:val="22"/>
        </w:rPr>
        <w:t xml:space="preserve">NHS England (2019) </w:t>
      </w:r>
      <w:r w:rsidRPr="000214DA">
        <w:rPr>
          <w:iCs/>
          <w:i/>
          <w:rFonts w:ascii="Arial" w:cs="Arial" w:hAnsi="Arial"/>
          <w:sz w:val="22"/>
          <w:szCs w:val="22"/>
        </w:rPr>
        <w:t>The NHS Long Term Plan</w:t>
      </w:r>
      <w:r w:rsidRPr="000214DA">
        <w:rPr>
          <w:rFonts w:ascii="Arial" w:cs="Arial" w:hAnsi="Arial"/>
          <w:sz w:val="22"/>
          <w:szCs w:val="22"/>
        </w:rPr>
        <w:t>. London: NHS England.</w:t>
      </w:r>
    </w:p>
    <w:p w:rsidR="000214DA" w:rsidRDefault="000214DA" w14:paraId="674ADC40" w14:textId="77777777" w:rsidP="00A3727F" w:rsidRPr="000214DA">
      <w:pPr>
        <w:jc w:val="both"/>
        <w:spacing w:line="360" w:lineRule="auto"/>
        <w:rPr>
          <w:rFonts w:ascii="Arial" w:cs="Arial" w:hAnsi="Arial"/>
          <w:sz w:val="22"/>
          <w:szCs w:val="22"/>
        </w:rPr>
      </w:pPr>
      <w:r w:rsidRPr="000214DA">
        <w:rPr>
          <w:rFonts w:ascii="Arial" w:cs="Arial" w:hAnsi="Arial"/>
          <w:sz w:val="22"/>
          <w:szCs w:val="22"/>
        </w:rPr>
        <w:t xml:space="preserve">NHS England (2023a) </w:t>
      </w:r>
      <w:r w:rsidRPr="000214DA">
        <w:rPr>
          <w:iCs/>
          <w:i/>
          <w:rFonts w:ascii="Arial" w:cs="Arial" w:hAnsi="Arial"/>
          <w:sz w:val="22"/>
          <w:szCs w:val="22"/>
        </w:rPr>
        <w:t>About the NHS App</w:t>
      </w:r>
      <w:r w:rsidRPr="000214DA">
        <w:rPr>
          <w:rFonts w:ascii="Arial" w:cs="Arial" w:hAnsi="Arial"/>
          <w:sz w:val="22"/>
          <w:szCs w:val="22"/>
        </w:rPr>
        <w:t xml:space="preserve">. Available at: </w:t>
      </w:r>
      <w:hyperlink w:history="1" w:tgtFrame="_new" r:id="rId9">
        <w:r w:rsidRPr="000214DA">
          <w:rPr>
            <w:rStyle w:val="Hyperlink"/>
            <w:rFonts w:ascii="Arial" w:cs="Arial" w:hAnsi="Arial"/>
            <w:sz w:val="22"/>
            <w:szCs w:val="22"/>
          </w:rPr>
          <w:t>https://www.nhs.uk/nhs-app/</w:t>
        </w:r>
      </w:hyperlink>
      <w:r w:rsidRPr="000214DA">
        <w:rPr>
          <w:rFonts w:ascii="Arial" w:cs="Arial" w:hAnsi="Arial"/>
          <w:sz w:val="22"/>
          <w:szCs w:val="22"/>
        </w:rPr>
        <w:t xml:space="preserve"> (Accessed: 15 February 2026).</w:t>
      </w:r>
    </w:p>
    <w:p w:rsidR="000214DA" w:rsidRDefault="000214DA" w14:paraId="3DF07584" w14:textId="77777777" w:rsidP="00A3727F" w:rsidRPr="000214DA">
      <w:pPr>
        <w:jc w:val="both"/>
        <w:spacing w:line="360" w:lineRule="auto"/>
        <w:rPr>
          <w:rFonts w:ascii="Arial" w:cs="Arial" w:hAnsi="Arial"/>
          <w:sz w:val="22"/>
          <w:szCs w:val="22"/>
        </w:rPr>
      </w:pPr>
      <w:r w:rsidRPr="000214DA">
        <w:rPr>
          <w:rFonts w:ascii="Arial" w:cs="Arial" w:hAnsi="Arial"/>
          <w:sz w:val="22"/>
          <w:szCs w:val="22"/>
        </w:rPr>
        <w:t xml:space="preserve">NHS England (2023b) </w:t>
      </w:r>
      <w:r w:rsidRPr="000214DA">
        <w:rPr>
          <w:iCs/>
          <w:i/>
          <w:rFonts w:ascii="Arial" w:cs="Arial" w:hAnsi="Arial"/>
          <w:sz w:val="22"/>
          <w:szCs w:val="22"/>
        </w:rPr>
        <w:t>NHS App usage statistics</w:t>
      </w:r>
      <w:r w:rsidRPr="000214DA">
        <w:rPr>
          <w:rFonts w:ascii="Arial" w:cs="Arial" w:hAnsi="Arial"/>
          <w:sz w:val="22"/>
          <w:szCs w:val="22"/>
        </w:rPr>
        <w:t>. London: NHS England.</w:t>
      </w:r>
    </w:p>
    <w:p w:rsidR="000214DA" w:rsidRDefault="000214DA" w14:paraId="4CD922DE" w14:textId="77777777" w:rsidP="00A3727F" w:rsidRPr="000214DA">
      <w:pPr>
        <w:jc w:val="both"/>
        <w:spacing w:line="360" w:lineRule="auto"/>
        <w:rPr>
          <w:rFonts w:ascii="Arial" w:cs="Arial" w:hAnsi="Arial"/>
          <w:sz w:val="22"/>
          <w:szCs w:val="22"/>
        </w:rPr>
      </w:pPr>
      <w:r w:rsidRPr="000214DA">
        <w:rPr>
          <w:rFonts w:ascii="Arial" w:cs="Arial" w:hAnsi="Arial"/>
          <w:sz w:val="22"/>
          <w:szCs w:val="22"/>
        </w:rPr>
        <w:t xml:space="preserve">Ofcom (2022) </w:t>
      </w:r>
      <w:r w:rsidRPr="000214DA">
        <w:rPr>
          <w:iCs/>
          <w:i/>
          <w:rFonts w:ascii="Arial" w:cs="Arial" w:hAnsi="Arial"/>
          <w:sz w:val="22"/>
          <w:szCs w:val="22"/>
        </w:rPr>
        <w:t>Connected Nations Report</w:t>
      </w:r>
      <w:r w:rsidRPr="000214DA">
        <w:rPr>
          <w:rFonts w:ascii="Arial" w:cs="Arial" w:hAnsi="Arial"/>
          <w:sz w:val="22"/>
          <w:szCs w:val="22"/>
        </w:rPr>
        <w:t>. London: Ofcom.</w:t>
      </w:r>
    </w:p>
    <w:p w:rsidR="000214DA" w:rsidRDefault="000214DA" w14:paraId="411B774A" w14:textId="77777777" w:rsidP="00A3727F" w:rsidRPr="000214DA">
      <w:pPr>
        <w:jc w:val="both"/>
        <w:spacing w:line="360" w:lineRule="auto"/>
        <w:rPr>
          <w:rFonts w:ascii="Arial" w:cs="Arial" w:hAnsi="Arial"/>
          <w:sz w:val="22"/>
          <w:szCs w:val="22"/>
        </w:rPr>
      </w:pPr>
      <w:r w:rsidRPr="000214DA">
        <w:rPr>
          <w:rFonts w:ascii="Arial" w:cs="Arial" w:hAnsi="Arial"/>
          <w:sz w:val="22"/>
          <w:szCs w:val="22"/>
        </w:rPr>
        <w:t xml:space="preserve">Salisbury, C., Murphy, M. and Duncan, P. (2016) ‘The impact of digital-first consultation systems in primary care’, </w:t>
      </w:r>
      <w:r w:rsidRPr="000214DA">
        <w:rPr>
          <w:iCs/>
          <w:i/>
          <w:rFonts w:ascii="Arial" w:cs="Arial" w:hAnsi="Arial"/>
          <w:sz w:val="22"/>
          <w:szCs w:val="22"/>
        </w:rPr>
        <w:t>British Journal of General Practice</w:t>
      </w:r>
      <w:r w:rsidRPr="000214DA">
        <w:rPr>
          <w:rFonts w:ascii="Arial" w:cs="Arial" w:hAnsi="Arial"/>
          <w:sz w:val="22"/>
          <w:szCs w:val="22"/>
        </w:rPr>
        <w:t>, 66(648), pp. e460–e466.</w:t>
      </w:r>
    </w:p>
    <w:p w:rsidR="000214DA" w:rsidRDefault="000214DA" w14:paraId="55BC2726" w14:textId="77777777" w:rsidP="00A3727F" w:rsidRPr="000214DA">
      <w:pPr>
        <w:jc w:val="both"/>
        <w:spacing w:line="360" w:lineRule="auto"/>
        <w:rPr>
          <w:rFonts w:ascii="Arial" w:cs="Arial" w:hAnsi="Arial"/>
          <w:sz w:val="22"/>
          <w:szCs w:val="22"/>
        </w:rPr>
      </w:pPr>
      <w:r w:rsidRPr="000214DA">
        <w:rPr>
          <w:rFonts w:ascii="Arial" w:cs="Arial" w:hAnsi="Arial"/>
          <w:sz w:val="22"/>
          <w:szCs w:val="22"/>
        </w:rPr>
        <w:t xml:space="preserve">Shaw, S., </w:t>
      </w:r>
      <w:proofErr w:type="spellStart"/>
      <w:r w:rsidRPr="000214DA">
        <w:rPr>
          <w:rFonts w:ascii="Arial" w:cs="Arial" w:hAnsi="Arial"/>
          <w:sz w:val="22"/>
          <w:szCs w:val="22"/>
        </w:rPr>
        <w:t>Wherton</w:t>
      </w:r>
      <w:proofErr w:type="spellEnd"/>
      <w:r w:rsidRPr="000214DA">
        <w:rPr>
          <w:rFonts w:ascii="Arial" w:cs="Arial" w:hAnsi="Arial"/>
          <w:sz w:val="22"/>
          <w:szCs w:val="22"/>
        </w:rPr>
        <w:t xml:space="preserve">, J., Vijayaraghavan, S., Morris, J., Bhattacharya, S., Hanson, P., Campbell-Richards, D., Ramoutar, S., Collard, A., Hodkinson, I. and Greenhalgh, T. (2018) ‘Advantages and limitations of virtual online consultations in a NHS acute trust’, </w:t>
      </w:r>
      <w:r w:rsidRPr="000214DA">
        <w:rPr>
          <w:iCs/>
          <w:i/>
          <w:rFonts w:ascii="Arial" w:cs="Arial" w:hAnsi="Arial"/>
          <w:sz w:val="22"/>
          <w:szCs w:val="22"/>
        </w:rPr>
        <w:t>BMJ Open</w:t>
      </w:r>
      <w:r w:rsidRPr="000214DA">
        <w:rPr>
          <w:rFonts w:ascii="Arial" w:cs="Arial" w:hAnsi="Arial"/>
          <w:sz w:val="22"/>
          <w:szCs w:val="22"/>
        </w:rPr>
        <w:t>, 8(2), e018907.</w:t>
      </w:r>
    </w:p>
    <w:p w:rsidR="000214DA" w:rsidRDefault="000214DA" w14:paraId="2E36D1C5" w14:textId="77777777" w:rsidP="00A3727F" w:rsidRPr="000214DA">
      <w:pPr>
        <w:jc w:val="both"/>
        <w:spacing w:line="360" w:lineRule="auto"/>
        <w:rPr>
          <w:rFonts w:ascii="Arial" w:cs="Arial" w:hAnsi="Arial"/>
          <w:sz w:val="22"/>
          <w:szCs w:val="22"/>
        </w:rPr>
      </w:pPr>
      <w:r w:rsidRPr="000214DA">
        <w:rPr>
          <w:rFonts w:ascii="Arial" w:cs="Arial" w:hAnsi="Arial"/>
          <w:sz w:val="22"/>
          <w:szCs w:val="22"/>
        </w:rPr>
        <w:t xml:space="preserve">The Health Foundation (2021) </w:t>
      </w:r>
      <w:r w:rsidRPr="000214DA">
        <w:rPr>
          <w:iCs/>
          <w:i/>
          <w:rFonts w:ascii="Arial" w:cs="Arial" w:hAnsi="Arial"/>
          <w:sz w:val="22"/>
          <w:szCs w:val="22"/>
        </w:rPr>
        <w:t>Inequalities in digital access to health services</w:t>
      </w:r>
      <w:r w:rsidRPr="000214DA">
        <w:rPr>
          <w:rFonts w:ascii="Arial" w:cs="Arial" w:hAnsi="Arial"/>
          <w:sz w:val="22"/>
          <w:szCs w:val="22"/>
        </w:rPr>
        <w:t>. London: The Health Foundation.</w:t>
      </w:r>
    </w:p>
    <w:p w:rsidR="000214DA" w:rsidRDefault="000214DA" w14:paraId="081A3ACD" w14:textId="77777777" w:rsidP="00A3727F" w:rsidRPr="000214DA">
      <w:pPr>
        <w:jc w:val="both"/>
        <w:spacing w:line="360" w:lineRule="auto"/>
        <w:rPr>
          <w:rFonts w:ascii="Arial" w:cs="Arial" w:hAnsi="Arial"/>
          <w:sz w:val="22"/>
          <w:szCs w:val="22"/>
        </w:rPr>
      </w:pPr>
      <w:r w:rsidRPr="000214DA">
        <w:rPr>
          <w:rFonts w:ascii="Arial" w:cs="Arial" w:hAnsi="Arial"/>
          <w:sz w:val="22"/>
          <w:szCs w:val="22"/>
        </w:rPr>
        <w:t xml:space="preserve">The King’s Fund (2022) </w:t>
      </w:r>
      <w:r w:rsidRPr="000214DA">
        <w:rPr>
          <w:iCs/>
          <w:i/>
          <w:rFonts w:ascii="Arial" w:cs="Arial" w:hAnsi="Arial"/>
          <w:sz w:val="22"/>
          <w:szCs w:val="22"/>
        </w:rPr>
        <w:t>The digital transformation of the NHS</w:t>
      </w:r>
      <w:r w:rsidRPr="000214DA">
        <w:rPr>
          <w:rFonts w:ascii="Arial" w:cs="Arial" w:hAnsi="Arial"/>
          <w:sz w:val="22"/>
          <w:szCs w:val="22"/>
        </w:rPr>
        <w:t>. London: The King’s Fund.</w:t>
      </w:r>
    </w:p>
    <w:p w:rsidR="000214DA" w:rsidRDefault="000214DA" w14:paraId="714E81D8" w14:textId="77777777" w:rsidP="00A3727F" w:rsidRPr="000214DA">
      <w:pPr>
        <w:jc w:val="both"/>
        <w:spacing w:line="360" w:lineRule="auto"/>
        <w:rPr>
          <w:rFonts w:ascii="Arial" w:cs="Arial" w:hAnsi="Arial"/>
          <w:sz w:val="22"/>
          <w:szCs w:val="22"/>
        </w:rPr>
      </w:pPr>
      <w:r w:rsidRPr="000214DA">
        <w:rPr>
          <w:rFonts w:ascii="Arial" w:cs="Arial" w:hAnsi="Arial"/>
          <w:sz w:val="22"/>
          <w:szCs w:val="22"/>
        </w:rPr>
        <w:t xml:space="preserve">West, M., Coia, D. and Armit, K. (2022) </w:t>
      </w:r>
      <w:r w:rsidRPr="000214DA">
        <w:rPr>
          <w:iCs/>
          <w:i/>
          <w:rFonts w:ascii="Arial" w:cs="Arial" w:hAnsi="Arial"/>
          <w:sz w:val="22"/>
          <w:szCs w:val="22"/>
        </w:rPr>
        <w:t>Workforce burnout and resilience in the NHS</w:t>
      </w:r>
      <w:r w:rsidRPr="000214DA">
        <w:rPr>
          <w:rFonts w:ascii="Arial" w:cs="Arial" w:hAnsi="Arial"/>
          <w:sz w:val="22"/>
          <w:szCs w:val="22"/>
        </w:rPr>
        <w:t>. London: The King’s Fund.</w:t>
      </w:r>
    </w:p>
    <w:p w:rsidR="007763BF" w:rsidRDefault="007763BF" w14:paraId="552CF838" w14:textId="77777777" w:rsidP="00A3727F" w:rsidRPr="00A3727F">
      <w:pPr>
        <w:jc w:val="both"/>
        <w:spacing w:line="360" w:lineRule="auto"/>
        <w:rPr>
          <w:rFonts w:ascii="Arial" w:cs="Arial" w:hAnsi="Arial"/>
          <w:sz w:val="22"/>
          <w:szCs w:val="22"/>
        </w:rPr>
      </w:pPr>
    </w:p>
    <w:sectPr w:rsidR="007763BF" w:rsidRPr="00A3727F">
      <w:docGrid w:linePitch="360"/>
      <w:footerReference r:id="rId10" w:type="default"/>
      <w:pgSz w:w="12240" w:h="15840"/>
      <w:pgMar w:left="1440" w:right="1440" w:top="1440" w:bottom="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994D79" w14:textId="77777777" w:rsidR="00DB2E65" w:rsidRDefault="00DB2E65" w:rsidP="00CC5AA9">
      <w:pPr>
        <w:spacing w:after="0" w:line="240" w:lineRule="auto"/>
      </w:pPr>
      <w:r>
        <w:separator/>
      </w:r>
    </w:p>
  </w:endnote>
  <w:endnote w:type="continuationSeparator" w:id="0">
    <w:p w14:paraId="1CF56D9C" w14:textId="77777777" w:rsidR="00DB2E65" w:rsidRDefault="00DB2E65" w:rsidP="00CC5AA9">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font w:name="Cambria"/>
  <w:font w:name="Symbol"/>
  <w:font w:name="Courier New"/>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5966480"/>
      <w:docPartObj>
        <w:docPartGallery w:val="Page Numbers (Bottom of Page)"/>
        <w:docPartUnique/>
      </w:docPartObj>
    </w:sdtPr>
    <w:sdtEndPr>
      <w:rPr>
        <w:noProof/>
      </w:rPr>
    </w:sdtEndPr>
    <w:sdtContent>
      <w:p w14:paraId="6474EEDC" w14:textId="12184ED6" w:rsidR="00CC5AA9" w:rsidRDefault="00CC5AA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B54F0B" w14:textId="77777777" w:rsidR="00CC5AA9" w:rsidRDefault="00CC5A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6588C2" w14:textId="77777777" w:rsidR="00DB2E65" w:rsidRDefault="00DB2E65" w:rsidP="00CC5AA9">
      <w:pPr>
        <w:spacing w:after="0" w:line="240" w:lineRule="auto"/>
      </w:pPr>
      <w:r>
        <w:separator/>
      </w:r>
    </w:p>
  </w:footnote>
  <w:footnote w:type="continuationSeparator" w:id="0">
    <w:p w14:paraId="42BEF234" w14:textId="77777777" w:rsidR="00DB2E65" w:rsidRDefault="00DB2E65" w:rsidP="00CC5AA9">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3D35534F"/>
    <w:tmpl w:val="2B5AA968"/>
    <w:lvl w:ilvl="0" w:tplc="0409000F">
      <w:numFmt w:val="decimal"/>
      <w:lvlText w:val="%1."/>
      <w:start w:val="1"/>
      <w:rPr>
        <w:rFonts w:hint="default"/>
      </w:rPr>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14BDE7"/>
  <w15:chartTrackingRefBased/>
  <w15:docId w15:val="{7016F3BA-DA83-4A25-9837-FC1416C51150}"/>
  <w:rsids>
    <w:rsidRoot val="00C03118"/>
    <w:rsid val="00007C7E"/>
    <w:rsid val="000214DA"/>
    <w:rsid val="000459E4"/>
    <w:rsid val="000658D8"/>
    <w:rsid val="000F363E"/>
    <w:rsid val="00151B4E"/>
    <w:rsid val="00167E11"/>
    <w:rsid val="0018268C"/>
    <w:rsid val="001C4DB9"/>
    <w:rsid val="00242494"/>
    <w:rsid val="002955FF"/>
    <w:rsid val="002D7D48"/>
    <w:rsid val="003F2FBD"/>
    <w:rsid val="00415969"/>
    <w:rsid val="004D218E"/>
    <w:rsid val="004F1262"/>
    <w:rsid val="00553065"/>
    <w:rsid val="00622D87"/>
    <w:rsid val="006472B9"/>
    <w:rsid val="00654CD4"/>
    <w:rsid val="0067708B"/>
    <w:rsid val="0068155F"/>
    <w:rsid val="006A6A4C"/>
    <w:rsid val="007202B0"/>
    <w:rsid val="007251C8"/>
    <w:rsid val="007543B0"/>
    <w:rsid val="007564CC"/>
    <w:rsid val="007763BF"/>
    <w:rsid val="007E3CE1"/>
    <w:rsid val="008B7BCC"/>
    <w:rsid val="00934C40"/>
    <w:rsid val="00A04B95"/>
    <w:rsid val="00A10FD7"/>
    <w:rsid val="00A3727F"/>
    <w:rsid val="00A82ADC"/>
    <w:rsid val="00A84C9B"/>
    <w:rsid val="00B47253"/>
    <w:rsid val="00B62DFC"/>
    <w:rsid val="00C03118"/>
    <w:rsid val="00C064AD"/>
    <w:rsid val="00C3190D"/>
    <w:rsid val="00CC5AA9"/>
    <w:rsid val="00D671ED"/>
    <w:rsid val="00D848F9"/>
    <w:rsid val="00DB2E65"/>
    <w:rsid val="00DE404D"/>
    <w:rsid val="00E7327E"/>
    <w:rsid val="00EC3109"/>
    <w:rsid val="00F600C1"/>
    <w:rsid val="00F614BE"/>
    <w:rsid val="00F621FB"/>
    <w:rsid val="00FC250D"/>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31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031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31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31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31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31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31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31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31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31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031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31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31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31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31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31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31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3118"/>
    <w:rPr>
      <w:rFonts w:eastAsiaTheme="majorEastAsia" w:cstheme="majorBidi"/>
      <w:color w:val="272727" w:themeColor="text1" w:themeTint="D8"/>
    </w:rPr>
  </w:style>
  <w:style w:type="paragraph" w:styleId="Title">
    <w:name w:val="Title"/>
    <w:basedOn w:val="Normal"/>
    <w:next w:val="Normal"/>
    <w:link w:val="TitleChar"/>
    <w:uiPriority w:val="10"/>
    <w:qFormat/>
    <w:rsid w:val="00C031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31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31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31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3118"/>
    <w:pPr>
      <w:spacing w:before="160"/>
      <w:jc w:val="center"/>
    </w:pPr>
    <w:rPr>
      <w:i/>
      <w:iCs/>
      <w:color w:val="404040" w:themeColor="text1" w:themeTint="BF"/>
    </w:rPr>
  </w:style>
  <w:style w:type="character" w:customStyle="1" w:styleId="QuoteChar">
    <w:name w:val="Quote Char"/>
    <w:basedOn w:val="DefaultParagraphFont"/>
    <w:link w:val="Quote"/>
    <w:uiPriority w:val="29"/>
    <w:rsid w:val="00C03118"/>
    <w:rPr>
      <w:i/>
      <w:iCs/>
      <w:color w:val="404040" w:themeColor="text1" w:themeTint="BF"/>
    </w:rPr>
  </w:style>
  <w:style w:type="paragraph" w:styleId="ListParagraph">
    <w:name w:val="List Paragraph"/>
    <w:basedOn w:val="Normal"/>
    <w:uiPriority w:val="34"/>
    <w:qFormat/>
    <w:rsid w:val="00C03118"/>
    <w:pPr>
      <w:ind w:left="720"/>
      <w:contextualSpacing/>
    </w:pPr>
  </w:style>
  <w:style w:type="character" w:styleId="IntenseEmphasis">
    <w:name w:val="Intense Emphasis"/>
    <w:basedOn w:val="DefaultParagraphFont"/>
    <w:uiPriority w:val="21"/>
    <w:qFormat/>
    <w:rsid w:val="00C03118"/>
    <w:rPr>
      <w:i/>
      <w:iCs/>
      <w:color w:val="0F4761" w:themeColor="accent1" w:themeShade="BF"/>
    </w:rPr>
  </w:style>
  <w:style w:type="paragraph" w:styleId="IntenseQuote">
    <w:name w:val="Intense Quote"/>
    <w:basedOn w:val="Normal"/>
    <w:next w:val="Normal"/>
    <w:link w:val="IntenseQuoteChar"/>
    <w:uiPriority w:val="30"/>
    <w:qFormat/>
    <w:rsid w:val="00C031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3118"/>
    <w:rPr>
      <w:i/>
      <w:iCs/>
      <w:color w:val="0F4761" w:themeColor="accent1" w:themeShade="BF"/>
    </w:rPr>
  </w:style>
  <w:style w:type="character" w:styleId="IntenseReference">
    <w:name w:val="Intense Reference"/>
    <w:basedOn w:val="DefaultParagraphFont"/>
    <w:uiPriority w:val="32"/>
    <w:qFormat/>
    <w:rsid w:val="00C03118"/>
    <w:rPr>
      <w:b/>
      <w:bCs/>
      <w:smallCaps/>
      <w:color w:val="0F4761" w:themeColor="accent1" w:themeShade="BF"/>
      <w:spacing w:val="5"/>
    </w:rPr>
  </w:style>
  <w:style w:type="paragraph" w:styleId="Header">
    <w:name w:val="header"/>
    <w:basedOn w:val="Normal"/>
    <w:link w:val="HeaderChar"/>
    <w:uiPriority w:val="99"/>
    <w:unhideWhenUsed/>
    <w:rsid w:val="00CC5AA9"/>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5AA9"/>
  </w:style>
  <w:style w:type="paragraph" w:styleId="Footer">
    <w:name w:val="footer"/>
    <w:basedOn w:val="Normal"/>
    <w:link w:val="FooterChar"/>
    <w:uiPriority w:val="99"/>
    <w:unhideWhenUsed/>
    <w:rsid w:val="00CC5AA9"/>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5AA9"/>
  </w:style>
  <w:style w:type="character" w:styleId="Hyperlink">
    <w:name w:val="Hyperlink"/>
    <w:basedOn w:val="DefaultParagraphFont"/>
    <w:uiPriority w:val="99"/>
    <w:unhideWhenUsed/>
    <w:rsid w:val="007763BF"/>
    <w:rPr>
      <w:color w:val="467886" w:themeColor="hyperlink"/>
      <w:u w:val="single"/>
    </w:rPr>
  </w:style>
  <w:style w:type="character" w:styleId="UnresolvedMention">
    <w:name w:val="Unresolved Mention"/>
    <w:basedOn w:val="DefaultParagraphFont"/>
    <w:uiPriority w:val="99"/>
    <w:semiHidden/>
    <w:unhideWhenUsed/>
    <w:rsid w:val="007763BF"/>
    <w:rPr>
      <w:color w:val="605E5C"/>
      <w:shd w:val="clear" w:color="auto" w:fill="E1DFDD"/>
    </w:rPr>
  </w:style>
  <w:style w:type="paragraph" w:styleId="TOCHeading">
    <w:name w:val="TOC Heading"/>
    <w:basedOn w:val="Heading1"/>
    <w:next w:val="Normal"/>
    <w:uiPriority w:val="39"/>
    <w:unhideWhenUsed/>
    <w:qFormat/>
    <w:rsid w:val="00D671ED"/>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D671ED"/>
    <w:pPr>
      <w:spacing w:after="100"/>
    </w:pPr>
  </w:style>
  <w:style w:type="paragraph" w:styleId="TOC2">
    <w:name w:val="toc 2"/>
    <w:basedOn w:val="Normal"/>
    <w:next w:val="Normal"/>
    <w:autoRedefine/>
    <w:uiPriority w:val="39"/>
    <w:unhideWhenUsed/>
    <w:rsid w:val="00D671E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nhs.uk/nhs-app/" TargetMode="External"/><Relationship Id="rId13"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1BF4F1-E4A1-49EC-B62C-DCA68BD7A1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TotalTime>
  <Pages>13</Pages>
  <Words>3765</Words>
  <Characters>21464</Characters>
  <Application>Microsoft Office Word</Application>
  <DocSecurity>0</DocSecurity>
  <Lines>178</Lines>
  <Paragraphs>50</Paragraphs>
  <ScaleCrop>false</ScaleCrop>
  <Company/>
  <LinksUpToDate>false</LinksUpToDate>
  <CharactersWithSpaces>25179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74</cp:revision>
  <dcterms:created xsi:type="dcterms:W3CDTF">2026-02-19T08:35:00Z</dcterms:created>
  <dcterms:modified xsi:type="dcterms:W3CDTF">2026-02-19T09:42:00Z</dcterms:modified>
</cp:coreProperties>
</file>