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52538" w14:textId="11F1C420" w:rsidR="00011C80" w:rsidRPr="00AE2B97" w:rsidRDefault="0078229F" w:rsidP="00932D2E">
      <w:pPr>
        <w:spacing w:before="1600" w:line="360" w:lineRule="auto"/>
        <w:rPr>
          <w:b/>
          <w:bCs/>
          <w:color w:val="000000" w:themeColor="text1"/>
          <w:sz w:val="28"/>
          <w:szCs w:val="28"/>
        </w:rPr>
      </w:pPr>
      <w:r w:rsidRPr="00AE2B97">
        <w:rPr>
          <w:b/>
          <w:bCs/>
          <w:noProof/>
          <w:color w:val="000000" w:themeColor="text1"/>
          <w:sz w:val="28"/>
          <w:szCs w:val="28"/>
        </w:rPr>
        <w:drawing>
          <wp:anchor distT="0" distB="0" distL="114300" distR="114300" simplePos="0" relativeHeight="251660289" behindDoc="0" locked="0" layoutInCell="1" allowOverlap="1" wp14:anchorId="35540995" wp14:editId="7AC80A51">
            <wp:simplePos x="0" y="0"/>
            <wp:positionH relativeFrom="column">
              <wp:posOffset>-163830</wp:posOffset>
            </wp:positionH>
            <wp:positionV relativeFrom="paragraph">
              <wp:posOffset>140335</wp:posOffset>
            </wp:positionV>
            <wp:extent cx="6172200" cy="2538095"/>
            <wp:effectExtent l="0" t="0" r="0" b="0"/>
            <wp:wrapTopAndBottom/>
            <wp:docPr id="6838786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878638" name="Picture 683878638"/>
                    <pic:cNvPicPr/>
                  </pic:nvPicPr>
                  <pic:blipFill>
                    <a:blip r:embed="rId7">
                      <a:extLst>
                        <a:ext uri="{28A0092B-C50C-407E-A947-70E740481C1C}">
                          <a14:useLocalDpi xmlns:a14="http://schemas.microsoft.com/office/drawing/2010/main" val="0"/>
                        </a:ext>
                      </a:extLst>
                    </a:blip>
                    <a:stretch>
                      <a:fillRect/>
                    </a:stretch>
                  </pic:blipFill>
                  <pic:spPr>
                    <a:xfrm>
                      <a:off x="0" y="0"/>
                      <a:ext cx="6172200" cy="2538095"/>
                    </a:xfrm>
                    <a:prstGeom prst="rect">
                      <a:avLst/>
                    </a:prstGeom>
                  </pic:spPr>
                </pic:pic>
              </a:graphicData>
            </a:graphic>
            <wp14:sizeRelV relativeFrom="margin">
              <wp14:pctHeight>0</wp14:pctHeight>
            </wp14:sizeRelV>
          </wp:anchor>
        </w:drawing>
      </w:r>
      <w:r w:rsidR="0053615B" w:rsidRPr="00AE2B97">
        <w:rPr>
          <w:b/>
          <w:bCs/>
          <w:color w:val="000000" w:themeColor="text1"/>
          <w:sz w:val="28"/>
          <w:szCs w:val="28"/>
        </w:rPr>
        <w:t xml:space="preserve">Name: </w:t>
      </w:r>
      <w:r w:rsidR="0053615B" w:rsidRPr="00AE2B97">
        <w:rPr>
          <w:color w:val="000000" w:themeColor="text1"/>
          <w:sz w:val="28"/>
          <w:szCs w:val="28"/>
        </w:rPr>
        <w:t xml:space="preserve">Nazmin Malik </w:t>
      </w:r>
    </w:p>
    <w:p w14:paraId="6C7F2F64" w14:textId="4E3A3622" w:rsidR="00011C80" w:rsidRPr="00AE2B97" w:rsidRDefault="00C04966" w:rsidP="00932D2E">
      <w:pPr>
        <w:spacing w:line="360" w:lineRule="auto"/>
        <w:rPr>
          <w:color w:val="000000" w:themeColor="text1"/>
          <w:sz w:val="28"/>
          <w:szCs w:val="28"/>
        </w:rPr>
      </w:pPr>
      <w:r w:rsidRPr="00AE2B97">
        <w:rPr>
          <w:b/>
          <w:bCs/>
          <w:color w:val="000000" w:themeColor="text1"/>
          <w:sz w:val="28"/>
          <w:szCs w:val="28"/>
        </w:rPr>
        <w:t xml:space="preserve">Student </w:t>
      </w:r>
      <w:r w:rsidR="00011C80" w:rsidRPr="00AE2B97">
        <w:rPr>
          <w:b/>
          <w:bCs/>
          <w:color w:val="000000" w:themeColor="text1"/>
          <w:sz w:val="28"/>
          <w:szCs w:val="28"/>
        </w:rPr>
        <w:t>no</w:t>
      </w:r>
      <w:r w:rsidR="00011C80" w:rsidRPr="00AE2B97">
        <w:rPr>
          <w:color w:val="000000" w:themeColor="text1"/>
          <w:sz w:val="28"/>
          <w:szCs w:val="28"/>
        </w:rPr>
        <w:t xml:space="preserve">: </w:t>
      </w:r>
      <w:r w:rsidR="00F31F15" w:rsidRPr="00AE2B97">
        <w:rPr>
          <w:color w:val="000000" w:themeColor="text1"/>
          <w:sz w:val="28"/>
          <w:szCs w:val="28"/>
        </w:rPr>
        <w:t>2242813</w:t>
      </w:r>
    </w:p>
    <w:p w14:paraId="4B5F2ABB" w14:textId="59E86B3E" w:rsidR="00F31F15" w:rsidRPr="00AE2B97" w:rsidRDefault="00932D2E" w:rsidP="00932D2E">
      <w:pPr>
        <w:spacing w:line="360" w:lineRule="auto"/>
        <w:rPr>
          <w:color w:val="000000" w:themeColor="text1"/>
          <w:sz w:val="28"/>
          <w:szCs w:val="28"/>
        </w:rPr>
      </w:pPr>
      <w:r w:rsidRPr="00AE2B97">
        <w:rPr>
          <w:b/>
          <w:bCs/>
          <w:color w:val="000000" w:themeColor="text1"/>
          <w:sz w:val="28"/>
          <w:szCs w:val="28"/>
        </w:rPr>
        <w:t>Module Code:</w:t>
      </w:r>
      <w:r w:rsidR="000E52A8" w:rsidRPr="00AE2B97">
        <w:rPr>
          <w:color w:val="000000" w:themeColor="text1"/>
          <w:sz w:val="28"/>
          <w:szCs w:val="28"/>
        </w:rPr>
        <w:t>LCHS7003</w:t>
      </w:r>
    </w:p>
    <w:p w14:paraId="79112AA6" w14:textId="4992DAF9" w:rsidR="00932D2E" w:rsidRPr="00AE2B97" w:rsidRDefault="00932D2E" w:rsidP="00932D2E">
      <w:pPr>
        <w:spacing w:line="360" w:lineRule="auto"/>
        <w:rPr>
          <w:color w:val="000000" w:themeColor="text1"/>
          <w:sz w:val="28"/>
          <w:szCs w:val="28"/>
        </w:rPr>
      </w:pPr>
      <w:r w:rsidRPr="00AE2B97">
        <w:rPr>
          <w:b/>
          <w:bCs/>
          <w:color w:val="000000" w:themeColor="text1"/>
          <w:sz w:val="28"/>
          <w:szCs w:val="28"/>
        </w:rPr>
        <w:t>Module:</w:t>
      </w:r>
      <w:r w:rsidR="000E52A8" w:rsidRPr="00AE2B97">
        <w:rPr>
          <w:b/>
          <w:bCs/>
          <w:color w:val="000000" w:themeColor="text1"/>
          <w:sz w:val="28"/>
          <w:szCs w:val="28"/>
        </w:rPr>
        <w:t xml:space="preserve"> </w:t>
      </w:r>
      <w:r w:rsidR="00AE2B97" w:rsidRPr="00AE2B97">
        <w:rPr>
          <w:color w:val="000000" w:themeColor="text1"/>
          <w:sz w:val="28"/>
          <w:szCs w:val="28"/>
        </w:rPr>
        <w:t xml:space="preserve">Community Care and Management of Longer-term Conditions  </w:t>
      </w:r>
    </w:p>
    <w:p w14:paraId="1C40F625" w14:textId="0D1A313C" w:rsidR="003F617E" w:rsidRPr="00AE2B97" w:rsidRDefault="00932D2E" w:rsidP="00932D2E">
      <w:pPr>
        <w:spacing w:line="360" w:lineRule="auto"/>
        <w:rPr>
          <w:color w:val="000000" w:themeColor="text1"/>
          <w:sz w:val="28"/>
          <w:szCs w:val="28"/>
        </w:rPr>
      </w:pPr>
      <w:r w:rsidRPr="00AE2B97">
        <w:rPr>
          <w:b/>
          <w:bCs/>
          <w:color w:val="000000" w:themeColor="text1"/>
          <w:sz w:val="28"/>
          <w:szCs w:val="28"/>
        </w:rPr>
        <w:t>Assignment Title:</w:t>
      </w:r>
      <w:r w:rsidR="002C45AA" w:rsidRPr="00AE2B97">
        <w:rPr>
          <w:color w:val="000000" w:themeColor="text1"/>
          <w:sz w:val="28"/>
          <w:szCs w:val="28"/>
        </w:rPr>
        <w:t xml:space="preserve"> </w:t>
      </w:r>
      <w:r w:rsidR="003F617E" w:rsidRPr="00AE2B97">
        <w:rPr>
          <w:color w:val="000000" w:themeColor="text1"/>
          <w:sz w:val="28"/>
          <w:szCs w:val="28"/>
        </w:rPr>
        <w:t xml:space="preserve">Component 1  </w:t>
      </w:r>
    </w:p>
    <w:p w14:paraId="50CB5303" w14:textId="0C0B09FD" w:rsidR="003F617E" w:rsidRPr="00AE2B97" w:rsidRDefault="003F617E" w:rsidP="00932D2E">
      <w:pPr>
        <w:spacing w:line="360" w:lineRule="auto"/>
        <w:rPr>
          <w:color w:val="000000" w:themeColor="text1"/>
          <w:sz w:val="28"/>
          <w:szCs w:val="28"/>
        </w:rPr>
      </w:pPr>
      <w:r w:rsidRPr="00AE2B97">
        <w:rPr>
          <w:color w:val="000000" w:themeColor="text1"/>
          <w:sz w:val="28"/>
          <w:szCs w:val="28"/>
        </w:rPr>
        <w:t xml:space="preserve">Information Booklet of Long- term Condition Management  </w:t>
      </w:r>
    </w:p>
    <w:p w14:paraId="02506FF7" w14:textId="0FBF2EF5" w:rsidR="00932D2E" w:rsidRPr="00AE2B97" w:rsidRDefault="00932D2E" w:rsidP="00932D2E">
      <w:pPr>
        <w:spacing w:line="360" w:lineRule="auto"/>
        <w:rPr>
          <w:color w:val="000000" w:themeColor="text1"/>
          <w:sz w:val="28"/>
          <w:szCs w:val="28"/>
        </w:rPr>
      </w:pPr>
      <w:r w:rsidRPr="00AE2B97">
        <w:rPr>
          <w:b/>
          <w:bCs/>
          <w:color w:val="000000" w:themeColor="text1"/>
          <w:sz w:val="28"/>
          <w:szCs w:val="28"/>
        </w:rPr>
        <w:t>Lecture:</w:t>
      </w:r>
      <w:r w:rsidR="0063203C" w:rsidRPr="00AE2B97">
        <w:rPr>
          <w:b/>
          <w:bCs/>
          <w:color w:val="000000" w:themeColor="text1"/>
          <w:sz w:val="28"/>
          <w:szCs w:val="28"/>
        </w:rPr>
        <w:t xml:space="preserve"> </w:t>
      </w:r>
      <w:r w:rsidR="0063203C" w:rsidRPr="00AE2B97">
        <w:rPr>
          <w:color w:val="000000" w:themeColor="text1"/>
          <w:sz w:val="28"/>
          <w:szCs w:val="28"/>
        </w:rPr>
        <w:t>Dr Aishat Bakre</w:t>
      </w:r>
    </w:p>
    <w:p w14:paraId="0C79E914" w14:textId="5DCB6C13" w:rsidR="0053615B" w:rsidRPr="00AE2B97" w:rsidRDefault="0053615B" w:rsidP="00932D2E">
      <w:pPr>
        <w:spacing w:before="1600" w:after="200" w:line="360" w:lineRule="auto"/>
        <w:rPr>
          <w:b/>
          <w:bCs/>
          <w:color w:val="B3261E"/>
          <w:sz w:val="28"/>
          <w:szCs w:val="28"/>
        </w:rPr>
      </w:pPr>
    </w:p>
    <w:p w14:paraId="3BDC6E98" w14:textId="42C0C1CA" w:rsidR="003C1C10" w:rsidRPr="00131B20" w:rsidRDefault="00952BA7" w:rsidP="00131B20">
      <w:pPr>
        <w:jc w:val="center"/>
        <w:rPr>
          <w:b/>
          <w:bCs/>
          <w:color w:val="B3261E"/>
          <w:sz w:val="56"/>
          <w:szCs w:val="56"/>
        </w:rPr>
      </w:pPr>
      <w:r>
        <w:rPr>
          <w:b/>
          <w:bCs/>
          <w:noProof/>
          <w:color w:val="B3261E"/>
          <w:sz w:val="56"/>
          <w:szCs w:val="56"/>
        </w:rPr>
        <w:lastRenderedPageBreak/>
        <w:drawing>
          <wp:anchor distT="0" distB="0" distL="114300" distR="114300" simplePos="0" relativeHeight="251658240" behindDoc="0" locked="0" layoutInCell="1" allowOverlap="1" wp14:anchorId="4BBB0D92" wp14:editId="090A2FC9">
            <wp:simplePos x="0" y="0"/>
            <wp:positionH relativeFrom="column">
              <wp:posOffset>-522122</wp:posOffset>
            </wp:positionH>
            <wp:positionV relativeFrom="paragraph">
              <wp:posOffset>559</wp:posOffset>
            </wp:positionV>
            <wp:extent cx="7270750" cy="8879205"/>
            <wp:effectExtent l="0" t="0" r="6350" b="0"/>
            <wp:wrapTopAndBottom/>
            <wp:docPr id="202057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573954" name="Picture 2020573954"/>
                    <pic:cNvPicPr/>
                  </pic:nvPicPr>
                  <pic:blipFill>
                    <a:blip r:embed="rId8">
                      <a:extLst>
                        <a:ext uri="{28A0092B-C50C-407E-A947-70E740481C1C}">
                          <a14:useLocalDpi xmlns:a14="http://schemas.microsoft.com/office/drawing/2010/main" val="0"/>
                        </a:ext>
                      </a:extLst>
                    </a:blip>
                    <a:stretch>
                      <a:fillRect/>
                    </a:stretch>
                  </pic:blipFill>
                  <pic:spPr>
                    <a:xfrm>
                      <a:off x="0" y="0"/>
                      <a:ext cx="7270750" cy="8879205"/>
                    </a:xfrm>
                    <a:prstGeom prst="rect">
                      <a:avLst/>
                    </a:prstGeom>
                  </pic:spPr>
                </pic:pic>
              </a:graphicData>
            </a:graphic>
            <wp14:sizeRelH relativeFrom="margin">
              <wp14:pctWidth>0</wp14:pctWidth>
            </wp14:sizeRelH>
            <wp14:sizeRelV relativeFrom="margin">
              <wp14:pctHeight>0</wp14:pctHeight>
            </wp14:sizeRelV>
          </wp:anchor>
        </w:drawing>
      </w:r>
      <w:r w:rsidR="00937478">
        <w:rPr>
          <w:b/>
          <w:bCs/>
          <w:color w:val="B3261E"/>
          <w:sz w:val="56"/>
          <w:szCs w:val="56"/>
        </w:rPr>
        <w:br w:type="page"/>
      </w:r>
      <w:r w:rsidR="00961E29" w:rsidRPr="00567B06">
        <w:rPr>
          <w:noProof/>
        </w:rPr>
        <w:lastRenderedPageBreak/>
        <w:drawing>
          <wp:anchor distT="0" distB="0" distL="114300" distR="114300" simplePos="0" relativeHeight="251658241" behindDoc="0" locked="0" layoutInCell="1" allowOverlap="1" wp14:anchorId="5DDDD048" wp14:editId="79A061DF">
            <wp:simplePos x="0" y="0"/>
            <wp:positionH relativeFrom="column">
              <wp:posOffset>20955</wp:posOffset>
            </wp:positionH>
            <wp:positionV relativeFrom="paragraph">
              <wp:posOffset>0</wp:posOffset>
            </wp:positionV>
            <wp:extent cx="6172200" cy="2499360"/>
            <wp:effectExtent l="0" t="0" r="0" b="0"/>
            <wp:wrapTopAndBottom/>
            <wp:docPr id="2131182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182442" name="Picture 2131182442"/>
                    <pic:cNvPicPr/>
                  </pic:nvPicPr>
                  <pic:blipFill>
                    <a:blip r:embed="rId9">
                      <a:extLst>
                        <a:ext uri="{28A0092B-C50C-407E-A947-70E740481C1C}">
                          <a14:useLocalDpi xmlns:a14="http://schemas.microsoft.com/office/drawing/2010/main" val="0"/>
                        </a:ext>
                      </a:extLst>
                    </a:blip>
                    <a:stretch>
                      <a:fillRect/>
                    </a:stretch>
                  </pic:blipFill>
                  <pic:spPr>
                    <a:xfrm>
                      <a:off x="0" y="0"/>
                      <a:ext cx="6172200" cy="2499360"/>
                    </a:xfrm>
                    <a:prstGeom prst="rect">
                      <a:avLst/>
                    </a:prstGeom>
                  </pic:spPr>
                </pic:pic>
              </a:graphicData>
            </a:graphic>
          </wp:anchor>
        </w:drawing>
      </w:r>
      <w:r w:rsidR="00961E29" w:rsidRPr="00567B06">
        <w:rPr>
          <w:b/>
          <w:bCs/>
          <w:i/>
          <w:iCs/>
        </w:rPr>
        <w:t xml:space="preserve">A Booklet for Health and </w:t>
      </w:r>
      <w:r w:rsidR="00BC23DA" w:rsidRPr="00567B06">
        <w:rPr>
          <w:b/>
          <w:bCs/>
          <w:i/>
          <w:iCs/>
        </w:rPr>
        <w:t xml:space="preserve">Social Care </w:t>
      </w:r>
      <w:r w:rsidR="00961E29" w:rsidRPr="00567B06">
        <w:rPr>
          <w:b/>
          <w:bCs/>
          <w:i/>
          <w:iCs/>
        </w:rPr>
        <w:t>Professional</w:t>
      </w:r>
    </w:p>
    <w:p w14:paraId="7B7C258E" w14:textId="33A62559" w:rsidR="00346C12" w:rsidRDefault="00131B20">
      <w:pPr>
        <w:pStyle w:val="Heading1"/>
        <w:rPr>
          <w:sz w:val="22"/>
          <w:szCs w:val="22"/>
        </w:rPr>
      </w:pPr>
      <w:r w:rsidRPr="00567B06">
        <w:rPr>
          <w:noProof/>
          <w:sz w:val="22"/>
          <w:szCs w:val="22"/>
        </w:rPr>
        <mc:AlternateContent>
          <mc:Choice Requires="wps">
            <w:drawing>
              <wp:anchor distT="0" distB="0" distL="114300" distR="114300" simplePos="0" relativeHeight="251674625" behindDoc="0" locked="0" layoutInCell="1" allowOverlap="1" wp14:anchorId="65B4B21A" wp14:editId="7EDFCE96">
                <wp:simplePos x="0" y="0"/>
                <wp:positionH relativeFrom="column">
                  <wp:posOffset>2400300</wp:posOffset>
                </wp:positionH>
                <wp:positionV relativeFrom="paragraph">
                  <wp:posOffset>106045</wp:posOffset>
                </wp:positionV>
                <wp:extent cx="2462530" cy="1588770"/>
                <wp:effectExtent l="76200" t="57150" r="71120" b="278130"/>
                <wp:wrapNone/>
                <wp:docPr id="915705251" name="Speech Bubble: Oval 2"/>
                <wp:cNvGraphicFramePr/>
                <a:graphic xmlns:a="http://schemas.openxmlformats.org/drawingml/2006/main">
                  <a:graphicData uri="http://schemas.microsoft.com/office/word/2010/wordprocessingShape">
                    <wps:wsp>
                      <wps:cNvSpPr/>
                      <wps:spPr>
                        <a:xfrm>
                          <a:off x="0" y="0"/>
                          <a:ext cx="2462530" cy="1588770"/>
                        </a:xfrm>
                        <a:prstGeom prst="wedgeEllipseCallout">
                          <a:avLst/>
                        </a:prstGeom>
                        <a:solidFill>
                          <a:srgbClr val="E3ACAC"/>
                        </a:solidFill>
                      </wps:spPr>
                      <wps:style>
                        <a:lnRef idx="0">
                          <a:schemeClr val="accent3"/>
                        </a:lnRef>
                        <a:fillRef idx="3">
                          <a:schemeClr val="accent3"/>
                        </a:fillRef>
                        <a:effectRef idx="3">
                          <a:schemeClr val="accent3"/>
                        </a:effectRef>
                        <a:fontRef idx="minor">
                          <a:schemeClr val="lt1"/>
                        </a:fontRef>
                      </wps:style>
                      <wps:txbx>
                        <w:txbxContent>
                          <w:p w14:paraId="60E6F360" w14:textId="571AAA12" w:rsidR="003E4067" w:rsidRDefault="00CA5704" w:rsidP="003E4067">
                            <w:pPr>
                              <w:jc w:val="center"/>
                            </w:pPr>
                            <w:r>
                              <w:rPr>
                                <w:rStyle w:val="Strong"/>
                                <w:rFonts w:eastAsia="Times New Roman"/>
                              </w:rPr>
                              <w:t>“The good physician treats the disease; the great physician treats the patient who has the disease.”</w:t>
                            </w:r>
                            <w:r>
                              <w:rPr>
                                <w:rFonts w:eastAsia="Times New Roman"/>
                              </w:rPr>
                              <w:br/>
                            </w:r>
                            <w:r>
                              <w:rPr>
                                <w:rStyle w:val="Emphasis"/>
                                <w:rFonts w:eastAsia="Times New Roman"/>
                              </w:rPr>
                              <w:t>(William Osler)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B4B21A"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26" type="#_x0000_t63" style="position:absolute;margin-left:189pt;margin-top:8.35pt;width:193.9pt;height:125.1pt;z-index:2516746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" adj="6300,24300" fillcolor="#e3acac" stroked="f">
                <v:shadow on="t" color="black" opacity="41287f" offset="0,1.5pt"/>
                <v:textbox>
                  <w:txbxContent>
                    <w:p w14:paraId="60E6F360" w14:textId="571AAA12" w:rsidR="003E4067" w:rsidRDefault="00CA5704" w:rsidP="003E4067">
                      <w:pPr>
                        <w:jc w:val="center"/>
                      </w:pPr>
                      <w:r>
                        <w:rPr>
                          <w:rStyle w:val="Strong"/>
                          <w:rFonts w:eastAsia="Times New Roman"/>
                        </w:rPr>
                        <w:t>“The good physician treats the disease; the great physician treats the patient who has the disease.”</w:t>
                      </w:r>
                      <w:r>
                        <w:rPr>
                          <w:rFonts w:eastAsia="Times New Roman"/>
                        </w:rPr>
                        <w:br/>
                      </w:r>
                      <w:r>
                        <w:rPr>
                          <w:rStyle w:val="Emphasis"/>
                          <w:rFonts w:eastAsia="Times New Roman"/>
                        </w:rPr>
                        <w:t>(William Osler)</w:t>
                      </w:r>
                    </w:p>
                  </w:txbxContent>
                </v:textbox>
              </v:shape>
            </w:pict>
          </mc:Fallback>
        </mc:AlternateContent>
      </w:r>
    </w:p>
    <w:p w14:paraId="248CF644" w14:textId="29337D50" w:rsidR="002D727D" w:rsidRPr="00567B06" w:rsidRDefault="00131B20">
      <w:pPr>
        <w:pStyle w:val="Heading1"/>
        <w:rPr>
          <w:sz w:val="22"/>
          <w:szCs w:val="22"/>
        </w:rPr>
      </w:pPr>
      <w:r w:rsidRPr="00567B06">
        <w:rPr>
          <w:noProof/>
          <w:sz w:val="22"/>
          <w:szCs w:val="22"/>
        </w:rPr>
        <mc:AlternateContent>
          <mc:Choice Requires="wps">
            <w:drawing>
              <wp:anchor distT="0" distB="0" distL="114300" distR="114300" simplePos="0" relativeHeight="251676673" behindDoc="0" locked="0" layoutInCell="1" allowOverlap="1" wp14:anchorId="5FD7EF56" wp14:editId="3ED27F14">
                <wp:simplePos x="0" y="0"/>
                <wp:positionH relativeFrom="column">
                  <wp:posOffset>4675505</wp:posOffset>
                </wp:positionH>
                <wp:positionV relativeFrom="paragraph">
                  <wp:posOffset>234315</wp:posOffset>
                </wp:positionV>
                <wp:extent cx="2123440" cy="1527810"/>
                <wp:effectExtent l="76200" t="57150" r="67310" b="262890"/>
                <wp:wrapNone/>
                <wp:docPr id="555951633" name="Speech Bubble: Oval 2"/>
                <wp:cNvGraphicFramePr/>
                <a:graphic xmlns:a="http://schemas.openxmlformats.org/drawingml/2006/main">
                  <a:graphicData uri="http://schemas.microsoft.com/office/word/2010/wordprocessingShape">
                    <wps:wsp>
                      <wps:cNvSpPr/>
                      <wps:spPr>
                        <a:xfrm>
                          <a:off x="0" y="0"/>
                          <a:ext cx="2123440" cy="1527810"/>
                        </a:xfrm>
                        <a:prstGeom prst="wedgeEllipseCallout">
                          <a:avLst/>
                        </a:prstGeom>
                        <a:solidFill>
                          <a:srgbClr val="FE9292"/>
                        </a:solidFill>
                      </wps:spPr>
                      <wps:style>
                        <a:lnRef idx="0">
                          <a:schemeClr val="accent3"/>
                        </a:lnRef>
                        <a:fillRef idx="3">
                          <a:schemeClr val="accent3"/>
                        </a:fillRef>
                        <a:effectRef idx="3">
                          <a:schemeClr val="accent3"/>
                        </a:effectRef>
                        <a:fontRef idx="minor">
                          <a:schemeClr val="lt1"/>
                        </a:fontRef>
                      </wps:style>
                      <wps:txbx>
                        <w:txbxContent>
                          <w:p w14:paraId="5F9398C8" w14:textId="5A670BD0" w:rsidR="005209D3" w:rsidRDefault="00545182" w:rsidP="003E4067">
                            <w:pPr>
                              <w:jc w:val="center"/>
                            </w:pPr>
                            <w:r>
                              <w:rPr>
                                <w:rStyle w:val="Strong"/>
                                <w:rFonts w:eastAsia="Times New Roman"/>
                              </w:rPr>
                              <w:t>“Informed, activated patients and prepared, proactive healthcare teams are the key to improving outcomes for chronic conditions.”</w:t>
                            </w:r>
                            <w:r>
                              <w:rPr>
                                <w:rFonts w:eastAsia="Times New Roman"/>
                              </w:rPr>
                              <w:br/>
                            </w:r>
                            <w:r>
                              <w:rPr>
                                <w:rStyle w:val="Emphasis"/>
                                <w:rFonts w:eastAsia="Times New Roman"/>
                              </w:rPr>
                              <w:t xml:space="preserve">(Wagner et al., </w:t>
                            </w:r>
                            <w:r w:rsidR="00526484">
                              <w:rPr>
                                <w:rStyle w:val="Emphasis"/>
                                <w:rFonts w:eastAsia="Times New Roman"/>
                              </w:rPr>
                              <w:t>20</w:t>
                            </w:r>
                            <w:r w:rsidR="008C29EA">
                              <w:rPr>
                                <w:rStyle w:val="Emphasis"/>
                                <w:rFonts w:eastAsia="Times New Roman"/>
                              </w:rPr>
                              <w:t>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7EF56" id="_x0000_s1027" type="#_x0000_t63" style="position:absolute;margin-left:368.15pt;margin-top:18.45pt;width:167.2pt;height:120.3pt;z-index:2516766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" adj="6300,24300" fillcolor="#fe9292" stroked="f">
                <v:shadow on="t" color="black" opacity="41287f" offset="0,1.5pt"/>
                <v:textbox>
                  <w:txbxContent>
                    <w:p w14:paraId="5F9398C8" w14:textId="5A670BD0" w:rsidR="005209D3" w:rsidRDefault="00545182" w:rsidP="003E4067">
                      <w:pPr>
                        <w:jc w:val="center"/>
                      </w:pPr>
                      <w:r>
                        <w:rPr>
                          <w:rStyle w:val="Strong"/>
                          <w:rFonts w:eastAsia="Times New Roman"/>
                        </w:rPr>
                        <w:t>“Informed, activated patients and prepared, proactive healthcare teams are the key to improving outcomes for chronic conditions.”</w:t>
                      </w:r>
                      <w:r>
                        <w:rPr>
                          <w:rFonts w:eastAsia="Times New Roman"/>
                        </w:rPr>
                        <w:br/>
                      </w:r>
                      <w:r>
                        <w:rPr>
                          <w:rStyle w:val="Emphasis"/>
                          <w:rFonts w:eastAsia="Times New Roman"/>
                        </w:rPr>
                        <w:t xml:space="preserve">(Wagner et al., </w:t>
                      </w:r>
                      <w:r w:rsidR="00526484">
                        <w:rPr>
                          <w:rStyle w:val="Emphasis"/>
                          <w:rFonts w:eastAsia="Times New Roman"/>
                        </w:rPr>
                        <w:t>20</w:t>
                      </w:r>
                      <w:r w:rsidR="008C29EA">
                        <w:rPr>
                          <w:rStyle w:val="Emphasis"/>
                          <w:rFonts w:eastAsia="Times New Roman"/>
                        </w:rPr>
                        <w:t>01).</w:t>
                      </w:r>
                    </w:p>
                  </w:txbxContent>
                </v:textbox>
              </v:shape>
            </w:pict>
          </mc:Fallback>
        </mc:AlternateContent>
      </w:r>
      <w:r w:rsidR="00242B4F" w:rsidRPr="00567B06">
        <w:rPr>
          <w:sz w:val="22"/>
          <w:szCs w:val="22"/>
        </w:rPr>
        <w:t>Contents</w:t>
      </w:r>
    </w:p>
    <w:sdt>
      <w:sdtPr>
        <w:alias w:val="Contents"/>
        <w:id w:val="197367006"/>
      </w:sdtPr>
      <w:sdtEndPr/>
      <w:sdtContent>
        <w:p w14:paraId="4ED04FE4" w14:textId="77777777" w:rsidR="002D727D" w:rsidRPr="00567B06" w:rsidRDefault="00242B4F">
          <w:r w:rsidRPr="00567B06">
            <w:fldChar w:fldCharType="begin"/>
          </w:r>
          <w:r w:rsidRPr="00567B06">
            <w:instrText>TOC \h \o "1-2"</w:instrText>
          </w:r>
          <w:r w:rsidRPr="00567B06">
            <w:fldChar w:fldCharType="separate"/>
          </w:r>
        </w:p>
        <w:p w14:paraId="2895B8B8" w14:textId="77777777" w:rsidR="002D727D" w:rsidRPr="00567B06" w:rsidRDefault="00242B4F">
          <w:r w:rsidRPr="00567B06">
            <w:fldChar w:fldCharType="end"/>
          </w:r>
        </w:p>
      </w:sdtContent>
    </w:sdt>
    <w:p w14:paraId="53E50E35" w14:textId="6FC73099" w:rsidR="006322FA" w:rsidRPr="00567B06" w:rsidRDefault="006322FA" w:rsidP="00715545">
      <w:pPr>
        <w:pBdr>
          <w:bottom w:val="single" w:sz="4" w:space="6" w:color="E3B9BD"/>
        </w:pBdr>
        <w:spacing w:before="240" w:line="360" w:lineRule="auto"/>
      </w:pPr>
      <w:r w:rsidRPr="00567B06">
        <w:rPr>
          <w:b/>
          <w:bCs/>
          <w:color w:val="8B1A2B"/>
        </w:rPr>
        <w:t>Introduction</w:t>
      </w:r>
    </w:p>
    <w:p w14:paraId="155EFC38" w14:textId="77777777" w:rsidR="006322FA" w:rsidRPr="00567B06" w:rsidRDefault="006322FA" w:rsidP="00715545">
      <w:pPr>
        <w:pBdr>
          <w:bottom w:val="single" w:sz="4" w:space="6" w:color="E3B9BD"/>
        </w:pBdr>
        <w:spacing w:before="240" w:line="360" w:lineRule="auto"/>
      </w:pPr>
      <w:r w:rsidRPr="00567B06">
        <w:rPr>
          <w:b/>
          <w:bCs/>
          <w:color w:val="8B1A2B"/>
        </w:rPr>
        <w:t>Hypertension at a Glance</w:t>
      </w:r>
    </w:p>
    <w:p w14:paraId="77FEB892" w14:textId="77777777" w:rsidR="006322FA" w:rsidRPr="00567B06" w:rsidRDefault="006322FA" w:rsidP="00715545">
      <w:pPr>
        <w:pBdr>
          <w:bottom w:val="single" w:sz="4" w:space="6" w:color="E3B9BD"/>
        </w:pBdr>
        <w:spacing w:before="240" w:line="360" w:lineRule="auto"/>
      </w:pPr>
      <w:r w:rsidRPr="00567B06">
        <w:rPr>
          <w:b/>
          <w:bCs/>
          <w:color w:val="8B1A2B"/>
        </w:rPr>
        <w:t>Section 1: Definition, Prevalence and Risk Factors of Hypertension</w:t>
      </w:r>
    </w:p>
    <w:p w14:paraId="01FBBD24" w14:textId="77777777" w:rsidR="006322FA" w:rsidRPr="00567B06" w:rsidRDefault="006322FA" w:rsidP="00715545">
      <w:pPr>
        <w:pBdr>
          <w:bottom w:val="single" w:sz="4" w:space="6" w:color="E3B9BD"/>
        </w:pBdr>
        <w:spacing w:before="240" w:line="360" w:lineRule="auto"/>
      </w:pPr>
      <w:r w:rsidRPr="00567B06">
        <w:rPr>
          <w:b/>
          <w:bCs/>
          <w:color w:val="8B1A2B"/>
        </w:rPr>
        <w:t>Section 2: Impact of Hypertension — Physical, Psychological and Social Dimensions</w:t>
      </w:r>
    </w:p>
    <w:p w14:paraId="3193CA8C" w14:textId="77777777" w:rsidR="006322FA" w:rsidRPr="00567B06" w:rsidRDefault="006322FA" w:rsidP="00715545">
      <w:pPr>
        <w:pBdr>
          <w:bottom w:val="single" w:sz="4" w:space="6" w:color="E3B9BD"/>
        </w:pBdr>
        <w:spacing w:before="240" w:line="360" w:lineRule="auto"/>
      </w:pPr>
      <w:r w:rsidRPr="00567B06">
        <w:rPr>
          <w:b/>
          <w:bCs/>
          <w:color w:val="8B1A2B"/>
        </w:rPr>
        <w:t>Section 3: Evidence-Based Treatments Available Through the NHS</w:t>
      </w:r>
    </w:p>
    <w:p w14:paraId="0DCE26BF" w14:textId="77777777" w:rsidR="006322FA" w:rsidRPr="00567B06" w:rsidRDefault="006322FA" w:rsidP="00715545">
      <w:pPr>
        <w:pBdr>
          <w:bottom w:val="single" w:sz="4" w:space="6" w:color="E3B9BD"/>
        </w:pBdr>
        <w:spacing w:before="240" w:line="360" w:lineRule="auto"/>
      </w:pPr>
      <w:r w:rsidRPr="00567B06">
        <w:rPr>
          <w:b/>
          <w:bCs/>
          <w:color w:val="8B1A2B"/>
        </w:rPr>
        <w:t>Section 4: Theoretical Models and Frameworks for Improved Outcomes</w:t>
      </w:r>
    </w:p>
    <w:p w14:paraId="38B11540" w14:textId="0F09F850" w:rsidR="006322FA" w:rsidRPr="00567B06" w:rsidRDefault="006322FA" w:rsidP="00715545">
      <w:pPr>
        <w:pBdr>
          <w:bottom w:val="single" w:sz="4" w:space="6" w:color="E3B9BD"/>
        </w:pBdr>
        <w:spacing w:before="240" w:line="360" w:lineRule="auto"/>
      </w:pPr>
      <w:r w:rsidRPr="00567B06">
        <w:rPr>
          <w:b/>
          <w:bCs/>
          <w:color w:val="8B1A2B"/>
        </w:rPr>
        <w:t>Section 5: Local and National Political Health and Social Care Agendas</w:t>
      </w:r>
    </w:p>
    <w:p w14:paraId="7C890400" w14:textId="46EE56F7" w:rsidR="006322FA" w:rsidRPr="00567B06" w:rsidRDefault="00131B20" w:rsidP="00715545">
      <w:pPr>
        <w:pBdr>
          <w:bottom w:val="single" w:sz="4" w:space="6" w:color="E3B9BD"/>
        </w:pBdr>
        <w:spacing w:before="240" w:line="360" w:lineRule="auto"/>
      </w:pPr>
      <w:r w:rsidRPr="00567B06">
        <w:rPr>
          <w:noProof/>
        </w:rPr>
        <mc:AlternateContent>
          <mc:Choice Requires="wps">
            <w:drawing>
              <wp:anchor distT="0" distB="0" distL="114300" distR="114300" simplePos="0" relativeHeight="251678721" behindDoc="0" locked="0" layoutInCell="1" allowOverlap="1" wp14:anchorId="02E76182" wp14:editId="357C4CE4">
                <wp:simplePos x="0" y="0"/>
                <wp:positionH relativeFrom="column">
                  <wp:posOffset>3467735</wp:posOffset>
                </wp:positionH>
                <wp:positionV relativeFrom="paragraph">
                  <wp:posOffset>578485</wp:posOffset>
                </wp:positionV>
                <wp:extent cx="1828800" cy="1076960"/>
                <wp:effectExtent l="76200" t="57150" r="76200" b="237490"/>
                <wp:wrapNone/>
                <wp:docPr id="1982499369" name="Speech Bubble: Oval 2"/>
                <wp:cNvGraphicFramePr/>
                <a:graphic xmlns:a="http://schemas.openxmlformats.org/drawingml/2006/main">
                  <a:graphicData uri="http://schemas.microsoft.com/office/word/2010/wordprocessingShape">
                    <wps:wsp>
                      <wps:cNvSpPr/>
                      <wps:spPr>
                        <a:xfrm>
                          <a:off x="0" y="0"/>
                          <a:ext cx="1828800" cy="1076960"/>
                        </a:xfrm>
                        <a:prstGeom prst="wedgeEllipseCallout">
                          <a:avLst/>
                        </a:prstGeom>
                        <a:solidFill>
                          <a:srgbClr val="D68383"/>
                        </a:solidFill>
                      </wps:spPr>
                      <wps:style>
                        <a:lnRef idx="0">
                          <a:schemeClr val="accent3"/>
                        </a:lnRef>
                        <a:fillRef idx="3">
                          <a:schemeClr val="accent3"/>
                        </a:fillRef>
                        <a:effectRef idx="3">
                          <a:schemeClr val="accent3"/>
                        </a:effectRef>
                        <a:fontRef idx="minor">
                          <a:schemeClr val="lt1"/>
                        </a:fontRef>
                      </wps:style>
                      <wps:txbx>
                        <w:txbxContent>
                          <w:p w14:paraId="61A77B08" w14:textId="21D3681C" w:rsidR="005209D3" w:rsidRDefault="00D35D4E" w:rsidP="003E4067">
                            <w:pPr>
                              <w:jc w:val="center"/>
                            </w:pPr>
                            <w:r>
                              <w:rPr>
                                <w:rStyle w:val="Strong"/>
                                <w:rFonts w:eastAsia="Times New Roman"/>
                              </w:rPr>
                              <w:t>What gets measured gets managed.”</w:t>
                            </w:r>
                            <w:r>
                              <w:rPr>
                                <w:rFonts w:eastAsia="Times New Roman"/>
                              </w:rPr>
                              <w:br/>
                            </w:r>
                            <w:r>
                              <w:rPr>
                                <w:rStyle w:val="Emphasis"/>
                                <w:rFonts w:eastAsia="Times New Roman"/>
                              </w:rPr>
                              <w:t>(Drucker, 1954)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E76182" id="_x0000_s1028" type="#_x0000_t63" style="position:absolute;margin-left:273.05pt;margin-top:45.55pt;width:2in;height:84.8pt;z-index:2516787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" adj="6300,24300" fillcolor="#d68383" stroked="f">
                <v:shadow on="t" color="black" opacity="41287f" offset="0,1.5pt"/>
                <v:textbox>
                  <w:txbxContent>
                    <w:p w14:paraId="61A77B08" w14:textId="21D3681C" w:rsidR="005209D3" w:rsidRDefault="00D35D4E" w:rsidP="003E4067">
                      <w:pPr>
                        <w:jc w:val="center"/>
                      </w:pPr>
                      <w:r>
                        <w:rPr>
                          <w:rStyle w:val="Strong"/>
                          <w:rFonts w:eastAsia="Times New Roman"/>
                        </w:rPr>
                        <w:t>What gets measured gets managed.”</w:t>
                      </w:r>
                      <w:r>
                        <w:rPr>
                          <w:rFonts w:eastAsia="Times New Roman"/>
                        </w:rPr>
                        <w:br/>
                      </w:r>
                      <w:r>
                        <w:rPr>
                          <w:rStyle w:val="Emphasis"/>
                          <w:rFonts w:eastAsia="Times New Roman"/>
                        </w:rPr>
                        <w:t>(Drucker, 1954)</w:t>
                      </w:r>
                    </w:p>
                  </w:txbxContent>
                </v:textbox>
              </v:shape>
            </w:pict>
          </mc:Fallback>
        </mc:AlternateContent>
      </w:r>
      <w:r w:rsidR="006322FA" w:rsidRPr="00567B06">
        <w:rPr>
          <w:b/>
          <w:bCs/>
          <w:color w:val="8B1A2B"/>
        </w:rPr>
        <w:t>Section 6: Recommendations for Person-Centred Care, Self-Management and End-of-Life Care</w:t>
      </w:r>
    </w:p>
    <w:p w14:paraId="2F6B6658" w14:textId="77777777" w:rsidR="006322FA" w:rsidRPr="00567B06" w:rsidRDefault="006322FA" w:rsidP="00715545">
      <w:pPr>
        <w:pBdr>
          <w:bottom w:val="single" w:sz="4" w:space="6" w:color="E3B9BD"/>
        </w:pBdr>
        <w:spacing w:before="240" w:line="360" w:lineRule="auto"/>
      </w:pPr>
      <w:r w:rsidRPr="00567B06">
        <w:rPr>
          <w:b/>
          <w:bCs/>
          <w:color w:val="8B1A2B"/>
        </w:rPr>
        <w:t>Key Learning Points for Professionals</w:t>
      </w:r>
    </w:p>
    <w:p w14:paraId="4641F87D" w14:textId="172D7BAD" w:rsidR="006322FA" w:rsidRPr="00567B06" w:rsidRDefault="006322FA" w:rsidP="00715545">
      <w:pPr>
        <w:pBdr>
          <w:bottom w:val="single" w:sz="4" w:space="6" w:color="E3B9BD"/>
        </w:pBdr>
        <w:spacing w:before="240" w:line="360" w:lineRule="auto"/>
      </w:pPr>
      <w:r w:rsidRPr="00567B06">
        <w:rPr>
          <w:b/>
          <w:bCs/>
          <w:color w:val="8B1A2B"/>
        </w:rPr>
        <w:t>Conclusion</w:t>
      </w:r>
    </w:p>
    <w:p w14:paraId="49068CAE" w14:textId="1BE6639C" w:rsidR="00567B06" w:rsidRDefault="0004431A" w:rsidP="0004431A">
      <w:pPr>
        <w:pBdr>
          <w:bottom w:val="single" w:sz="4" w:space="6" w:color="E3B9BD"/>
        </w:pBdr>
        <w:spacing w:before="240" w:line="360" w:lineRule="auto"/>
      </w:pPr>
      <w:r>
        <w:rPr>
          <w:b/>
          <w:bCs/>
          <w:color w:val="8B1A2B"/>
        </w:rPr>
        <w:t xml:space="preserve">References </w:t>
      </w:r>
    </w:p>
    <w:p w14:paraId="2369CB9B" w14:textId="59853BAE" w:rsidR="002D727D" w:rsidRPr="00567B06" w:rsidRDefault="0075062C">
      <w:pPr>
        <w:pStyle w:val="Heading1"/>
        <w:rPr>
          <w:sz w:val="22"/>
          <w:szCs w:val="22"/>
        </w:rPr>
      </w:pPr>
      <w:r w:rsidRPr="00567B06">
        <w:rPr>
          <w:noProof/>
          <w:sz w:val="22"/>
          <w:szCs w:val="22"/>
        </w:rPr>
        <w:lastRenderedPageBreak/>
        <w:drawing>
          <wp:anchor distT="0" distB="0" distL="114300" distR="114300" simplePos="0" relativeHeight="251663361" behindDoc="1" locked="0" layoutInCell="1" allowOverlap="1" wp14:anchorId="262EAFEA" wp14:editId="6D906D9A">
            <wp:simplePos x="0" y="0"/>
            <wp:positionH relativeFrom="column">
              <wp:posOffset>-171450</wp:posOffset>
            </wp:positionH>
            <wp:positionV relativeFrom="paragraph">
              <wp:posOffset>471170</wp:posOffset>
            </wp:positionV>
            <wp:extent cx="2138680" cy="1425575"/>
            <wp:effectExtent l="133350" t="76200" r="71120" b="136525"/>
            <wp:wrapTight wrapText="bothSides">
              <wp:wrapPolygon edited="0">
                <wp:start x="1347" y="-1155"/>
                <wp:lineTo x="-1347" y="-577"/>
                <wp:lineTo x="-1347" y="21071"/>
                <wp:lineTo x="192" y="22514"/>
                <wp:lineTo x="962" y="23380"/>
                <wp:lineTo x="19625" y="23380"/>
                <wp:lineTo x="20587" y="22514"/>
                <wp:lineTo x="22126" y="18184"/>
                <wp:lineTo x="22126" y="3464"/>
                <wp:lineTo x="19625" y="-577"/>
                <wp:lineTo x="19240" y="-1155"/>
                <wp:lineTo x="1347" y="-1155"/>
              </wp:wrapPolygon>
            </wp:wrapTight>
            <wp:docPr id="1571376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7699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8680" cy="142557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00242B4F" w:rsidRPr="00567B06">
        <w:rPr>
          <w:sz w:val="22"/>
          <w:szCs w:val="22"/>
        </w:rPr>
        <w:t>Introduction</w:t>
      </w:r>
    </w:p>
    <w:p w14:paraId="4B21CAD4" w14:textId="33F05AFC" w:rsidR="0075062C" w:rsidRPr="00DC58DE" w:rsidRDefault="0075062C" w:rsidP="00DC58DE">
      <w:pPr>
        <w:spacing w:after="160" w:line="360" w:lineRule="auto"/>
      </w:pPr>
      <w:r w:rsidRPr="00DC58DE">
        <w:t>Hypertension is one of the most common long-term conditions worldwide and a leading modifiable risk factor for cardiovascular disease, stroke, chronic kidney disease and premature death (World Health Organization, 2025). Often referred to as the “silent killer”, it usually develops without symptoms, meaning many people remain undiagnosed until significant complications occur. Despite effective methods of detection and treatment, hypertension continues to place a substantial burden on individuals, healthcare services and the National Health Service (British Heart Foundation, 2023).</w:t>
      </w:r>
    </w:p>
    <w:p w14:paraId="6A6EF610" w14:textId="77777777" w:rsidR="0075062C" w:rsidRPr="00DC58DE" w:rsidRDefault="0075062C" w:rsidP="00DC58DE">
      <w:pPr>
        <w:spacing w:after="160" w:line="360" w:lineRule="auto"/>
      </w:pPr>
      <w:r w:rsidRPr="00DC58DE">
        <w:t>This booklet has been developed for health and social care professionals, including nurses, general practitioners, pharmacists and social care staff. It provides an overview of hypertension, including its definition, prevalence, risk factors, physical, psychological and social impacts, evidence-based NHS management, relevant care models, policy context, and recommendations for person-centred, self-management and end-of-life care. The aim is to support evidence-based practice and promote high-quality, holistic care for people living with hypertension.</w:t>
      </w:r>
    </w:p>
    <w:p w14:paraId="3DE2B5DB" w14:textId="77777777" w:rsidR="0075062C" w:rsidRDefault="0075062C" w:rsidP="000040FD">
      <w:pPr>
        <w:spacing w:after="160" w:line="360" w:lineRule="auto"/>
      </w:pPr>
    </w:p>
    <w:p w14:paraId="32A66A1C" w14:textId="433FD0C0" w:rsidR="002D727D" w:rsidRPr="00567B06" w:rsidRDefault="00242B4F" w:rsidP="000040FD">
      <w:pPr>
        <w:pStyle w:val="Heading1"/>
        <w:spacing w:line="360" w:lineRule="auto"/>
        <w:rPr>
          <w:sz w:val="22"/>
          <w:szCs w:val="22"/>
        </w:rPr>
      </w:pPr>
      <w:r w:rsidRPr="00567B06">
        <w:rPr>
          <w:sz w:val="22"/>
          <w:szCs w:val="22"/>
        </w:rPr>
        <w:t xml:space="preserve">Section 1 </w:t>
      </w:r>
      <w:r w:rsidR="00357129" w:rsidRPr="00567B06">
        <w:rPr>
          <w:sz w:val="22"/>
          <w:szCs w:val="22"/>
        </w:rPr>
        <w:t>:</w:t>
      </w:r>
      <w:r w:rsidRPr="00567B06">
        <w:rPr>
          <w:sz w:val="22"/>
          <w:szCs w:val="22"/>
        </w:rPr>
        <w:t xml:space="preserve"> Definition, Prevalence and Risk Factors</w:t>
      </w:r>
    </w:p>
    <w:p w14:paraId="3541785C" w14:textId="5724697A" w:rsidR="002D727D" w:rsidRDefault="005D7F62" w:rsidP="000040FD">
      <w:pPr>
        <w:pStyle w:val="Heading2"/>
        <w:spacing w:line="360" w:lineRule="auto"/>
        <w:rPr>
          <w:sz w:val="22"/>
          <w:szCs w:val="22"/>
        </w:rPr>
      </w:pPr>
      <w:r w:rsidRPr="00567B06">
        <w:rPr>
          <w:sz w:val="22"/>
          <w:szCs w:val="22"/>
        </w:rPr>
        <w:t xml:space="preserve">Definition of </w:t>
      </w:r>
      <w:r w:rsidR="00242B4F" w:rsidRPr="00567B06">
        <w:rPr>
          <w:sz w:val="22"/>
          <w:szCs w:val="22"/>
        </w:rPr>
        <w:t>hypertension</w:t>
      </w:r>
    </w:p>
    <w:p w14:paraId="2DBB8EB4" w14:textId="6B599642" w:rsidR="00E021CD" w:rsidRPr="00EE0DF4" w:rsidRDefault="00E021CD" w:rsidP="000040FD">
      <w:pPr>
        <w:pStyle w:val="Heading2"/>
        <w:spacing w:line="360" w:lineRule="auto"/>
        <w:rPr>
          <w:b w:val="0"/>
          <w:bCs w:val="0"/>
          <w:sz w:val="22"/>
          <w:szCs w:val="22"/>
        </w:rPr>
      </w:pPr>
      <w:r w:rsidRPr="00EE0DF4">
        <w:rPr>
          <w:b w:val="0"/>
          <w:bCs w:val="0"/>
          <w:sz w:val="22"/>
          <w:szCs w:val="22"/>
        </w:rPr>
        <w:t>Hypertension is a chronic cardiovascular condition characterised by persistently elevated arterial blood pressure. Blood pressure is the force exerted by circulating blood against arterial walls and is measured in millimetres of mercury (mmHg) as systolic pressure over diastolic pressure. According to the National Institute for Health and Care Excellence (NICE, 2023), hypertension is diagnosed when clinic blood pressure is 140/90 mmHg or above, confirmed by ambulatory or home blood pressure monitoring readings of 135/85 mmHg or above</w:t>
      </w:r>
      <w:r w:rsidR="002B1134" w:rsidRPr="00EE0DF4">
        <w:rPr>
          <w:b w:val="0"/>
          <w:bCs w:val="0"/>
          <w:sz w:val="22"/>
          <w:szCs w:val="22"/>
        </w:rPr>
        <w:t>.</w:t>
      </w:r>
    </w:p>
    <w:p w14:paraId="0F5E4AE3" w14:textId="75B337B8" w:rsidR="00E021CD" w:rsidRPr="00EE0DF4" w:rsidRDefault="00E021CD" w:rsidP="000040FD">
      <w:pPr>
        <w:pStyle w:val="Heading2"/>
        <w:spacing w:line="360" w:lineRule="auto"/>
        <w:rPr>
          <w:b w:val="0"/>
          <w:bCs w:val="0"/>
          <w:sz w:val="22"/>
          <w:szCs w:val="22"/>
        </w:rPr>
      </w:pPr>
      <w:r w:rsidRPr="00EE0DF4">
        <w:rPr>
          <w:b w:val="0"/>
          <w:bCs w:val="0"/>
          <w:sz w:val="22"/>
          <w:szCs w:val="22"/>
        </w:rPr>
        <w:t>Hypertension is classified as either primary (essential), accounting for approximately 90–95% of cases with no identifiable cause, or secondary, resulting from underlying conditions such as renal disease or endocrine disorders (National Institute for Health and Care Excellence, 2023). Accurate diagnosis is essential to guide appropriate treatment and reduce the risk of long-term cardiovascular complications.</w:t>
      </w:r>
    </w:p>
    <w:p w14:paraId="2F6BA27C" w14:textId="77777777" w:rsidR="00E021CD" w:rsidRPr="00567B06" w:rsidRDefault="00E021CD" w:rsidP="000040FD">
      <w:pPr>
        <w:pStyle w:val="Heading2"/>
        <w:spacing w:line="360" w:lineRule="auto"/>
        <w:rPr>
          <w:sz w:val="22"/>
          <w:szCs w:val="22"/>
        </w:rPr>
      </w:pPr>
    </w:p>
    <w:p w14:paraId="7DFD7D11" w14:textId="26AA65B3" w:rsidR="00245D93" w:rsidRPr="00567B06" w:rsidRDefault="00245D93" w:rsidP="000040FD">
      <w:pPr>
        <w:pStyle w:val="Heading2"/>
        <w:spacing w:line="360" w:lineRule="auto"/>
        <w:rPr>
          <w:sz w:val="22"/>
          <w:szCs w:val="22"/>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D727D" w:rsidRPr="00567B06" w14:paraId="67B19EBF" w14:textId="77777777">
        <w:tc>
          <w:tcPr>
            <w:tcW w:w="9360" w:type="dxa"/>
            <w:tcBorders>
              <w:top w:val="single" w:sz="4" w:space="0" w:color="B3261E"/>
              <w:left w:val="single" w:sz="4" w:space="0" w:color="B3261E"/>
              <w:bottom w:val="single" w:sz="4" w:space="0" w:color="B3261E"/>
              <w:right w:val="single" w:sz="4" w:space="0" w:color="B3261E"/>
            </w:tcBorders>
            <w:shd w:val="clear" w:color="auto" w:fill="FBE9E7"/>
            <w:tcMar>
              <w:top w:w="160" w:type="dxa"/>
              <w:left w:w="200" w:type="dxa"/>
              <w:bottom w:w="160" w:type="dxa"/>
              <w:right w:w="200" w:type="dxa"/>
            </w:tcMar>
          </w:tcPr>
          <w:p w14:paraId="11E4B9D5" w14:textId="1B5E6415" w:rsidR="002D727D" w:rsidRPr="00567B06" w:rsidRDefault="00242B4F" w:rsidP="000040FD">
            <w:pPr>
              <w:spacing w:after="100" w:line="360" w:lineRule="auto"/>
            </w:pPr>
            <w:r w:rsidRPr="00567B06">
              <w:rPr>
                <w:b/>
                <w:bCs/>
                <w:color w:val="B3261E"/>
              </w:rPr>
              <w:t>Blood Pressure Categories (</w:t>
            </w:r>
            <w:r w:rsidR="00481F90" w:rsidRPr="00567B06">
              <w:rPr>
                <w:b/>
                <w:bCs/>
                <w:color w:val="B3261E"/>
              </w:rPr>
              <w:t>European Society of Hypertension</w:t>
            </w:r>
            <w:r w:rsidR="004A6A98" w:rsidRPr="00567B06">
              <w:rPr>
                <w:b/>
                <w:bCs/>
                <w:color w:val="B3261E"/>
              </w:rPr>
              <w:t>,</w:t>
            </w:r>
            <w:r w:rsidR="00727329" w:rsidRPr="00567B06">
              <w:rPr>
                <w:b/>
                <w:bCs/>
                <w:color w:val="B3261E"/>
              </w:rPr>
              <w:t xml:space="preserve"> </w:t>
            </w:r>
            <w:r w:rsidRPr="00567B06">
              <w:rPr>
                <w:b/>
                <w:bCs/>
                <w:color w:val="B3261E"/>
              </w:rPr>
              <w:t>2023)</w:t>
            </w:r>
          </w:p>
          <w:p w14:paraId="0EB9CF10" w14:textId="77777777" w:rsidR="002D727D" w:rsidRPr="00567B06" w:rsidRDefault="00242B4F" w:rsidP="000040FD">
            <w:pPr>
              <w:pStyle w:val="ListParagraph"/>
              <w:numPr>
                <w:ilvl w:val="0"/>
                <w:numId w:val="2"/>
              </w:numPr>
              <w:spacing w:after="40" w:line="360" w:lineRule="auto"/>
            </w:pPr>
            <w:r w:rsidRPr="00567B06">
              <w:t>Optimal: below 120/80</w:t>
            </w:r>
          </w:p>
          <w:p w14:paraId="09495283" w14:textId="77777777" w:rsidR="002D727D" w:rsidRPr="00567B06" w:rsidRDefault="00242B4F" w:rsidP="000040FD">
            <w:pPr>
              <w:pStyle w:val="ListParagraph"/>
              <w:numPr>
                <w:ilvl w:val="0"/>
                <w:numId w:val="2"/>
              </w:numPr>
              <w:spacing w:after="40" w:line="360" w:lineRule="auto"/>
            </w:pPr>
            <w:r w:rsidRPr="00567B06">
              <w:t>Normal: 120–129 / 80–84</w:t>
            </w:r>
          </w:p>
          <w:p w14:paraId="5CEF19D2" w14:textId="77777777" w:rsidR="002D727D" w:rsidRPr="00567B06" w:rsidRDefault="00242B4F" w:rsidP="000040FD">
            <w:pPr>
              <w:pStyle w:val="ListParagraph"/>
              <w:numPr>
                <w:ilvl w:val="0"/>
                <w:numId w:val="2"/>
              </w:numPr>
              <w:spacing w:after="40" w:line="360" w:lineRule="auto"/>
            </w:pPr>
            <w:r w:rsidRPr="00567B06">
              <w:t>High normal: 130–139 / 85–89</w:t>
            </w:r>
          </w:p>
          <w:p w14:paraId="5BBE69E6" w14:textId="77777777" w:rsidR="002D727D" w:rsidRPr="00567B06" w:rsidRDefault="00242B4F" w:rsidP="000040FD">
            <w:pPr>
              <w:pStyle w:val="ListParagraph"/>
              <w:numPr>
                <w:ilvl w:val="0"/>
                <w:numId w:val="2"/>
              </w:numPr>
              <w:spacing w:after="40" w:line="360" w:lineRule="auto"/>
            </w:pPr>
            <w:r w:rsidRPr="00567B06">
              <w:t>Grade 1 hypertension: 140–159 / 90–99</w:t>
            </w:r>
          </w:p>
          <w:p w14:paraId="32F189E0" w14:textId="77777777" w:rsidR="002D727D" w:rsidRPr="00567B06" w:rsidRDefault="00242B4F" w:rsidP="000040FD">
            <w:pPr>
              <w:pStyle w:val="ListParagraph"/>
              <w:numPr>
                <w:ilvl w:val="0"/>
                <w:numId w:val="2"/>
              </w:numPr>
              <w:spacing w:after="40" w:line="360" w:lineRule="auto"/>
            </w:pPr>
            <w:r w:rsidRPr="00567B06">
              <w:t>Grade 2 hypertension: 160–179 / 100–109</w:t>
            </w:r>
          </w:p>
          <w:p w14:paraId="774330BC" w14:textId="77777777" w:rsidR="002D727D" w:rsidRPr="00567B06" w:rsidRDefault="00242B4F" w:rsidP="000040FD">
            <w:pPr>
              <w:pStyle w:val="ListParagraph"/>
              <w:numPr>
                <w:ilvl w:val="0"/>
                <w:numId w:val="2"/>
              </w:numPr>
              <w:spacing w:after="40" w:line="360" w:lineRule="auto"/>
            </w:pPr>
            <w:r w:rsidRPr="00567B06">
              <w:t>Grade 3 hypertension: 180/110 or above</w:t>
            </w:r>
          </w:p>
        </w:tc>
      </w:tr>
    </w:tbl>
    <w:p w14:paraId="0938CB6D" w14:textId="77777777" w:rsidR="00550189" w:rsidRPr="00567B06" w:rsidRDefault="00550189" w:rsidP="000040FD">
      <w:pPr>
        <w:spacing w:after="160" w:line="360" w:lineRule="auto"/>
      </w:pPr>
    </w:p>
    <w:p w14:paraId="595451C8" w14:textId="2C579C1F" w:rsidR="001E7AC7" w:rsidRPr="00567B06" w:rsidRDefault="00242B4F" w:rsidP="000040FD">
      <w:pPr>
        <w:spacing w:after="160" w:line="360" w:lineRule="auto"/>
      </w:pPr>
      <w:r w:rsidRPr="00567B06">
        <w:t>. Distinguishing primary from secondary hypertension matters clinically: secondary causes should be considered in younger patients, those with very high or treatment-resistant readings, or sudden-onset hypertension, since identifying and treating the underlying condition can sometimes resolve the problem entirely rather than requiring lifelong antihypertensive therapy.</w:t>
      </w:r>
      <w:r w:rsidR="006C7289" w:rsidRPr="00567B06">
        <w:t xml:space="preserve">                                                           </w:t>
      </w:r>
    </w:p>
    <w:p w14:paraId="4652B541" w14:textId="2C386701" w:rsidR="005A07D0" w:rsidRPr="00567B06" w:rsidRDefault="000D34E4" w:rsidP="000040FD">
      <w:pPr>
        <w:spacing w:after="160" w:line="360" w:lineRule="auto"/>
      </w:pPr>
      <w:r w:rsidRPr="00567B06">
        <w:rPr>
          <w:noProof/>
        </w:rPr>
        <w:drawing>
          <wp:anchor distT="0" distB="0" distL="114300" distR="114300" simplePos="0" relativeHeight="251665409" behindDoc="1" locked="0" layoutInCell="1" allowOverlap="1" wp14:anchorId="31D847C9" wp14:editId="7C3B7B45">
            <wp:simplePos x="0" y="0"/>
            <wp:positionH relativeFrom="column">
              <wp:posOffset>139238</wp:posOffset>
            </wp:positionH>
            <wp:positionV relativeFrom="paragraph">
              <wp:posOffset>268374</wp:posOffset>
            </wp:positionV>
            <wp:extent cx="5776999" cy="3448050"/>
            <wp:effectExtent l="133350" t="76200" r="71755" b="133350"/>
            <wp:wrapSquare wrapText="bothSides"/>
            <wp:docPr id="1453704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04729" name=""/>
                    <pic:cNvPicPr/>
                  </pic:nvPicPr>
                  <pic:blipFill>
                    <a:blip r:embed="rId11"/>
                    <a:stretch>
                      <a:fillRect/>
                    </a:stretch>
                  </pic:blipFill>
                  <pic:spPr>
                    <a:xfrm>
                      <a:off x="0" y="0"/>
                      <a:ext cx="5776999" cy="344805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1F484090" w14:textId="77777777" w:rsidR="005A07D0" w:rsidRPr="00567B06" w:rsidRDefault="005A07D0" w:rsidP="000040FD">
      <w:pPr>
        <w:spacing w:after="160" w:line="360" w:lineRule="auto"/>
      </w:pPr>
    </w:p>
    <w:p w14:paraId="59EDCC5B" w14:textId="3260C62D" w:rsidR="00DB297F" w:rsidRPr="00567B06" w:rsidRDefault="006C7289" w:rsidP="000040FD">
      <w:pPr>
        <w:spacing w:after="160" w:line="360" w:lineRule="auto"/>
      </w:pPr>
      <w:r w:rsidRPr="00567B06">
        <w:t xml:space="preserve"> </w:t>
      </w:r>
      <w:r w:rsidR="00DB297F" w:rsidRPr="00567B06">
        <w:t xml:space="preserve"> </w:t>
      </w:r>
      <w:r w:rsidR="00D73C0D" w:rsidRPr="00567B06">
        <w:t>(</w:t>
      </w:r>
      <w:r w:rsidR="00DB297F" w:rsidRPr="00567B06">
        <w:t>NHS,</w:t>
      </w:r>
      <w:r w:rsidR="007D164C">
        <w:t xml:space="preserve"> </w:t>
      </w:r>
      <w:r w:rsidR="005A07D0" w:rsidRPr="00567B06">
        <w:t>2024).</w:t>
      </w:r>
    </w:p>
    <w:p w14:paraId="2D67B69F" w14:textId="77777777" w:rsidR="000D34E4" w:rsidRDefault="000D34E4" w:rsidP="000040FD">
      <w:pPr>
        <w:pStyle w:val="Heading2"/>
        <w:spacing w:line="360" w:lineRule="auto"/>
        <w:rPr>
          <w:sz w:val="22"/>
          <w:szCs w:val="22"/>
        </w:rPr>
      </w:pPr>
    </w:p>
    <w:p w14:paraId="109635F8" w14:textId="2FE98A34" w:rsidR="002D727D" w:rsidRPr="00567B06" w:rsidRDefault="003E48E0" w:rsidP="000040FD">
      <w:pPr>
        <w:pStyle w:val="Heading2"/>
        <w:spacing w:line="360" w:lineRule="auto"/>
        <w:rPr>
          <w:sz w:val="22"/>
          <w:szCs w:val="22"/>
        </w:rPr>
      </w:pPr>
      <w:r w:rsidRPr="00567B06">
        <w:rPr>
          <w:sz w:val="22"/>
          <w:szCs w:val="22"/>
        </w:rPr>
        <w:lastRenderedPageBreak/>
        <w:t>Global and UK Burden of Hypertension</w:t>
      </w:r>
    </w:p>
    <w:p w14:paraId="081850D5" w14:textId="6B809FB0" w:rsidR="005E2F53" w:rsidRPr="00F77D7A" w:rsidRDefault="00F77D7A" w:rsidP="000040FD">
      <w:pPr>
        <w:pStyle w:val="Heading2"/>
        <w:spacing w:line="360" w:lineRule="auto"/>
        <w:rPr>
          <w:sz w:val="22"/>
          <w:szCs w:val="22"/>
        </w:rPr>
      </w:pPr>
      <w:r w:rsidRPr="00567B06">
        <w:rPr>
          <w:noProof/>
          <w:sz w:val="22"/>
          <w:szCs w:val="22"/>
        </w:rPr>
        <w:drawing>
          <wp:anchor distT="0" distB="0" distL="114300" distR="114300" simplePos="0" relativeHeight="251659265" behindDoc="0" locked="0" layoutInCell="1" allowOverlap="1" wp14:anchorId="3A48E9C3" wp14:editId="3B90ED29">
            <wp:simplePos x="0" y="0"/>
            <wp:positionH relativeFrom="column">
              <wp:posOffset>204470</wp:posOffset>
            </wp:positionH>
            <wp:positionV relativeFrom="paragraph">
              <wp:posOffset>47625</wp:posOffset>
            </wp:positionV>
            <wp:extent cx="5309870" cy="2659380"/>
            <wp:effectExtent l="133350" t="76200" r="81280" b="140970"/>
            <wp:wrapTopAndBottom/>
            <wp:docPr id="50803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035866" name="Picture 508035866"/>
                    <pic:cNvPicPr/>
                  </pic:nvPicPr>
                  <pic:blipFill>
                    <a:blip r:embed="rId12">
                      <a:extLst>
                        <a:ext uri="{28A0092B-C50C-407E-A947-70E740481C1C}">
                          <a14:useLocalDpi xmlns:a14="http://schemas.microsoft.com/office/drawing/2010/main" val="0"/>
                        </a:ext>
                      </a:extLst>
                    </a:blip>
                    <a:stretch>
                      <a:fillRect/>
                    </a:stretch>
                  </pic:blipFill>
                  <pic:spPr>
                    <a:xfrm>
                      <a:off x="0" y="0"/>
                      <a:ext cx="5309870" cy="265938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E530D1" w:rsidRPr="00567B06">
        <w:rPr>
          <w:sz w:val="22"/>
          <w:szCs w:val="22"/>
        </w:rPr>
        <w:t>(</w:t>
      </w:r>
      <w:r w:rsidR="001A47BF" w:rsidRPr="00567B06">
        <w:rPr>
          <w:sz w:val="22"/>
          <w:szCs w:val="22"/>
        </w:rPr>
        <w:t xml:space="preserve"> Key Hypertension Epidemiological Statistics — Global and UK Burden</w:t>
      </w:r>
      <w:r w:rsidR="00B300C8" w:rsidRPr="00567B06">
        <w:rPr>
          <w:sz w:val="22"/>
          <w:szCs w:val="22"/>
        </w:rPr>
        <w:t xml:space="preserve"> </w:t>
      </w:r>
      <w:r w:rsidR="001A47BF" w:rsidRPr="00567B06">
        <w:rPr>
          <w:sz w:val="22"/>
          <w:szCs w:val="22"/>
        </w:rPr>
        <w:t>Source: Adapted from WHO (202</w:t>
      </w:r>
      <w:r w:rsidR="00615222" w:rsidRPr="00567B06">
        <w:rPr>
          <w:sz w:val="22"/>
          <w:szCs w:val="22"/>
        </w:rPr>
        <w:t>5</w:t>
      </w:r>
      <w:r w:rsidR="001A47BF" w:rsidRPr="00567B06">
        <w:rPr>
          <w:sz w:val="22"/>
          <w:szCs w:val="22"/>
        </w:rPr>
        <w:t>)</w:t>
      </w:r>
      <w:r w:rsidR="00615222" w:rsidRPr="00567B06">
        <w:rPr>
          <w:sz w:val="22"/>
          <w:szCs w:val="22"/>
        </w:rPr>
        <w:t>.</w:t>
      </w:r>
    </w:p>
    <w:p w14:paraId="0CA1AAC8" w14:textId="51FA897F" w:rsidR="00DD0FE5" w:rsidRPr="00567B06" w:rsidRDefault="00DD0FE5" w:rsidP="000040FD">
      <w:pPr>
        <w:pStyle w:val="Heading2"/>
        <w:spacing w:line="360" w:lineRule="auto"/>
        <w:rPr>
          <w:b w:val="0"/>
          <w:bCs w:val="0"/>
          <w:sz w:val="22"/>
          <w:szCs w:val="22"/>
        </w:rPr>
      </w:pPr>
      <w:r w:rsidRPr="00567B06">
        <w:rPr>
          <w:b w:val="0"/>
          <w:bCs w:val="0"/>
          <w:sz w:val="22"/>
          <w:szCs w:val="22"/>
        </w:rPr>
        <w:t>The figures highlight hypertension as a major population health concern rather than only an individual clinical diagnosis. The large global prevalence demonstrates the scale of the condition, while the number of undiagnosed adults in the United Kingdom shows that detection remains a significant weakness within current prevention strategies. This is important because untreated hypertension can cause progressive vascular and organ damage for many years before symptoms appear, increasing avoidable demand on primary care, emergency services and long-term social care.</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410"/>
        <w:gridCol w:w="3658"/>
        <w:gridCol w:w="292"/>
      </w:tblGrid>
      <w:tr w:rsidR="002D727D" w:rsidRPr="00567B06" w14:paraId="2D548611" w14:textId="77777777">
        <w:trPr>
          <w:gridAfter w:val="1"/>
          <w:wAfter w:w="306" w:type="dxa"/>
          <w:tblHeader/>
        </w:trPr>
        <w:tc>
          <w:tcPr>
            <w:tcW w:w="5600" w:type="dxa"/>
            <w:tcBorders>
              <w:top w:val="single" w:sz="1" w:space="0" w:color="CCCCCC"/>
              <w:left w:val="single" w:sz="1" w:space="0" w:color="CCCCCC"/>
              <w:bottom w:val="single" w:sz="1" w:space="0" w:color="CCCCCC"/>
              <w:right w:val="single" w:sz="1" w:space="0" w:color="CCCCCC"/>
            </w:tcBorders>
            <w:shd w:val="clear" w:color="auto" w:fill="B3261E"/>
            <w:tcMar>
              <w:top w:w="80" w:type="dxa"/>
              <w:left w:w="120" w:type="dxa"/>
              <w:bottom w:w="80" w:type="dxa"/>
              <w:right w:w="120" w:type="dxa"/>
            </w:tcMar>
          </w:tcPr>
          <w:p w14:paraId="6DA11A12" w14:textId="77777777" w:rsidR="002D727D" w:rsidRPr="00567B06" w:rsidRDefault="00242B4F" w:rsidP="000040FD">
            <w:pPr>
              <w:spacing w:line="360" w:lineRule="auto"/>
            </w:pPr>
            <w:r w:rsidRPr="00567B06">
              <w:rPr>
                <w:b/>
                <w:bCs/>
                <w:color w:val="FFFFFF"/>
              </w:rPr>
              <w:t>Indicator</w:t>
            </w:r>
          </w:p>
        </w:tc>
        <w:tc>
          <w:tcPr>
            <w:tcW w:w="3760" w:type="dxa"/>
            <w:tcBorders>
              <w:top w:val="single" w:sz="1" w:space="0" w:color="CCCCCC"/>
              <w:left w:val="single" w:sz="1" w:space="0" w:color="CCCCCC"/>
              <w:bottom w:val="single" w:sz="1" w:space="0" w:color="CCCCCC"/>
              <w:right w:val="single" w:sz="1" w:space="0" w:color="CCCCCC"/>
            </w:tcBorders>
            <w:shd w:val="clear" w:color="auto" w:fill="B3261E"/>
            <w:tcMar>
              <w:top w:w="80" w:type="dxa"/>
              <w:left w:w="120" w:type="dxa"/>
              <w:bottom w:w="80" w:type="dxa"/>
              <w:right w:w="120" w:type="dxa"/>
            </w:tcMar>
          </w:tcPr>
          <w:p w14:paraId="58722078" w14:textId="77777777" w:rsidR="002D727D" w:rsidRPr="00567B06" w:rsidRDefault="00242B4F" w:rsidP="000040FD">
            <w:pPr>
              <w:spacing w:line="360" w:lineRule="auto"/>
            </w:pPr>
            <w:r w:rsidRPr="00567B06">
              <w:rPr>
                <w:b/>
                <w:bCs/>
                <w:color w:val="FFFFFF"/>
              </w:rPr>
              <w:t>Statistic</w:t>
            </w:r>
          </w:p>
        </w:tc>
      </w:tr>
      <w:tr w:rsidR="002D727D" w:rsidRPr="00567B06" w14:paraId="0F3CCBC9" w14:textId="77777777">
        <w:trPr>
          <w:gridAfter w:val="1"/>
          <w:wAfter w:w="306" w:type="dxa"/>
        </w:trPr>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A8184A" w14:textId="77777777" w:rsidR="002D727D" w:rsidRPr="00567B06" w:rsidRDefault="00242B4F" w:rsidP="000040FD">
            <w:pPr>
              <w:spacing w:line="360" w:lineRule="auto"/>
            </w:pPr>
            <w:r w:rsidRPr="00567B06">
              <w:t>Global adults (30–79) with hypertension</w:t>
            </w:r>
          </w:p>
        </w:tc>
        <w:tc>
          <w:tcPr>
            <w:tcW w:w="37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B887C1" w14:textId="33C0D817" w:rsidR="002D727D" w:rsidRPr="00567B06" w:rsidRDefault="00242B4F" w:rsidP="000040FD">
            <w:pPr>
              <w:spacing w:line="360" w:lineRule="auto"/>
            </w:pPr>
            <w:r w:rsidRPr="00567B06">
              <w:t>1.</w:t>
            </w:r>
            <w:r w:rsidR="00B01E1A" w:rsidRPr="00567B06">
              <w:t>4</w:t>
            </w:r>
            <w:r w:rsidRPr="00567B06">
              <w:t xml:space="preserve"> billion</w:t>
            </w:r>
            <w:r w:rsidR="00B01E1A" w:rsidRPr="00567B06">
              <w:t xml:space="preserve"> </w:t>
            </w:r>
            <w:r w:rsidR="009C7B54" w:rsidRPr="00567B06">
              <w:t>(World Health Organization</w:t>
            </w:r>
            <w:r w:rsidR="000C5B70" w:rsidRPr="00567B06">
              <w:t>,</w:t>
            </w:r>
            <w:r w:rsidR="00360C77" w:rsidRPr="00567B06">
              <w:t xml:space="preserve"> </w:t>
            </w:r>
            <w:r w:rsidR="009C7B54" w:rsidRPr="00567B06">
              <w:t>2025)</w:t>
            </w:r>
            <w:r w:rsidR="00360C77" w:rsidRPr="00567B06">
              <w:t>.</w:t>
            </w:r>
          </w:p>
        </w:tc>
      </w:tr>
      <w:tr w:rsidR="002D727D" w:rsidRPr="00567B06" w14:paraId="6B26525F" w14:textId="77777777">
        <w:trPr>
          <w:gridAfter w:val="1"/>
          <w:wAfter w:w="306" w:type="dxa"/>
        </w:trPr>
        <w:tc>
          <w:tcPr>
            <w:tcW w:w="560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2A629B3D" w14:textId="77777777" w:rsidR="002D727D" w:rsidRPr="00567B06" w:rsidRDefault="00242B4F" w:rsidP="000040FD">
            <w:pPr>
              <w:spacing w:line="360" w:lineRule="auto"/>
            </w:pPr>
            <w:r w:rsidRPr="00567B06">
              <w:t>Global deaths attributable to hypertension / year</w:t>
            </w:r>
          </w:p>
        </w:tc>
        <w:tc>
          <w:tcPr>
            <w:tcW w:w="376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23EA3600" w14:textId="77777777" w:rsidR="002D727D" w:rsidRPr="00567B06" w:rsidRDefault="00242B4F" w:rsidP="000040FD">
            <w:pPr>
              <w:spacing w:line="360" w:lineRule="auto"/>
            </w:pPr>
            <w:r w:rsidRPr="00567B06">
              <w:t>10.8 million</w:t>
            </w:r>
          </w:p>
        </w:tc>
      </w:tr>
      <w:tr w:rsidR="002D727D" w:rsidRPr="00567B06" w14:paraId="64B5E56A" w14:textId="77777777">
        <w:trPr>
          <w:gridAfter w:val="1"/>
          <w:wAfter w:w="306" w:type="dxa"/>
        </w:trPr>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330571" w14:textId="77777777" w:rsidR="002D727D" w:rsidRPr="00567B06" w:rsidRDefault="00242B4F" w:rsidP="000040FD">
            <w:pPr>
              <w:spacing w:line="360" w:lineRule="auto"/>
            </w:pPr>
            <w:r w:rsidRPr="00567B06">
              <w:t>United Kingdom adults with hypertension</w:t>
            </w:r>
          </w:p>
        </w:tc>
        <w:tc>
          <w:tcPr>
            <w:tcW w:w="37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648E5B" w14:textId="77777777" w:rsidR="002D727D" w:rsidRPr="00567B06" w:rsidRDefault="00242B4F" w:rsidP="000040FD">
            <w:pPr>
              <w:spacing w:line="360" w:lineRule="auto"/>
            </w:pPr>
            <w:r w:rsidRPr="00567B06">
              <w:t>14.4 million (~1 in 4)</w:t>
            </w:r>
          </w:p>
        </w:tc>
      </w:tr>
      <w:tr w:rsidR="002D727D" w:rsidRPr="00567B06" w14:paraId="161F1F04" w14:textId="77777777">
        <w:tc>
          <w:tcPr>
            <w:tcW w:w="560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312F01BB" w14:textId="77777777" w:rsidR="002D727D" w:rsidRPr="00567B06" w:rsidRDefault="00242B4F" w:rsidP="000040FD">
            <w:pPr>
              <w:spacing w:line="360" w:lineRule="auto"/>
            </w:pPr>
            <w:r w:rsidRPr="00567B06">
              <w:t>United Kingdom adults with undiagnosed hypertension</w:t>
            </w:r>
          </w:p>
        </w:tc>
        <w:tc>
          <w:tcPr>
            <w:tcW w:w="3760" w:type="dxa"/>
            <w:gridSpan w:val="2"/>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73621DD3" w14:textId="77777777" w:rsidR="002D727D" w:rsidRPr="00567B06" w:rsidRDefault="00242B4F" w:rsidP="000040FD">
            <w:pPr>
              <w:spacing w:line="360" w:lineRule="auto"/>
            </w:pPr>
            <w:r w:rsidRPr="00567B06">
              <w:t>5.5 million</w:t>
            </w:r>
          </w:p>
        </w:tc>
      </w:tr>
      <w:tr w:rsidR="002D727D" w:rsidRPr="00567B06" w14:paraId="22868CD8" w14:textId="77777777">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F59D91" w14:textId="7AD7F4D9" w:rsidR="002D727D" w:rsidRPr="00567B06" w:rsidRDefault="00242B4F" w:rsidP="000040FD">
            <w:pPr>
              <w:spacing w:line="360" w:lineRule="auto"/>
            </w:pPr>
            <w:r w:rsidRPr="00567B06">
              <w:t>Annual direct National Health Service cost</w:t>
            </w:r>
          </w:p>
        </w:tc>
        <w:tc>
          <w:tcPr>
            <w:tcW w:w="3760" w:type="dxa"/>
            <w:gridSpan w:val="2"/>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A9798" w14:textId="77777777" w:rsidR="002D727D" w:rsidRPr="00567B06" w:rsidRDefault="00242B4F" w:rsidP="000040FD">
            <w:pPr>
              <w:spacing w:line="360" w:lineRule="auto"/>
            </w:pPr>
            <w:r w:rsidRPr="00567B06">
              <w:t>£1.5 billion+</w:t>
            </w:r>
          </w:p>
        </w:tc>
      </w:tr>
      <w:tr w:rsidR="002D727D" w:rsidRPr="00567B06" w14:paraId="6ADC8D4F" w14:textId="77777777">
        <w:tc>
          <w:tcPr>
            <w:tcW w:w="5600" w:type="dxa"/>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1ED60028" w14:textId="77777777" w:rsidR="002D727D" w:rsidRPr="00567B06" w:rsidRDefault="00242B4F" w:rsidP="000040FD">
            <w:pPr>
              <w:spacing w:line="360" w:lineRule="auto"/>
            </w:pPr>
            <w:r w:rsidRPr="00567B06">
              <w:t>% of strokes attributable to hypertension</w:t>
            </w:r>
          </w:p>
        </w:tc>
        <w:tc>
          <w:tcPr>
            <w:tcW w:w="3760" w:type="dxa"/>
            <w:gridSpan w:val="2"/>
            <w:tcBorders>
              <w:top w:val="single" w:sz="1" w:space="0" w:color="CCCCCC"/>
              <w:left w:val="single" w:sz="1" w:space="0" w:color="CCCCCC"/>
              <w:bottom w:val="single" w:sz="1" w:space="0" w:color="CCCCCC"/>
              <w:right w:val="single" w:sz="1" w:space="0" w:color="CCCCCC"/>
            </w:tcBorders>
            <w:shd w:val="clear" w:color="auto" w:fill="F4F9F9"/>
            <w:tcMar>
              <w:top w:w="80" w:type="dxa"/>
              <w:left w:w="120" w:type="dxa"/>
              <w:bottom w:w="80" w:type="dxa"/>
              <w:right w:w="120" w:type="dxa"/>
            </w:tcMar>
          </w:tcPr>
          <w:p w14:paraId="12D0AF2A" w14:textId="701EDE9E" w:rsidR="002D727D" w:rsidRPr="00567B06" w:rsidRDefault="00242B4F" w:rsidP="000040FD">
            <w:pPr>
              <w:spacing w:line="360" w:lineRule="auto"/>
            </w:pPr>
            <w:r w:rsidRPr="00567B06">
              <w:t>54%</w:t>
            </w:r>
          </w:p>
        </w:tc>
      </w:tr>
    </w:tbl>
    <w:p w14:paraId="34C185CC" w14:textId="77777777" w:rsidR="00B300C8" w:rsidRPr="00567B06" w:rsidRDefault="00B300C8" w:rsidP="000040FD">
      <w:pPr>
        <w:spacing w:after="160" w:line="360" w:lineRule="auto"/>
      </w:pPr>
    </w:p>
    <w:p w14:paraId="7505FFF1" w14:textId="1EDD83B8" w:rsidR="00700457" w:rsidRPr="00567B06" w:rsidRDefault="00242B4F" w:rsidP="002D491B">
      <w:pPr>
        <w:spacing w:after="160" w:line="360" w:lineRule="auto"/>
      </w:pPr>
      <w:r w:rsidRPr="00567B06">
        <w:lastRenderedPageBreak/>
        <w:t xml:space="preserve">Prevalence is higher among older adults, men, people of Black African and Caribbean heritage, and those in deprived communities  reflecting both genetic and socio-environmental factors (Marmot et al., 2020). The scale of undiagnosed hypertension is particularly striking: of the 14.4 million United Kingdom adults estimated to have the condition, more than a third are unaware of it, meaning they are accruing cardiovascular risk with no opportunity to intervene. </w:t>
      </w:r>
    </w:p>
    <w:p w14:paraId="263EEE59" w14:textId="3882A32F" w:rsidR="002D145F" w:rsidRPr="00567B06" w:rsidRDefault="008674B8" w:rsidP="000040FD">
      <w:pPr>
        <w:pStyle w:val="Heading2"/>
        <w:spacing w:line="360" w:lineRule="auto"/>
        <w:rPr>
          <w:rFonts w:eastAsia="Times New Roman"/>
          <w:sz w:val="22"/>
          <w:szCs w:val="22"/>
        </w:rPr>
      </w:pPr>
      <w:r w:rsidRPr="00567B06">
        <w:rPr>
          <w:noProof/>
          <w:sz w:val="22"/>
          <w:szCs w:val="22"/>
        </w:rPr>
        <w:drawing>
          <wp:anchor distT="0" distB="0" distL="114300" distR="114300" simplePos="0" relativeHeight="251667457" behindDoc="1" locked="0" layoutInCell="1" allowOverlap="1" wp14:anchorId="2CF3746B" wp14:editId="72E8BB7C">
            <wp:simplePos x="0" y="0"/>
            <wp:positionH relativeFrom="column">
              <wp:posOffset>3079750</wp:posOffset>
            </wp:positionH>
            <wp:positionV relativeFrom="paragraph">
              <wp:posOffset>148590</wp:posOffset>
            </wp:positionV>
            <wp:extent cx="2846705" cy="4267200"/>
            <wp:effectExtent l="133350" t="76200" r="86995" b="133350"/>
            <wp:wrapSquare wrapText="bothSides"/>
            <wp:docPr id="58232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23350" name=""/>
                    <pic:cNvPicPr/>
                  </pic:nvPicPr>
                  <pic:blipFill>
                    <a:blip r:embed="rId13"/>
                    <a:stretch>
                      <a:fillRect/>
                    </a:stretch>
                  </pic:blipFill>
                  <pic:spPr>
                    <a:xfrm>
                      <a:off x="0" y="0"/>
                      <a:ext cx="2846705" cy="42672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242B4F" w:rsidRPr="00567B06">
        <w:rPr>
          <w:sz w:val="22"/>
          <w:szCs w:val="22"/>
        </w:rPr>
        <w:t>Risk factors</w:t>
      </w:r>
      <w:r w:rsidR="009F16C9" w:rsidRPr="00567B06">
        <w:rPr>
          <w:sz w:val="22"/>
          <w:szCs w:val="22"/>
        </w:rPr>
        <w:t xml:space="preserve"> </w:t>
      </w:r>
      <w:r w:rsidR="009F16C9" w:rsidRPr="00567B06">
        <w:rPr>
          <w:rFonts w:eastAsia="Times New Roman"/>
          <w:sz w:val="22"/>
          <w:szCs w:val="22"/>
        </w:rPr>
        <w:t>and Aetiology</w:t>
      </w:r>
    </w:p>
    <w:p w14:paraId="69B7582D" w14:textId="30113C09" w:rsidR="002D727D" w:rsidRPr="00567B06" w:rsidRDefault="00242B4F" w:rsidP="000040FD">
      <w:pPr>
        <w:pStyle w:val="ListParagraph"/>
        <w:numPr>
          <w:ilvl w:val="0"/>
          <w:numId w:val="2"/>
        </w:numPr>
        <w:spacing w:after="80" w:line="360" w:lineRule="auto"/>
      </w:pPr>
      <w:r w:rsidRPr="00567B06">
        <w:rPr>
          <w:b/>
          <w:bCs/>
        </w:rPr>
        <w:t xml:space="preserve">Non-modifiable: </w:t>
      </w:r>
      <w:r w:rsidRPr="00567B06">
        <w:t>age, sex, ethnicity, family history. Heritability is estimated at 30–50% (Evangelou et al., 2018).</w:t>
      </w:r>
    </w:p>
    <w:p w14:paraId="5F8CCB01" w14:textId="77777777" w:rsidR="004A10BE" w:rsidRPr="00567B06" w:rsidRDefault="00242B4F" w:rsidP="000040FD">
      <w:pPr>
        <w:pStyle w:val="ListParagraph"/>
        <w:numPr>
          <w:ilvl w:val="0"/>
          <w:numId w:val="2"/>
        </w:numPr>
        <w:spacing w:after="160" w:line="360" w:lineRule="auto"/>
      </w:pPr>
      <w:r w:rsidRPr="00567B06">
        <w:rPr>
          <w:b/>
          <w:bCs/>
        </w:rPr>
        <w:t xml:space="preserve">Modifiable: </w:t>
      </w:r>
      <w:r w:rsidRPr="00567B06">
        <w:t>high salt intake, low potassium intake, obesity, inactivity, excess alcohol, smoking, chronic stress, sleep apnoea, and certain medicines (non-steroidal anti-inflammatory drugs, contraceptives, steroids, decongestants).</w:t>
      </w:r>
      <w:r w:rsidR="007D31BD" w:rsidRPr="00567B06">
        <w:rPr>
          <w:noProof/>
        </w:rPr>
        <w:t xml:space="preserve"> </w:t>
      </w:r>
    </w:p>
    <w:p w14:paraId="5F2ECBA6" w14:textId="77777777" w:rsidR="00CD349A" w:rsidRPr="00567B06" w:rsidRDefault="000679D8" w:rsidP="008976A1">
      <w:pPr>
        <w:pStyle w:val="ListParagraph"/>
        <w:numPr>
          <w:ilvl w:val="0"/>
          <w:numId w:val="2"/>
        </w:numPr>
        <w:spacing w:after="160" w:line="360" w:lineRule="auto"/>
      </w:pPr>
      <w:r w:rsidRPr="00567B06">
        <w:rPr>
          <w:noProof/>
        </w:rPr>
        <mc:AlternateContent>
          <mc:Choice Requires="wps">
            <w:drawing>
              <wp:anchor distT="45720" distB="45720" distL="114300" distR="114300" simplePos="0" relativeHeight="251671553" behindDoc="0" locked="0" layoutInCell="1" allowOverlap="1" wp14:anchorId="06A72D2F" wp14:editId="5BF9707F">
                <wp:simplePos x="0" y="0"/>
                <wp:positionH relativeFrom="column">
                  <wp:posOffset>3458845</wp:posOffset>
                </wp:positionH>
                <wp:positionV relativeFrom="paragraph">
                  <wp:posOffset>1622425</wp:posOffset>
                </wp:positionV>
                <wp:extent cx="2468880" cy="1270000"/>
                <wp:effectExtent l="0" t="0" r="26670" b="13335"/>
                <wp:wrapSquare wrapText="bothSides"/>
                <wp:docPr id="1250063945" name="Text Box 2"/>
                <wp:cNvGraphicFramePr/>
                <a:graphic xmlns:a="http://schemas.openxmlformats.org/drawingml/2006/main">
                  <a:graphicData uri="http://schemas.microsoft.com/office/word/2010/wordprocessingShape">
                    <wps:wsp>
                      <wps:cNvSpPr txBox="1"/>
                      <wps:spPr>
                        <a:xfrm>
                          <a:off x="0" y="0"/>
                          <a:ext cx="2468880" cy="1270000"/>
                        </a:xfrm>
                        <a:prstGeom prst="rect">
                          <a:avLst/>
                        </a:prstGeom>
                        <a:solidFill>
                          <a:prstClr val="white"/>
                        </a:solidFill>
                        <a:ln w="6350">
                          <a:solidFill>
                            <a:prstClr val="black"/>
                          </a:solidFill>
                        </a:ln>
                      </wps:spPr>
                      <wps:txbx>
                        <w:txbxContent>
                          <w:p w14:paraId="1F45592B" w14:textId="237A43C7" w:rsidR="00191465" w:rsidRPr="000679D8" w:rsidRDefault="00191465">
                            <w:pPr>
                              <w:rPr>
                                <w:sz w:val="16"/>
                                <w:szCs w:val="16"/>
                              </w:rPr>
                            </w:pPr>
                            <w:r w:rsidRPr="000679D8">
                              <w:rPr>
                                <w:rFonts w:eastAsia="Times New Roman"/>
                                <w:sz w:val="16"/>
                                <w:szCs w:val="16"/>
                              </w:rPr>
                              <w:t>Complications associated with hypertension. Source: VIMS Hospital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06A72D2F" id="_x0000_t202" coordsize="21600,21600" o:spt="202" path="m,l,21600r21600,l21600,xe">
                <v:stroke joinstyle="miter"/>
                <v:path gradientshapeok="t" o:connecttype="rect"/>
              </v:shapetype>
              <v:shape id="Text Box 2" o:spid="_x0000_s1029" type="#_x0000_t202" style="position:absolute;left:0;text-align:left;margin-left:272.35pt;margin-top:127.75pt;width:194.4pt;height:100pt;z-index:25167155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" strokeweight=".5pt">
                <v:textbox style="mso-fit-shape-to-text:t">
                  <w:txbxContent>
                    <w:p w14:paraId="1F45592B" w14:textId="237A43C7" w:rsidR="00191465" w:rsidRPr="000679D8" w:rsidRDefault="00191465">
                      <w:pPr>
                        <w:rPr>
                          <w:sz w:val="16"/>
                          <w:szCs w:val="16"/>
                        </w:rPr>
                      </w:pPr>
                      <w:r w:rsidRPr="000679D8">
                        <w:rPr>
                          <w:rFonts w:eastAsia="Times New Roman"/>
                          <w:sz w:val="16"/>
                          <w:szCs w:val="16"/>
                        </w:rPr>
                        <w:t>Complications associated with hypertension. Source: VIMS Hospital (n.d.).</w:t>
                      </w:r>
                    </w:p>
                  </w:txbxContent>
                </v:textbox>
                <w10:wrap type="square"/>
              </v:shape>
            </w:pict>
          </mc:Fallback>
        </mc:AlternateContent>
      </w:r>
      <w:r w:rsidR="00242B4F" w:rsidRPr="00567B06">
        <w:t>Each modifiable risk factor exerts a measurable, dose-dependent effect on blood pressure. For example, each additional standard alcoholic drink consumed daily is associated with a clinically meaningful rise in systolic blood pressure (Roerecke et al., 2017)</w:t>
      </w:r>
      <w:r w:rsidR="00CD349A" w:rsidRPr="00567B06">
        <w:t xml:space="preserve">. </w:t>
      </w:r>
    </w:p>
    <w:p w14:paraId="6E46FF51" w14:textId="351419CE" w:rsidR="002D491B" w:rsidRPr="00567B06" w:rsidRDefault="00242B4F" w:rsidP="008976A1">
      <w:pPr>
        <w:pStyle w:val="ListParagraph"/>
        <w:numPr>
          <w:ilvl w:val="0"/>
          <w:numId w:val="2"/>
        </w:numPr>
        <w:spacing w:after="160" w:line="360" w:lineRule="auto"/>
      </w:pPr>
      <w:r w:rsidRPr="00567B06">
        <w:t>Wider social determinants  poverty, food insecurity, poor housing, occupational stress, lack of green space, pollution  drive both prevalence and inequality in outcomes (Marmot et al., 2020). Professionals should look beyond individual behaviour to these structural drivers, recognising that the capacity to act on lifestyle advice  to afford fresh food, access safe outdoor space, or take time off for medical appointments  is unevenly distributed across the population. Acknowledging these constraints, rather than treating non-adherence as purely an individual failing, is central to equitable hypertension care.</w:t>
      </w:r>
    </w:p>
    <w:p w14:paraId="531297A8" w14:textId="77777777" w:rsidR="00CD349A" w:rsidRPr="00567B06" w:rsidRDefault="00CD349A" w:rsidP="000040FD">
      <w:pPr>
        <w:pStyle w:val="Heading1"/>
        <w:spacing w:line="360" w:lineRule="auto"/>
        <w:rPr>
          <w:sz w:val="22"/>
          <w:szCs w:val="22"/>
        </w:rPr>
      </w:pPr>
    </w:p>
    <w:p w14:paraId="24CA8E46" w14:textId="21479B03" w:rsidR="002D727D" w:rsidRPr="00567B06" w:rsidRDefault="00242B4F" w:rsidP="000040FD">
      <w:pPr>
        <w:pStyle w:val="Heading1"/>
        <w:spacing w:line="360" w:lineRule="auto"/>
        <w:rPr>
          <w:sz w:val="22"/>
          <w:szCs w:val="22"/>
        </w:rPr>
      </w:pPr>
      <w:r w:rsidRPr="00567B06">
        <w:rPr>
          <w:sz w:val="22"/>
          <w:szCs w:val="22"/>
        </w:rPr>
        <w:lastRenderedPageBreak/>
        <w:t xml:space="preserve">Section 2 </w:t>
      </w:r>
      <w:r w:rsidR="00DE318F" w:rsidRPr="00567B06">
        <w:rPr>
          <w:sz w:val="22"/>
          <w:szCs w:val="22"/>
        </w:rPr>
        <w:t>:</w:t>
      </w:r>
      <w:r w:rsidRPr="00567B06">
        <w:rPr>
          <w:sz w:val="22"/>
          <w:szCs w:val="22"/>
        </w:rPr>
        <w:t xml:space="preserve"> Impact: Physical, Psychological and Social</w:t>
      </w:r>
    </w:p>
    <w:p w14:paraId="09C0D5BF" w14:textId="52F46703" w:rsidR="002D727D" w:rsidRPr="00567B06" w:rsidRDefault="00000791" w:rsidP="000040FD">
      <w:pPr>
        <w:pStyle w:val="Heading2"/>
        <w:spacing w:line="360" w:lineRule="auto"/>
        <w:rPr>
          <w:sz w:val="22"/>
          <w:szCs w:val="22"/>
        </w:rPr>
      </w:pPr>
      <w:r w:rsidRPr="00567B06">
        <w:rPr>
          <w:noProof/>
          <w:sz w:val="22"/>
          <w:szCs w:val="22"/>
        </w:rPr>
        <w:drawing>
          <wp:anchor distT="0" distB="0" distL="114300" distR="114300" simplePos="0" relativeHeight="251669505" behindDoc="1" locked="0" layoutInCell="1" allowOverlap="1" wp14:anchorId="4EF89E06" wp14:editId="0C2FA433">
            <wp:simplePos x="0" y="0"/>
            <wp:positionH relativeFrom="column">
              <wp:posOffset>3016885</wp:posOffset>
            </wp:positionH>
            <wp:positionV relativeFrom="paragraph">
              <wp:posOffset>237490</wp:posOffset>
            </wp:positionV>
            <wp:extent cx="2995295" cy="2842260"/>
            <wp:effectExtent l="19050" t="0" r="14605" b="815340"/>
            <wp:wrapTight wrapText="bothSides">
              <wp:wrapPolygon edited="0">
                <wp:start x="824" y="0"/>
                <wp:lineTo x="-137" y="434"/>
                <wp:lineTo x="-137" y="27651"/>
                <wp:lineTo x="21568" y="27651"/>
                <wp:lineTo x="21568" y="1448"/>
                <wp:lineTo x="21431" y="1158"/>
                <wp:lineTo x="20606" y="0"/>
                <wp:lineTo x="824" y="0"/>
              </wp:wrapPolygon>
            </wp:wrapTight>
            <wp:docPr id="2026951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51292" name="Picture 1"/>
                    <pic:cNvPicPr/>
                  </pic:nvPicPr>
                  <pic:blipFill>
                    <a:blip r:embed="rId14"/>
                    <a:stretch>
                      <a:fillRect/>
                    </a:stretch>
                  </pic:blipFill>
                  <pic:spPr>
                    <a:xfrm>
                      <a:off x="0" y="0"/>
                      <a:ext cx="2995295" cy="28422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242B4F" w:rsidRPr="00567B06">
        <w:rPr>
          <w:sz w:val="22"/>
          <w:szCs w:val="22"/>
        </w:rPr>
        <w:t>Physical impact</w:t>
      </w:r>
    </w:p>
    <w:p w14:paraId="47AAEFDE" w14:textId="11479EA0" w:rsidR="002B2669" w:rsidRPr="00567B06" w:rsidRDefault="00090E48" w:rsidP="000040FD">
      <w:pPr>
        <w:spacing w:after="160" w:line="360" w:lineRule="auto"/>
        <w:rPr>
          <w:rFonts w:eastAsia="Times New Roman"/>
        </w:rPr>
      </w:pPr>
      <w:r w:rsidRPr="00567B06">
        <w:rPr>
          <w:rFonts w:eastAsia="Times New Roman"/>
          <w:noProof/>
        </w:rPr>
        <mc:AlternateContent>
          <mc:Choice Requires="wps">
            <w:drawing>
              <wp:anchor distT="45720" distB="45720" distL="114300" distR="114300" simplePos="0" relativeHeight="251670529" behindDoc="0" locked="0" layoutInCell="1" allowOverlap="1" wp14:anchorId="77843CBA" wp14:editId="0E334EE6">
                <wp:simplePos x="0" y="0"/>
                <wp:positionH relativeFrom="column">
                  <wp:posOffset>3406140</wp:posOffset>
                </wp:positionH>
                <wp:positionV relativeFrom="paragraph">
                  <wp:posOffset>2552700</wp:posOffset>
                </wp:positionV>
                <wp:extent cx="2077085" cy="321310"/>
                <wp:effectExtent l="0" t="0" r="18415" b="21590"/>
                <wp:wrapSquare wrapText="bothSides"/>
                <wp:docPr id="184543783" name="Text Box 1"/>
                <wp:cNvGraphicFramePr/>
                <a:graphic xmlns:a="http://schemas.openxmlformats.org/drawingml/2006/main">
                  <a:graphicData uri="http://schemas.microsoft.com/office/word/2010/wordprocessingShape">
                    <wps:wsp>
                      <wps:cNvSpPr txBox="1"/>
                      <wps:spPr>
                        <a:xfrm>
                          <a:off x="0" y="0"/>
                          <a:ext cx="2077085" cy="321310"/>
                        </a:xfrm>
                        <a:prstGeom prst="rect">
                          <a:avLst/>
                        </a:prstGeom>
                        <a:solidFill>
                          <a:prstClr val="white"/>
                        </a:solidFill>
                        <a:ln w="6350">
                          <a:solidFill>
                            <a:prstClr val="black"/>
                          </a:solidFill>
                        </a:ln>
                      </wps:spPr>
                      <wps:txbx>
                        <w:txbxContent>
                          <w:p w14:paraId="4B5261F4" w14:textId="688DFE6A" w:rsidR="00090E48" w:rsidRPr="00EA37C0" w:rsidRDefault="00090E48">
                            <w:pPr>
                              <w:rPr>
                                <w:sz w:val="16"/>
                                <w:szCs w:val="16"/>
                              </w:rPr>
                            </w:pPr>
                            <w:r w:rsidRPr="00EA37C0">
                              <w:rPr>
                                <w:rFonts w:eastAsia="Times New Roman"/>
                                <w:sz w:val="16"/>
                                <w:szCs w:val="16"/>
                              </w:rPr>
                              <w:t>Source: American Heart Association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43CBA" id="Text Box 1" o:spid="_x0000_s1030" type="#_x0000_t202" style="position:absolute;margin-left:268.2pt;margin-top:201pt;width:163.55pt;height:25.3pt;z-index:25167052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" strokeweight=".5pt">
                <v:textbox>
                  <w:txbxContent>
                    <w:p w14:paraId="4B5261F4" w14:textId="688DFE6A" w:rsidR="00090E48" w:rsidRPr="00EA37C0" w:rsidRDefault="00090E48">
                      <w:pPr>
                        <w:rPr>
                          <w:sz w:val="16"/>
                          <w:szCs w:val="16"/>
                        </w:rPr>
                      </w:pPr>
                      <w:r w:rsidRPr="00EA37C0">
                        <w:rPr>
                          <w:rFonts w:eastAsia="Times New Roman"/>
                          <w:sz w:val="16"/>
                          <w:szCs w:val="16"/>
                        </w:rPr>
                        <w:t>Source: American Heart Association (2025)</w:t>
                      </w:r>
                    </w:p>
                  </w:txbxContent>
                </v:textbox>
                <w10:wrap type="square"/>
              </v:shape>
            </w:pict>
          </mc:Fallback>
        </mc:AlternateContent>
      </w:r>
      <w:r w:rsidR="00242B4F" w:rsidRPr="00567B06">
        <w:t>Sustained high blood pressure silently damages arteries, the heart, kidneys, brain and eyes. It doubles the risk of heart attack and is the single biggest contributor to stroke (Lewington et al., 2002). It causes left ventricular hypertrophy, heart failure and atrial fibrillation (Williams et al., 2018); it is a leading cause of chronic kidney disease; and it can damage the retina, peripheral arteries and brain (vascular dementia).</w:t>
      </w:r>
      <w:r w:rsidR="00B9397E" w:rsidRPr="00567B06">
        <w:rPr>
          <w:noProof/>
        </w:rPr>
        <w:t xml:space="preserve"> </w:t>
      </w:r>
      <w:r w:rsidR="00242B4F" w:rsidRPr="00567B06">
        <w:t>These complications share a common mechanism: chronic mechanical stress on the vascular wall, which over years accelerates atherosclerosis, promotes fibrosis in the heart and kidneys, and weakens small blood vessels in the brain and retina.</w:t>
      </w:r>
      <w:r w:rsidR="009154F5" w:rsidRPr="00567B06">
        <w:t xml:space="preserve"> </w:t>
      </w:r>
      <w:r w:rsidR="00E57D5C" w:rsidRPr="00567B06">
        <w:rPr>
          <w:rFonts w:eastAsia="Times New Roman"/>
        </w:rPr>
        <w:t>Hypertensive nephropathy and hypertension are closely linked, as declining kidney function can further increase blood pressure, creating a vicious cycle that becomes difficult to interrupt once established</w:t>
      </w:r>
      <w:r w:rsidR="002B2669" w:rsidRPr="00567B06">
        <w:rPr>
          <w:rFonts w:eastAsia="Times New Roman"/>
        </w:rPr>
        <w:t>.</w:t>
      </w:r>
    </w:p>
    <w:p w14:paraId="0C512389" w14:textId="3576D027" w:rsidR="002D727D" w:rsidRPr="00567B06" w:rsidRDefault="00CF5C96" w:rsidP="000040FD">
      <w:pPr>
        <w:spacing w:after="160" w:line="360" w:lineRule="auto"/>
      </w:pPr>
      <w:r w:rsidRPr="00567B06">
        <w:rPr>
          <w:rFonts w:eastAsia="Times New Roman"/>
        </w:rPr>
        <w:t>Guidance bases treatment on overall 10-year cardiovascular risk rather than blood pressure alone (QRISK3)</w:t>
      </w:r>
      <w:r w:rsidR="00242B4F" w:rsidRPr="00567B06">
        <w:t xml:space="preserve"> the risk calculator used across UK general practice, which combines blood pressure with other factors such as age, cholesterol, smoking and diabetes status to estimate the chance of a heart attack or stroke in the next 10 years), integrating age, sex, ethnicity, smoking, cholesterol and diabetes status into a single risk estimate that better reflects an individual's true likelihood of a cardiovascular event.</w:t>
      </w:r>
    </w:p>
    <w:p w14:paraId="1FCCE489" w14:textId="77777777" w:rsidR="002D727D" w:rsidRPr="00567B06" w:rsidRDefault="00242B4F" w:rsidP="000040FD">
      <w:pPr>
        <w:pStyle w:val="Heading2"/>
        <w:spacing w:line="360" w:lineRule="auto"/>
        <w:rPr>
          <w:sz w:val="22"/>
          <w:szCs w:val="22"/>
        </w:rPr>
      </w:pPr>
      <w:r w:rsidRPr="00567B06">
        <w:rPr>
          <w:sz w:val="22"/>
          <w:szCs w:val="22"/>
        </w:rPr>
        <w:t>Psychological impact</w:t>
      </w:r>
    </w:p>
    <w:p w14:paraId="1268243A" w14:textId="1BF1E9E0" w:rsidR="002D727D" w:rsidRPr="00567B06" w:rsidRDefault="00242B4F" w:rsidP="000040FD">
      <w:pPr>
        <w:spacing w:after="160" w:line="360" w:lineRule="auto"/>
      </w:pPr>
      <w:r w:rsidRPr="00567B06">
        <w:t xml:space="preserve">A hypertension diagnosis can trigger health anxiety and fear of cardiac events, especially with a family history of heart disease (Broadbent et al., 2006). People with hypertension report lower quality of life even after accounting for physical health (Mena-Martin et al., 2003). The relationship with mental health is two-way: stress, depression and anxiety raise blood pressure via the body's stress hormone system, while the burden of diagnosis and lifelong treatment can itself cause anxiety and depression  particularly in younger adults, for whom a hypertension diagnosis may feel </w:t>
      </w:r>
      <w:r w:rsidRPr="00567B06">
        <w:lastRenderedPageBreak/>
        <w:t>premature, stigmatising or at odds with their self-image as healthy (Dimsdale, 2008; Marshall, 2004).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D727D" w:rsidRPr="00567B06" w14:paraId="34B6A974" w14:textId="77777777">
        <w:tc>
          <w:tcPr>
            <w:tcW w:w="9360" w:type="dxa"/>
            <w:tcBorders>
              <w:top w:val="single" w:sz="4" w:space="0" w:color="B3261E"/>
              <w:left w:val="single" w:sz="4" w:space="0" w:color="B3261E"/>
              <w:bottom w:val="single" w:sz="4" w:space="0" w:color="B3261E"/>
              <w:right w:val="single" w:sz="4" w:space="0" w:color="B3261E"/>
            </w:tcBorders>
            <w:shd w:val="clear" w:color="auto" w:fill="FBE9E7"/>
            <w:tcMar>
              <w:top w:w="160" w:type="dxa"/>
              <w:left w:w="200" w:type="dxa"/>
              <w:bottom w:w="160" w:type="dxa"/>
              <w:right w:w="200" w:type="dxa"/>
            </w:tcMar>
          </w:tcPr>
          <w:p w14:paraId="40429159" w14:textId="77777777" w:rsidR="002D727D" w:rsidRPr="00567B06" w:rsidRDefault="00242B4F" w:rsidP="000040FD">
            <w:pPr>
              <w:spacing w:after="100" w:line="360" w:lineRule="auto"/>
            </w:pPr>
            <w:r w:rsidRPr="00567B06">
              <w:rPr>
                <w:b/>
                <w:bCs/>
                <w:color w:val="B3261E"/>
              </w:rPr>
              <w:t>Practice tip</w:t>
            </w:r>
          </w:p>
          <w:p w14:paraId="54CED9B9" w14:textId="77777777" w:rsidR="002D727D" w:rsidRPr="00567B06" w:rsidRDefault="00242B4F" w:rsidP="000040FD">
            <w:pPr>
              <w:pStyle w:val="ListParagraph"/>
              <w:numPr>
                <w:ilvl w:val="0"/>
                <w:numId w:val="2"/>
              </w:numPr>
              <w:spacing w:after="40" w:line="360" w:lineRule="auto"/>
            </w:pPr>
            <w:r w:rsidRPr="00567B06">
              <w:t>Routinely screen for anxiety and depression (e.g. Patient Health Questionnaire-9, Generalised Anxiety Disorder 7-item scale) and ensure access to psychological support (National Institute for Health and Care Excellence, 2023).</w:t>
            </w:r>
          </w:p>
          <w:p w14:paraId="1E83789C" w14:textId="77777777" w:rsidR="002D727D" w:rsidRPr="00567B06" w:rsidRDefault="00242B4F" w:rsidP="000040FD">
            <w:pPr>
              <w:pStyle w:val="ListParagraph"/>
              <w:numPr>
                <w:ilvl w:val="0"/>
                <w:numId w:val="2"/>
              </w:numPr>
              <w:spacing w:after="40" w:line="360" w:lineRule="auto"/>
            </w:pPr>
            <w:r w:rsidRPr="00567B06">
              <w:t>Validate the patient's emotional response to diagnosis before moving straight into lifestyle or medication advice — feeling heard improves later engagement.</w:t>
            </w:r>
          </w:p>
        </w:tc>
      </w:tr>
    </w:tbl>
    <w:p w14:paraId="5E8F8421" w14:textId="24512A0C" w:rsidR="002D727D" w:rsidRPr="00567B06" w:rsidRDefault="00242B4F" w:rsidP="000040FD">
      <w:pPr>
        <w:pStyle w:val="Heading2"/>
        <w:spacing w:line="360" w:lineRule="auto"/>
        <w:rPr>
          <w:sz w:val="22"/>
          <w:szCs w:val="22"/>
        </w:rPr>
      </w:pPr>
      <w:r w:rsidRPr="00567B06">
        <w:rPr>
          <w:sz w:val="22"/>
          <w:szCs w:val="22"/>
        </w:rPr>
        <w:t>Social impact and families</w:t>
      </w:r>
    </w:p>
    <w:p w14:paraId="42CCE0A5" w14:textId="77777777" w:rsidR="002D727D" w:rsidRPr="00567B06" w:rsidRDefault="00242B4F" w:rsidP="000040FD">
      <w:pPr>
        <w:spacing w:after="160" w:line="360" w:lineRule="auto"/>
      </w:pPr>
      <w:r w:rsidRPr="00567B06">
        <w:t>Lifelong medication, monitoring and dietary change create a real treatment burden; adherence to antihypertensives is below 50% at one year in many studies (Vrijens et al., 2017). This burden tends to grow with the complexity of the regimen: patients on multiple antihypertensive agents, or those experiencing side effects such as fatigue, dizziness or sexual dysfunction, are at particular risk of disengaging from treatment, especially when they feel asymptomatic and well in day-to-day life.</w:t>
      </w:r>
    </w:p>
    <w:p w14:paraId="48D3010B" w14:textId="152DD186" w:rsidR="002D727D" w:rsidRPr="00567B06" w:rsidRDefault="00242B4F" w:rsidP="000040FD">
      <w:pPr>
        <w:spacing w:after="160" w:line="360" w:lineRule="auto"/>
      </w:pPr>
      <w:r w:rsidRPr="00567B06">
        <w:t xml:space="preserve">Diet advice </w:t>
      </w:r>
      <w:r w:rsidR="00465AF8" w:rsidRPr="00567B06">
        <w:t>,</w:t>
      </w:r>
      <w:r w:rsidRPr="00567B06">
        <w:t xml:space="preserve"> salt restriction, the Dietary Approaches to Stop Hypertension diet, alcohol reduction, weight loss  can disrupt family meals and cultural food practices; advice that ignores cultural context can feel dismissive and reduce engagement (Artinian et al., 2010). Effective dietary support therefore works with, rather than against, a patient's existing food culture  for example, identifying lower-sodium variations of familiar dishes rather than prescribing a generic Western-style diet. Informal carers often help with medication, monitoring, meal preparation and appointments  and have a right to their own assessment and support under the Care Act (2014). Professionals should proactively ask about caring responsibilities and signpost carers to assessment, recognising that carer strain can undermine the very support structures that sustain a patient's self-management.</w:t>
      </w:r>
    </w:p>
    <w:p w14:paraId="61DBDA70" w14:textId="48D46E06" w:rsidR="002D727D" w:rsidRPr="00567B06" w:rsidRDefault="00242B4F" w:rsidP="000040FD">
      <w:pPr>
        <w:pStyle w:val="Heading1"/>
        <w:spacing w:line="360" w:lineRule="auto"/>
        <w:rPr>
          <w:sz w:val="22"/>
          <w:szCs w:val="22"/>
        </w:rPr>
      </w:pPr>
      <w:r w:rsidRPr="00567B06">
        <w:rPr>
          <w:sz w:val="22"/>
          <w:szCs w:val="22"/>
        </w:rPr>
        <w:t xml:space="preserve">Section 3 </w:t>
      </w:r>
      <w:r w:rsidR="00465AF8" w:rsidRPr="00567B06">
        <w:rPr>
          <w:sz w:val="22"/>
          <w:szCs w:val="22"/>
        </w:rPr>
        <w:t xml:space="preserve">: </w:t>
      </w:r>
      <w:r w:rsidRPr="00567B06">
        <w:rPr>
          <w:sz w:val="22"/>
          <w:szCs w:val="22"/>
        </w:rPr>
        <w:t>Evidence-Based National Health Service Treatment</w:t>
      </w:r>
    </w:p>
    <w:p w14:paraId="4A57D38D" w14:textId="77777777" w:rsidR="002D727D" w:rsidRPr="00567B06" w:rsidRDefault="00242B4F" w:rsidP="000040FD">
      <w:pPr>
        <w:pStyle w:val="Heading2"/>
        <w:spacing w:line="360" w:lineRule="auto"/>
        <w:rPr>
          <w:sz w:val="22"/>
          <w:szCs w:val="22"/>
        </w:rPr>
      </w:pPr>
      <w:r w:rsidRPr="00567B06">
        <w:rPr>
          <w:sz w:val="22"/>
          <w:szCs w:val="22"/>
        </w:rPr>
        <w:t>Lifestyle change (first line for everyone)</w:t>
      </w:r>
    </w:p>
    <w:p w14:paraId="265BB266" w14:textId="23BA47AB" w:rsidR="002D727D" w:rsidRPr="00567B06" w:rsidRDefault="00242B4F" w:rsidP="000040FD">
      <w:pPr>
        <w:pStyle w:val="ListParagraph"/>
        <w:numPr>
          <w:ilvl w:val="0"/>
          <w:numId w:val="2"/>
        </w:numPr>
        <w:spacing w:after="80" w:line="360" w:lineRule="auto"/>
      </w:pPr>
      <w:r w:rsidRPr="00567B06">
        <w:t>Cut salt to under 6g/day, ideally below 5g (World Health Organization, 202</w:t>
      </w:r>
      <w:r w:rsidR="00A60E2E" w:rsidRPr="00567B06">
        <w:t>5</w:t>
      </w:r>
      <w:r w:rsidRPr="00567B06">
        <w:t>)</w:t>
      </w:r>
    </w:p>
    <w:p w14:paraId="26D7B54B" w14:textId="285D1D66" w:rsidR="002D727D" w:rsidRPr="00567B06" w:rsidRDefault="00242B4F" w:rsidP="000040FD">
      <w:pPr>
        <w:pStyle w:val="ListParagraph"/>
        <w:numPr>
          <w:ilvl w:val="0"/>
          <w:numId w:val="2"/>
        </w:numPr>
        <w:spacing w:after="80" w:line="360" w:lineRule="auto"/>
      </w:pPr>
      <w:r w:rsidRPr="00567B06">
        <w:t xml:space="preserve">Follow a Dietary Approaches to Stop Hypertension-style diet </w:t>
      </w:r>
      <w:r w:rsidR="00465AF8" w:rsidRPr="00567B06">
        <w:t>,</w:t>
      </w:r>
      <w:r w:rsidRPr="00567B06">
        <w:t>high in fruit, veg, wholegrains, low-fat dairy; low in saturated fat and red meat</w:t>
      </w:r>
    </w:p>
    <w:p w14:paraId="3C52C79A" w14:textId="77777777" w:rsidR="002D727D" w:rsidRPr="00567B06" w:rsidRDefault="00242B4F" w:rsidP="000040FD">
      <w:pPr>
        <w:pStyle w:val="ListParagraph"/>
        <w:numPr>
          <w:ilvl w:val="0"/>
          <w:numId w:val="2"/>
        </w:numPr>
        <w:spacing w:after="80" w:line="360" w:lineRule="auto"/>
      </w:pPr>
      <w:r w:rsidRPr="00567B06">
        <w:t>At least 150 minutes/week of moderate aerobic activity</w:t>
      </w:r>
    </w:p>
    <w:p w14:paraId="4EC0321D" w14:textId="77777777" w:rsidR="002D727D" w:rsidRPr="00567B06" w:rsidRDefault="00242B4F" w:rsidP="000040FD">
      <w:pPr>
        <w:pStyle w:val="ListParagraph"/>
        <w:numPr>
          <w:ilvl w:val="0"/>
          <w:numId w:val="2"/>
        </w:numPr>
        <w:spacing w:after="80" w:line="360" w:lineRule="auto"/>
      </w:pPr>
      <w:r w:rsidRPr="00567B06">
        <w:lastRenderedPageBreak/>
        <w:t>Manage weight, limit alcohol to no more than 14 units/week, stop smoking</w:t>
      </w:r>
    </w:p>
    <w:p w14:paraId="3E4F7434" w14:textId="5E3F6F5A" w:rsidR="002D727D" w:rsidRPr="00567B06" w:rsidRDefault="00242B4F" w:rsidP="000040FD">
      <w:pPr>
        <w:spacing w:after="160" w:line="360" w:lineRule="auto"/>
      </w:pPr>
      <w:r w:rsidRPr="00567B06">
        <w:t xml:space="preserve">These changes are powerful: the Dietary Approaches to Stop Hypertension diet alone can lower systolic blood pressure by 8–14 mmHg (Appel et al., 1997); each kilogram of weight loss lowers it by roughly 1 mmHg (Neter et al., 2003); cutting salt by 4.4g/day lowers it by about 4.2 mmHg (He and MacGregor, 2004). </w:t>
      </w:r>
      <w:r w:rsidR="00924138" w:rsidRPr="00567B06">
        <w:t xml:space="preserve">A </w:t>
      </w:r>
      <w:r w:rsidRPr="00567B06">
        <w:t>patient who reduces salt intake, loses weight and increases activity can often achieve a clinically meaningful drop in blood pressure without medication, particularly in Stage 1 hypertension. Lifestyle measures remain important even once drug treatment starts, since they can reduce the number or dose of medications needed and provide broader cardiovascular and metabolic benefit beyond blood pressure alone.</w:t>
      </w:r>
    </w:p>
    <w:p w14:paraId="0929B76D" w14:textId="77777777" w:rsidR="002D727D" w:rsidRPr="00567B06" w:rsidRDefault="00242B4F" w:rsidP="000040FD">
      <w:pPr>
        <w:pStyle w:val="Heading2"/>
        <w:spacing w:line="360" w:lineRule="auto"/>
        <w:rPr>
          <w:sz w:val="22"/>
          <w:szCs w:val="22"/>
        </w:rPr>
      </w:pPr>
      <w:r w:rsidRPr="00567B06">
        <w:rPr>
          <w:sz w:val="22"/>
          <w:szCs w:val="22"/>
        </w:rPr>
        <w:t>Medication (National Institute for Health and Care Excellence NG136)</w:t>
      </w:r>
    </w:p>
    <w:p w14:paraId="206E7D7B" w14:textId="77777777" w:rsidR="002D727D" w:rsidRPr="00567B06" w:rsidRDefault="00242B4F" w:rsidP="000040FD">
      <w:pPr>
        <w:pStyle w:val="ListParagraph"/>
        <w:numPr>
          <w:ilvl w:val="0"/>
          <w:numId w:val="2"/>
        </w:numPr>
        <w:spacing w:after="80" w:line="360" w:lineRule="auto"/>
      </w:pPr>
      <w:r w:rsidRPr="00567B06">
        <w:t>Under 55 and not of Black African/Caribbean heritage → angiotensin-converting enzyme inhibitor or angiotensin receptor blocker first</w:t>
      </w:r>
    </w:p>
    <w:p w14:paraId="49D0A9F4" w14:textId="77777777" w:rsidR="002D727D" w:rsidRPr="00567B06" w:rsidRDefault="00242B4F" w:rsidP="000040FD">
      <w:pPr>
        <w:pStyle w:val="ListParagraph"/>
        <w:numPr>
          <w:ilvl w:val="0"/>
          <w:numId w:val="2"/>
        </w:numPr>
        <w:spacing w:after="80" w:line="360" w:lineRule="auto"/>
      </w:pPr>
      <w:r w:rsidRPr="00567B06">
        <w:t>55+, or of Black African/Caribbean heritage at any age → calcium channel blocker first</w:t>
      </w:r>
    </w:p>
    <w:p w14:paraId="6514E069" w14:textId="6B6573CC" w:rsidR="002D727D" w:rsidRPr="00567B06" w:rsidRDefault="00242B4F" w:rsidP="000040FD">
      <w:pPr>
        <w:pStyle w:val="ListParagraph"/>
        <w:numPr>
          <w:ilvl w:val="0"/>
          <w:numId w:val="2"/>
        </w:numPr>
        <w:spacing w:after="80" w:line="360" w:lineRule="auto"/>
      </w:pPr>
      <w:r w:rsidRPr="00567B06">
        <w:t>Step 2: add angiotensin-converting enzyme inhibitor or angiotensin receptor blocker, plus calcium channel blocker</w:t>
      </w:r>
      <w:r w:rsidR="00604F38" w:rsidRPr="00567B06">
        <w:t>.</w:t>
      </w:r>
    </w:p>
    <w:p w14:paraId="6CF21620" w14:textId="77777777" w:rsidR="002D727D" w:rsidRPr="00567B06" w:rsidRDefault="00242B4F" w:rsidP="000040FD">
      <w:pPr>
        <w:pStyle w:val="ListParagraph"/>
        <w:numPr>
          <w:ilvl w:val="0"/>
          <w:numId w:val="2"/>
        </w:numPr>
        <w:spacing w:after="80" w:line="360" w:lineRule="auto"/>
      </w:pPr>
      <w:r w:rsidRPr="00567B06">
        <w:t>Step 3: add a thiazide-like diuretic</w:t>
      </w:r>
    </w:p>
    <w:p w14:paraId="1E47BEBE" w14:textId="77777777" w:rsidR="002D727D" w:rsidRPr="00567B06" w:rsidRDefault="00242B4F" w:rsidP="000040FD">
      <w:pPr>
        <w:pStyle w:val="ListParagraph"/>
        <w:numPr>
          <w:ilvl w:val="0"/>
          <w:numId w:val="2"/>
        </w:numPr>
        <w:spacing w:after="80" w:line="360" w:lineRule="auto"/>
      </w:pPr>
      <w:r w:rsidRPr="00567B06">
        <w:t>Step 4 (resistant hypertension): add spironolactone, a beta-blocker or alpha-blocker, with specialist referral</w:t>
      </w:r>
    </w:p>
    <w:p w14:paraId="61478A59" w14:textId="0EDFD763" w:rsidR="00885895" w:rsidRPr="00567B06" w:rsidRDefault="00885895" w:rsidP="001870E0">
      <w:pPr>
        <w:spacing w:after="160" w:line="360" w:lineRule="auto"/>
      </w:pPr>
      <w:r w:rsidRPr="00567B06">
        <w:rPr>
          <w:noProof/>
        </w:rPr>
        <w:drawing>
          <wp:anchor distT="0" distB="0" distL="114300" distR="114300" simplePos="0" relativeHeight="251682817" behindDoc="0" locked="0" layoutInCell="1" allowOverlap="1" wp14:anchorId="0001FC5B" wp14:editId="263CA065">
            <wp:simplePos x="0" y="0"/>
            <wp:positionH relativeFrom="column">
              <wp:posOffset>-67310</wp:posOffset>
            </wp:positionH>
            <wp:positionV relativeFrom="paragraph">
              <wp:posOffset>972820</wp:posOffset>
            </wp:positionV>
            <wp:extent cx="2339340" cy="2294255"/>
            <wp:effectExtent l="133350" t="76200" r="80010" b="125095"/>
            <wp:wrapTopAndBottom/>
            <wp:docPr id="1746444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44603" name=""/>
                    <pic:cNvPicPr/>
                  </pic:nvPicPr>
                  <pic:blipFill>
                    <a:blip r:embed="rId15"/>
                    <a:stretch>
                      <a:fillRect/>
                    </a:stretch>
                  </pic:blipFill>
                  <pic:spPr>
                    <a:xfrm>
                      <a:off x="0" y="0"/>
                      <a:ext cx="2339340" cy="229425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1870E0" w:rsidRPr="00567B06">
        <w:rPr>
          <w:noProof/>
        </w:rPr>
        <w:drawing>
          <wp:anchor distT="0" distB="0" distL="114300" distR="114300" simplePos="0" relativeHeight="251680769" behindDoc="0" locked="0" layoutInCell="1" allowOverlap="1" wp14:anchorId="7FF9F594" wp14:editId="404E4308">
            <wp:simplePos x="0" y="0"/>
            <wp:positionH relativeFrom="column">
              <wp:posOffset>2291080</wp:posOffset>
            </wp:positionH>
            <wp:positionV relativeFrom="paragraph">
              <wp:posOffset>972820</wp:posOffset>
            </wp:positionV>
            <wp:extent cx="3992245" cy="2197735"/>
            <wp:effectExtent l="133350" t="76200" r="84455" b="126365"/>
            <wp:wrapTopAndBottom/>
            <wp:docPr id="236945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45558" name=""/>
                    <pic:cNvPicPr/>
                  </pic:nvPicPr>
                  <pic:blipFill>
                    <a:blip r:embed="rId16"/>
                    <a:stretch>
                      <a:fillRect/>
                    </a:stretch>
                  </pic:blipFill>
                  <pic:spPr>
                    <a:xfrm>
                      <a:off x="0" y="0"/>
                      <a:ext cx="3992245" cy="219773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242B4F" w:rsidRPr="00567B06">
        <w:t>Single-pill combinations are encouraged to reduce tablet burden and improve adherence. National Institute for Health and Care Excellence (2023) also stresses optimising the dose of each agent before adding another, rather than escalating prematurely, and recommends regular medication reviews to check for side effects</w:t>
      </w:r>
      <w:r w:rsidR="003B1476" w:rsidRPr="00567B06">
        <w:t>.</w:t>
      </w:r>
      <w:r w:rsidRPr="00567B06">
        <w:rPr>
          <w:noProof/>
        </w:rPr>
        <w:t xml:space="preserve"> </w:t>
      </w:r>
    </w:p>
    <w:p w14:paraId="16D07965" w14:textId="77777777" w:rsidR="003B1476" w:rsidRPr="00567B06" w:rsidRDefault="003B1476" w:rsidP="000040FD">
      <w:pPr>
        <w:pStyle w:val="Heading2"/>
        <w:spacing w:line="360" w:lineRule="auto"/>
        <w:rPr>
          <w:sz w:val="22"/>
          <w:szCs w:val="22"/>
        </w:rPr>
      </w:pPr>
    </w:p>
    <w:p w14:paraId="14AD3062" w14:textId="0C32E038" w:rsidR="002D727D" w:rsidRPr="00567B06" w:rsidRDefault="00242B4F" w:rsidP="000040FD">
      <w:pPr>
        <w:pStyle w:val="Heading2"/>
        <w:spacing w:line="360" w:lineRule="auto"/>
        <w:rPr>
          <w:sz w:val="22"/>
          <w:szCs w:val="22"/>
        </w:rPr>
      </w:pPr>
      <w:r w:rsidRPr="00567B06">
        <w:rPr>
          <w:sz w:val="22"/>
          <w:szCs w:val="22"/>
        </w:rPr>
        <w:lastRenderedPageBreak/>
        <w:t>Monitoring and review</w:t>
      </w:r>
      <w:r w:rsidR="00780B17" w:rsidRPr="00567B06">
        <w:rPr>
          <w:sz w:val="22"/>
          <w:szCs w:val="22"/>
        </w:rPr>
        <w:t xml:space="preserve"> </w:t>
      </w:r>
    </w:p>
    <w:p w14:paraId="5325D89F" w14:textId="0D66E072" w:rsidR="002D727D" w:rsidRPr="00567B06" w:rsidRDefault="00EC3D9E" w:rsidP="000040FD">
      <w:pPr>
        <w:spacing w:after="160" w:line="360" w:lineRule="auto"/>
      </w:pPr>
      <w:r w:rsidRPr="00567B06">
        <w:rPr>
          <w:noProof/>
        </w:rPr>
        <mc:AlternateContent>
          <mc:Choice Requires="wps">
            <w:drawing>
              <wp:anchor distT="45720" distB="45720" distL="114300" distR="114300" simplePos="0" relativeHeight="251661313" behindDoc="1" locked="0" layoutInCell="1" allowOverlap="1" wp14:anchorId="10AF2293" wp14:editId="6FC3D33E">
                <wp:simplePos x="0" y="0"/>
                <wp:positionH relativeFrom="column">
                  <wp:posOffset>-367665</wp:posOffset>
                </wp:positionH>
                <wp:positionV relativeFrom="paragraph">
                  <wp:posOffset>146050</wp:posOffset>
                </wp:positionV>
                <wp:extent cx="2468880" cy="1270000"/>
                <wp:effectExtent l="247650" t="266700" r="255270" b="269240"/>
                <wp:wrapTight wrapText="bothSides">
                  <wp:wrapPolygon edited="0">
                    <wp:start x="20809" y="-249"/>
                    <wp:lineTo x="10293" y="-2994"/>
                    <wp:lineTo x="9653" y="-263"/>
                    <wp:lineTo x="592" y="-2628"/>
                    <wp:lineTo x="-689" y="2833"/>
                    <wp:lineTo x="-1006" y="5648"/>
                    <wp:lineTo x="-359" y="5817"/>
                    <wp:lineTo x="-999" y="8547"/>
                    <wp:lineTo x="-352" y="8716"/>
                    <wp:lineTo x="-993" y="11447"/>
                    <wp:lineTo x="-345" y="11615"/>
                    <wp:lineTo x="-986" y="14346"/>
                    <wp:lineTo x="-339" y="14515"/>
                    <wp:lineTo x="-979" y="17245"/>
                    <wp:lineTo x="-332" y="17414"/>
                    <wp:lineTo x="-653" y="18779"/>
                    <wp:lineTo x="-326" y="20314"/>
                    <wp:lineTo x="-404" y="21380"/>
                    <wp:lineTo x="567" y="21633"/>
                    <wp:lineTo x="728" y="21675"/>
                    <wp:lineTo x="16008" y="21679"/>
                    <wp:lineTo x="21826" y="20300"/>
                    <wp:lineTo x="21942" y="47"/>
                    <wp:lineTo x="20809" y="-249"/>
                  </wp:wrapPolygon>
                </wp:wrapTight>
                <wp:docPr id="558433847" name="Text Box 1"/>
                <wp:cNvGraphicFramePr/>
                <a:graphic xmlns:a="http://schemas.openxmlformats.org/drawingml/2006/main">
                  <a:graphicData uri="http://schemas.microsoft.com/office/word/2010/wordprocessingShape">
                    <wps:wsp>
                      <wps:cNvSpPr txBox="1"/>
                      <wps:spPr>
                        <a:xfrm rot="20766039">
                          <a:off x="0" y="0"/>
                          <a:ext cx="2468880" cy="127000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6C04578" w14:textId="77777777" w:rsidR="008E3375" w:rsidRDefault="002E0ADC">
                            <w:pPr>
                              <w:rPr>
                                <w:rFonts w:eastAsia="Times New Roman"/>
                                <w:b/>
                                <w:bCs/>
                              </w:rPr>
                            </w:pPr>
                            <w:r w:rsidRPr="00493C34">
                              <w:rPr>
                                <w:rFonts w:eastAsia="Times New Roman"/>
                                <w:b/>
                                <w:bCs/>
                              </w:rPr>
                              <w:t>What’s white coat syndrome?</w:t>
                            </w:r>
                          </w:p>
                          <w:p w14:paraId="74BC5915" w14:textId="77777777" w:rsidR="00AA29C4" w:rsidRPr="00493C34" w:rsidRDefault="00AA29C4">
                            <w:pPr>
                              <w:rPr>
                                <w:rFonts w:eastAsia="Times New Roman"/>
                                <w:b/>
                                <w:bCs/>
                              </w:rPr>
                            </w:pPr>
                          </w:p>
                          <w:p w14:paraId="79B5785E" w14:textId="1851A648" w:rsidR="00780B17" w:rsidRDefault="00493C34" w:rsidP="00F72B87">
                            <w:pPr>
                              <w:spacing w:line="360" w:lineRule="auto"/>
                            </w:pPr>
                            <w:r>
                              <w:rPr>
                                <w:rFonts w:eastAsia="Times New Roman"/>
                              </w:rPr>
                              <w:t>White coat syndrome occurs when a person’s blood pressure reads higher in a clinical setting than it does at home. This is usually due to anxiety, stress or nervousness caused by being assessed by a healthcare professional.</w:t>
                            </w:r>
                            <w:r w:rsidR="002E0ADC">
                              <w:rPr>
                                <w:rFonts w:eastAsia="Times New Roman"/>
                              </w:rPr>
                              <w:t xml:space="preserve"> </w:t>
                            </w:r>
                            <w:r w:rsidR="002E0ADC">
                              <w:rPr>
                                <w:rFonts w:eastAsia="Times New Roman"/>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0AF2293" id="_x0000_s1031" type="#_x0000_t202" style="position:absolute;margin-left:-28.95pt;margin-top:11.5pt;width:194.4pt;height:100pt;rotation:-910908fd;z-index:-2516551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" fillcolor="#aa4612 [2149]" stroked="f">
                <v:fill color2="#f1a983 [1941]" rotate="t" angle="180" colors="0 #ab4712;31457f #ea7538;1 #f2aa84" focus="100%" type="gradient"/>
                <v:textbox style="mso-fit-shape-to-text:t">
                  <w:txbxContent>
                    <w:p w14:paraId="56C04578" w14:textId="77777777" w:rsidR="008E3375" w:rsidRDefault="002E0ADC">
                      <w:pPr>
                        <w:rPr>
                          <w:rFonts w:eastAsia="Times New Roman"/>
                          <w:b/>
                          <w:bCs/>
                        </w:rPr>
                      </w:pPr>
                      <w:r w:rsidRPr="00493C34">
                        <w:rPr>
                          <w:rFonts w:eastAsia="Times New Roman"/>
                          <w:b/>
                          <w:bCs/>
                        </w:rPr>
                        <w:t>What’s white coat syndrome?</w:t>
                      </w:r>
                    </w:p>
                    <w:p w14:paraId="74BC5915" w14:textId="77777777" w:rsidR="00AA29C4" w:rsidRPr="00493C34" w:rsidRDefault="00AA29C4">
                      <w:pPr>
                        <w:rPr>
                          <w:rFonts w:eastAsia="Times New Roman"/>
                          <w:b/>
                          <w:bCs/>
                        </w:rPr>
                      </w:pPr>
                    </w:p>
                    <w:p w14:paraId="79B5785E" w14:textId="1851A648" w:rsidR="00780B17" w:rsidRDefault="00493C34" w:rsidP="00F72B87">
                      <w:pPr>
                        <w:spacing w:line="360" w:lineRule="auto"/>
                      </w:pPr>
                      <w:r>
                        <w:rPr>
                          <w:rFonts w:eastAsia="Times New Roman"/>
                        </w:rPr>
                        <w:t>White coat syndrome occurs when a person’s blood pressure reads higher in a clinical setting than it does at home. This is usually due to anxiety, stress or nervousness caused by being assessed by a healthcare professional.</w:t>
                      </w:r>
                      <w:r w:rsidR="002E0ADC">
                        <w:rPr>
                          <w:rFonts w:eastAsia="Times New Roman"/>
                        </w:rPr>
                        <w:t xml:space="preserve"> </w:t>
                      </w:r>
                      <w:r w:rsidR="002E0ADC">
                        <w:rPr>
                          <w:rFonts w:eastAsia="Times New Roman"/>
                        </w:rPr>
                        <w:br/>
                      </w:r>
                    </w:p>
                  </w:txbxContent>
                </v:textbox>
                <w10:wrap type="tight"/>
              </v:shape>
            </w:pict>
          </mc:Fallback>
        </mc:AlternateContent>
      </w:r>
      <w:r w:rsidR="00242B4F" w:rsidRPr="00567B06">
        <w:t xml:space="preserve">Ambulatory blood pressure monitoring or home blood pressure monitoring confirms diagnosis and avoids the </w:t>
      </w:r>
      <w:r w:rsidR="00242B4F" w:rsidRPr="00567B06">
        <w:rPr>
          <w:b/>
          <w:bCs/>
        </w:rPr>
        <w:t xml:space="preserve">white-coat </w:t>
      </w:r>
      <w:r w:rsidR="00242B4F" w:rsidRPr="00567B06">
        <w:t>effect; validated upper-arm monitors should be recommended (British and Irish Hypertension Society, 2024). Every patient should have an annual review: blood pressure check, adherence and side-effect review, lifestyle review, QRISK3 calculation, and a check on wellbeing and end-organ damage. Quality and Outcomes Framework indicators provide a financial incentive for practices to achieve blood pressure control targets, though critics note these population-level targets may not always suit individual patients, particularly older or frailer people for whom tight control carries more risk than benefit (Doran et al., 2006).</w:t>
      </w:r>
    </w:p>
    <w:p w14:paraId="6DF42E5D" w14:textId="22A480F9" w:rsidR="002D727D" w:rsidRPr="00567B06" w:rsidRDefault="00242B4F" w:rsidP="000040FD">
      <w:pPr>
        <w:pStyle w:val="Heading2"/>
        <w:spacing w:line="360" w:lineRule="auto"/>
        <w:rPr>
          <w:sz w:val="22"/>
          <w:szCs w:val="22"/>
        </w:rPr>
      </w:pPr>
      <w:r w:rsidRPr="00567B06">
        <w:rPr>
          <w:sz w:val="22"/>
          <w:szCs w:val="22"/>
        </w:rPr>
        <w:t>Reducing overall cardiovascular risk</w:t>
      </w:r>
    </w:p>
    <w:p w14:paraId="4BA3A77C" w14:textId="6CC4EF17" w:rsidR="002D727D" w:rsidRPr="00567B06" w:rsidRDefault="00242B4F" w:rsidP="000040FD">
      <w:pPr>
        <w:spacing w:after="160" w:line="360" w:lineRule="auto"/>
      </w:pPr>
      <w:r w:rsidRPr="00567B06">
        <w:t>Statins typically atorvastatin 20mg are offered where 10-year cardiovascular disease risk is 10% or above. Routine antiplatelet therapy is not used for primary prevention, but is indicated after a cardiovascular disease event. Smoking cessation and diabetes management remain key parts of overall risk reduction. Taken together, these measures reflect a shift in modern guidance away from treating blood pressure as an isolated number, toward managing the whole cardiovascular risk profile of the individual in front of you.</w:t>
      </w:r>
    </w:p>
    <w:p w14:paraId="605D2A12" w14:textId="4289FC64" w:rsidR="002D727D" w:rsidRPr="00567B06" w:rsidRDefault="00242B4F" w:rsidP="000040FD">
      <w:pPr>
        <w:pStyle w:val="Heading1"/>
        <w:spacing w:line="360" w:lineRule="auto"/>
        <w:rPr>
          <w:sz w:val="22"/>
          <w:szCs w:val="22"/>
        </w:rPr>
      </w:pPr>
      <w:r w:rsidRPr="00567B06">
        <w:rPr>
          <w:sz w:val="22"/>
          <w:szCs w:val="22"/>
        </w:rPr>
        <w:t xml:space="preserve">Section 4 </w:t>
      </w:r>
      <w:r w:rsidR="003816B8" w:rsidRPr="00567B06">
        <w:rPr>
          <w:sz w:val="22"/>
          <w:szCs w:val="22"/>
        </w:rPr>
        <w:t>:</w:t>
      </w:r>
      <w:r w:rsidRPr="00567B06">
        <w:rPr>
          <w:sz w:val="22"/>
          <w:szCs w:val="22"/>
        </w:rPr>
        <w:t xml:space="preserve"> Models and Frameworks for Better Outcomes</w:t>
      </w:r>
    </w:p>
    <w:p w14:paraId="7123CF33" w14:textId="3E604911" w:rsidR="002D727D" w:rsidRPr="00567B06" w:rsidRDefault="00E028CD" w:rsidP="000040FD">
      <w:pPr>
        <w:pStyle w:val="Heading2"/>
        <w:spacing w:line="360" w:lineRule="auto"/>
        <w:rPr>
          <w:sz w:val="22"/>
          <w:szCs w:val="22"/>
        </w:rPr>
      </w:pPr>
      <w:r w:rsidRPr="00567B06">
        <w:rPr>
          <w:noProof/>
          <w:sz w:val="22"/>
          <w:szCs w:val="22"/>
        </w:rPr>
        <w:drawing>
          <wp:anchor distT="0" distB="0" distL="114300" distR="114300" simplePos="0" relativeHeight="251672577" behindDoc="1" locked="0" layoutInCell="1" allowOverlap="1" wp14:anchorId="0FEB9FB6" wp14:editId="0F6DE4D8">
            <wp:simplePos x="0" y="0"/>
            <wp:positionH relativeFrom="column">
              <wp:posOffset>-236220</wp:posOffset>
            </wp:positionH>
            <wp:positionV relativeFrom="paragraph">
              <wp:posOffset>387985</wp:posOffset>
            </wp:positionV>
            <wp:extent cx="1938020" cy="1575435"/>
            <wp:effectExtent l="0" t="0" r="5080" b="5715"/>
            <wp:wrapTight wrapText="bothSides">
              <wp:wrapPolygon edited="0">
                <wp:start x="0" y="0"/>
                <wp:lineTo x="0" y="21417"/>
                <wp:lineTo x="21444" y="21417"/>
                <wp:lineTo x="21444" y="0"/>
                <wp:lineTo x="0" y="0"/>
              </wp:wrapPolygon>
            </wp:wrapTight>
            <wp:docPr id="7686928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92806" name="Picture 76869280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38020" cy="1575435"/>
                    </a:xfrm>
                    <a:prstGeom prst="rect">
                      <a:avLst/>
                    </a:prstGeom>
                  </pic:spPr>
                </pic:pic>
              </a:graphicData>
            </a:graphic>
            <wp14:sizeRelH relativeFrom="page">
              <wp14:pctWidth>0</wp14:pctWidth>
            </wp14:sizeRelH>
            <wp14:sizeRelV relativeFrom="page">
              <wp14:pctHeight>0</wp14:pctHeight>
            </wp14:sizeRelV>
          </wp:anchor>
        </w:drawing>
      </w:r>
      <w:r w:rsidR="00242B4F" w:rsidRPr="00567B06">
        <w:rPr>
          <w:sz w:val="22"/>
          <w:szCs w:val="22"/>
        </w:rPr>
        <w:t>House of Care (United Kingdom)</w:t>
      </w:r>
    </w:p>
    <w:p w14:paraId="05D0CF7E" w14:textId="2BEDE6E4" w:rsidR="002D727D" w:rsidRPr="00567B06" w:rsidRDefault="00E028CD" w:rsidP="000040FD">
      <w:pPr>
        <w:spacing w:after="160" w:line="360" w:lineRule="auto"/>
      </w:pPr>
      <w:r w:rsidRPr="00567B06">
        <w:rPr>
          <w:noProof/>
        </w:rPr>
        <mc:AlternateContent>
          <mc:Choice Requires="wps">
            <w:drawing>
              <wp:anchor distT="45720" distB="45720" distL="114300" distR="114300" simplePos="0" relativeHeight="251672064" behindDoc="0" locked="0" layoutInCell="1" allowOverlap="1" wp14:anchorId="012D50EF" wp14:editId="478E15D7">
                <wp:simplePos x="0" y="0"/>
                <wp:positionH relativeFrom="column">
                  <wp:posOffset>-106045</wp:posOffset>
                </wp:positionH>
                <wp:positionV relativeFrom="paragraph">
                  <wp:posOffset>1614170</wp:posOffset>
                </wp:positionV>
                <wp:extent cx="1809750" cy="1270000"/>
                <wp:effectExtent l="0" t="0" r="19050" b="11430"/>
                <wp:wrapSquare wrapText="bothSides"/>
                <wp:docPr id="704448584" name="Text Box 4"/>
                <wp:cNvGraphicFramePr/>
                <a:graphic xmlns:a="http://schemas.openxmlformats.org/drawingml/2006/main">
                  <a:graphicData uri="http://schemas.microsoft.com/office/word/2010/wordprocessingShape">
                    <wps:wsp>
                      <wps:cNvSpPr txBox="1"/>
                      <wps:spPr>
                        <a:xfrm>
                          <a:off x="0" y="0"/>
                          <a:ext cx="1809750" cy="1270000"/>
                        </a:xfrm>
                        <a:prstGeom prst="rect">
                          <a:avLst/>
                        </a:prstGeom>
                        <a:solidFill>
                          <a:prstClr val="white"/>
                        </a:solidFill>
                        <a:ln w="6350">
                          <a:solidFill>
                            <a:prstClr val="black"/>
                          </a:solidFill>
                        </a:ln>
                      </wps:spPr>
                      <wps:txbx>
                        <w:txbxContent>
                          <w:p w14:paraId="3539642A" w14:textId="13E57067" w:rsidR="0053600E" w:rsidRPr="0053600E" w:rsidRDefault="0053600E">
                            <w:pPr>
                              <w:rPr>
                                <w:sz w:val="16"/>
                                <w:szCs w:val="16"/>
                              </w:rPr>
                            </w:pPr>
                            <w:r w:rsidRPr="0053600E">
                              <w:rPr>
                                <w:rFonts w:eastAsia="Times New Roman"/>
                                <w:sz w:val="16"/>
                                <w:szCs w:val="16"/>
                              </w:rPr>
                              <w:t>Principles of person-centred care (British Heart Foundation,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12D50EF" id="Text Box 4" o:spid="_x0000_s1032" type="#_x0000_t202" style="position:absolute;margin-left:-8.35pt;margin-top:127.1pt;width:142.5pt;height:100pt;z-index:251672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" strokeweight=".5pt">
                <v:textbox style="mso-fit-shape-to-text:t">
                  <w:txbxContent>
                    <w:p w14:paraId="3539642A" w14:textId="13E57067" w:rsidR="0053600E" w:rsidRPr="0053600E" w:rsidRDefault="0053600E">
                      <w:pPr>
                        <w:rPr>
                          <w:sz w:val="16"/>
                          <w:szCs w:val="16"/>
                        </w:rPr>
                      </w:pPr>
                      <w:r w:rsidRPr="0053600E">
                        <w:rPr>
                          <w:rFonts w:eastAsia="Times New Roman"/>
                          <w:sz w:val="16"/>
                          <w:szCs w:val="16"/>
                        </w:rPr>
                        <w:t>Principles of person-centred care (British Heart Foundation, n.d.).</w:t>
                      </w:r>
                    </w:p>
                  </w:txbxContent>
                </v:textbox>
                <w10:wrap type="square"/>
              </v:shape>
            </w:pict>
          </mc:Fallback>
        </mc:AlternateContent>
      </w:r>
      <w:r w:rsidR="00242B4F" w:rsidRPr="00567B06">
        <w:t xml:space="preserve">Developed by the Year of Care Partnerships and used across National Health Service England, the House of Care pictures good long-term condition management as a house: the foundations are commissioning and infrastructure; one wall is the informed, activated patient; the other wall is the prepared, proactive professional; the roof is collaborative care planning that ties them together. Applied to hypertension, it shifts the annual review away from a pure “treat to target” </w:t>
      </w:r>
      <w:r w:rsidR="00DC6701" w:rsidRPr="00567B06">
        <w:t>mind set</w:t>
      </w:r>
      <w:r w:rsidR="00242B4F" w:rsidRPr="00567B06">
        <w:t xml:space="preserve"> toward a genuine conversation about the patient's concerns, preferences and goals.</w:t>
      </w:r>
    </w:p>
    <w:p w14:paraId="36B4C0E8" w14:textId="78540B1E" w:rsidR="002D727D" w:rsidRPr="00567B06" w:rsidRDefault="00242B4F" w:rsidP="000040FD">
      <w:pPr>
        <w:spacing w:after="160" w:line="360" w:lineRule="auto"/>
      </w:pPr>
      <w:r w:rsidRPr="00567B06">
        <w:lastRenderedPageBreak/>
        <w:t>Activated patients achieve better blood pressure control (Hibbard and Greene, 2013) — but this requires organisational support: protected time, training in shared decision-making, and good information technology systems. Without these foundations, the aspiration of an activated patient meeting a proactive professional in a meaningful care planning conversation remains difficult to realise within the time pressures of routine National Health Service primary care, which is why the model places as much emphasis on system-level enablement as on individual consultation skills.</w:t>
      </w:r>
    </w:p>
    <w:p w14:paraId="4F595D98" w14:textId="67A409E5" w:rsidR="002D727D" w:rsidRPr="00567B06" w:rsidRDefault="008724FE" w:rsidP="000040FD">
      <w:pPr>
        <w:pStyle w:val="Heading2"/>
        <w:spacing w:line="360" w:lineRule="auto"/>
        <w:rPr>
          <w:sz w:val="22"/>
          <w:szCs w:val="22"/>
        </w:rPr>
      </w:pPr>
      <w:r w:rsidRPr="00567B06">
        <w:rPr>
          <w:noProof/>
          <w:sz w:val="22"/>
          <w:szCs w:val="22"/>
        </w:rPr>
        <w:drawing>
          <wp:anchor distT="0" distB="0" distL="114300" distR="114300" simplePos="0" relativeHeight="251673601" behindDoc="0" locked="0" layoutInCell="1" allowOverlap="1" wp14:anchorId="1B1C74D4" wp14:editId="459F6837">
            <wp:simplePos x="0" y="0"/>
            <wp:positionH relativeFrom="column">
              <wp:posOffset>-3175</wp:posOffset>
            </wp:positionH>
            <wp:positionV relativeFrom="paragraph">
              <wp:posOffset>377825</wp:posOffset>
            </wp:positionV>
            <wp:extent cx="6172200" cy="3196590"/>
            <wp:effectExtent l="0" t="0" r="0" b="3810"/>
            <wp:wrapTopAndBottom/>
            <wp:docPr id="1439029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29719" name="Picture 14390297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72200" cy="3196590"/>
                    </a:xfrm>
                    <a:prstGeom prst="rect">
                      <a:avLst/>
                    </a:prstGeom>
                  </pic:spPr>
                </pic:pic>
              </a:graphicData>
            </a:graphic>
            <wp14:sizeRelV relativeFrom="margin">
              <wp14:pctHeight>0</wp14:pctHeight>
            </wp14:sizeRelV>
          </wp:anchor>
        </w:drawing>
      </w:r>
      <w:r w:rsidR="00242B4F" w:rsidRPr="00567B06">
        <w:rPr>
          <w:sz w:val="22"/>
          <w:szCs w:val="22"/>
        </w:rPr>
        <w:t>Chronic Care Model (international)</w:t>
      </w:r>
    </w:p>
    <w:p w14:paraId="26EBFD5C" w14:textId="12F6A6C9" w:rsidR="000E0EEC" w:rsidRPr="00567B06" w:rsidRDefault="00315D30" w:rsidP="000040FD">
      <w:pPr>
        <w:spacing w:after="160" w:line="360" w:lineRule="auto"/>
      </w:pPr>
      <w:r w:rsidRPr="00567B06">
        <w:t>(</w:t>
      </w:r>
      <w:r w:rsidRPr="00567B06">
        <w:rPr>
          <w:rFonts w:eastAsia="Times New Roman"/>
        </w:rPr>
        <w:t>Adapted from Barr et al. (2003).</w:t>
      </w:r>
    </w:p>
    <w:p w14:paraId="32687DD7" w14:textId="337B9410" w:rsidR="002D727D" w:rsidRPr="00567B06" w:rsidRDefault="00242B4F" w:rsidP="000040FD">
      <w:pPr>
        <w:spacing w:after="160" w:line="360" w:lineRule="auto"/>
      </w:pPr>
      <w:r w:rsidRPr="00567B06">
        <w:t>Wagner's Chronic Care Model identifies six components: health system culture, self-management support, care delivery design, decision support, clinical information systems, and community resources. For hypertension, electronic blood pressure registers, recall systems and dashboards are linked to better blood pressure control (Bray et al., 20</w:t>
      </w:r>
      <w:r w:rsidR="00983642" w:rsidRPr="00567B06">
        <w:t>10</w:t>
      </w:r>
      <w:r w:rsidRPr="00567B06">
        <w:t>)</w:t>
      </w:r>
      <w:r w:rsidR="00983642" w:rsidRPr="00567B06">
        <w:t>,</w:t>
      </w:r>
      <w:r w:rsidRPr="00567B06">
        <w:t xml:space="preserve"> structured education and peer support improve adherence (Bosworth et al., 2011); and social prescribing connects patients to community activity and diet programmes, particularly valuable in deprived areas.</w:t>
      </w:r>
    </w:p>
    <w:p w14:paraId="6DB070FA" w14:textId="575B7D2F" w:rsidR="002D727D" w:rsidRPr="00567B06" w:rsidRDefault="00242B4F" w:rsidP="000040FD">
      <w:pPr>
        <w:spacing w:after="160" w:line="360" w:lineRule="auto"/>
      </w:pPr>
      <w:r w:rsidRPr="00567B06">
        <w:t>The model's emphasis on decision support is also directly relevant to United Kingdom practice: integrated QRISK3 calculators, automated alerts for overdue reviews, and embedded prescribing guidance within general practitioner clinical systems are all practical, Chronic Care Model-informed applications already in everyday use. Because the model originated in United States managed-care, it needs thoughtful adaptation to National Health Service funding and commissioning structures (Bodenheimer et al., 2002)</w:t>
      </w:r>
      <w:r w:rsidR="006B6D62" w:rsidRPr="00567B06">
        <w:t>.</w:t>
      </w:r>
    </w:p>
    <w:p w14:paraId="24EB18CA" w14:textId="7F82D3A3" w:rsidR="002D727D" w:rsidRPr="00567B06" w:rsidRDefault="00242B4F" w:rsidP="000040FD">
      <w:pPr>
        <w:pStyle w:val="Heading1"/>
        <w:spacing w:line="360" w:lineRule="auto"/>
        <w:rPr>
          <w:sz w:val="22"/>
          <w:szCs w:val="22"/>
        </w:rPr>
      </w:pPr>
      <w:r w:rsidRPr="00567B06">
        <w:rPr>
          <w:sz w:val="22"/>
          <w:szCs w:val="22"/>
        </w:rPr>
        <w:lastRenderedPageBreak/>
        <w:t xml:space="preserve">Section 5 </w:t>
      </w:r>
      <w:r w:rsidR="003816B8" w:rsidRPr="00567B06">
        <w:rPr>
          <w:sz w:val="22"/>
          <w:szCs w:val="22"/>
        </w:rPr>
        <w:t>:</w:t>
      </w:r>
      <w:r w:rsidRPr="00567B06">
        <w:rPr>
          <w:sz w:val="22"/>
          <w:szCs w:val="22"/>
        </w:rPr>
        <w:t xml:space="preserve"> Policy Context</w:t>
      </w:r>
    </w:p>
    <w:p w14:paraId="6A22BB7F" w14:textId="77777777" w:rsidR="002D727D" w:rsidRPr="00567B06" w:rsidRDefault="00242B4F" w:rsidP="000040FD">
      <w:pPr>
        <w:pStyle w:val="Heading2"/>
        <w:spacing w:line="360" w:lineRule="auto"/>
        <w:rPr>
          <w:sz w:val="22"/>
          <w:szCs w:val="22"/>
        </w:rPr>
      </w:pPr>
      <w:r w:rsidRPr="00567B06">
        <w:rPr>
          <w:sz w:val="22"/>
          <w:szCs w:val="22"/>
        </w:rPr>
        <w:t>England</w:t>
      </w:r>
    </w:p>
    <w:p w14:paraId="517FE73B" w14:textId="77777777" w:rsidR="002D727D" w:rsidRPr="00567B06" w:rsidRDefault="00242B4F" w:rsidP="000040FD">
      <w:pPr>
        <w:spacing w:after="160" w:line="360" w:lineRule="auto"/>
      </w:pPr>
      <w:r w:rsidRPr="00567B06">
        <w:t>The National Health Service Long Term Plan (2019) committed to finding and treating 2.5 million more people with high blood pressure, expanding opportunistic testing through pharmacies and community settings, particularly in underserved communities. National Health Service England estimated this could prevent 14,000 heart attacks and 21,000 strokes. The Health Inequalities Improvement Programme specifically targets the ethnic and socio-economic gaps in detection and control, funding targeted outreach, culturally appropriate health promotion and workforce diversity initiatives so that services better reach the communities most affected (Bhopal, 2014).</w:t>
      </w:r>
    </w:p>
    <w:p w14:paraId="32D69215" w14:textId="77777777" w:rsidR="002D727D" w:rsidRPr="00567B06" w:rsidRDefault="00242B4F" w:rsidP="000040FD">
      <w:pPr>
        <w:pStyle w:val="Heading2"/>
        <w:spacing w:line="360" w:lineRule="auto"/>
        <w:rPr>
          <w:sz w:val="22"/>
          <w:szCs w:val="22"/>
        </w:rPr>
      </w:pPr>
      <w:r w:rsidRPr="00567B06">
        <w:rPr>
          <w:sz w:val="22"/>
          <w:szCs w:val="22"/>
        </w:rPr>
        <w:t>Wales</w:t>
      </w:r>
    </w:p>
    <w:p w14:paraId="6CAF0CB0" w14:textId="77777777" w:rsidR="002D727D" w:rsidRPr="00567B06" w:rsidRDefault="00242B4F" w:rsidP="000040FD">
      <w:pPr>
        <w:spacing w:after="160" w:line="360" w:lineRule="auto"/>
      </w:pPr>
      <w:r w:rsidRPr="00567B06">
        <w:t>Together for Health: A Heart Disease Delivery Plan (Welsh Government, 2021) sets national standards for blood pressure detection and control, expands community testing, and aims to reduce variation in prescribing. The All Wales Medicines Strategy Group provides prescribing guidance aligned with National Institute for Health and Care Excellence but adapted for the Welsh context. The Well-being of Future Generations (Wales) Act 2015 requires a preventive, joined-up approach to population health, supporting upstream work on obesity, inactivity, diet and tobacco, and mandating collaboration between health boards, local authorities, Public Health Wales and the voluntary sector.</w:t>
      </w:r>
    </w:p>
    <w:p w14:paraId="1286ACB5" w14:textId="77777777" w:rsidR="002D727D" w:rsidRPr="00567B06" w:rsidRDefault="00242B4F" w:rsidP="000040FD">
      <w:pPr>
        <w:pStyle w:val="Heading2"/>
        <w:spacing w:line="360" w:lineRule="auto"/>
        <w:rPr>
          <w:sz w:val="22"/>
          <w:szCs w:val="22"/>
        </w:rPr>
      </w:pPr>
      <w:r w:rsidRPr="00567B06">
        <w:rPr>
          <w:sz w:val="22"/>
          <w:szCs w:val="22"/>
        </w:rPr>
        <w:t>National Institute for Health and Care Excellence guidance</w:t>
      </w:r>
    </w:p>
    <w:p w14:paraId="539C5D77" w14:textId="77777777" w:rsidR="002D727D" w:rsidRPr="00567B06" w:rsidRDefault="00242B4F" w:rsidP="000040FD">
      <w:pPr>
        <w:spacing w:after="160" w:line="360" w:lineRule="auto"/>
      </w:pPr>
      <w:r w:rsidRPr="00567B06">
        <w:t>The updated NG136 (2023) strengthened recommendations on ambulatory or home blood pressure monitoring for diagnosis, updated drug pathways to reflect newer evidence, and emphasised shared decision-making. Quality Standard QS28 sets measurable indicators for local services, giving commissioners a benchmark against which to assess and improve hypertension care in their area.</w:t>
      </w:r>
    </w:p>
    <w:p w14:paraId="30BA8389" w14:textId="77777777" w:rsidR="002D727D" w:rsidRPr="00567B06" w:rsidRDefault="00242B4F" w:rsidP="000040FD">
      <w:pPr>
        <w:pStyle w:val="Heading2"/>
        <w:spacing w:line="360" w:lineRule="auto"/>
        <w:rPr>
          <w:sz w:val="22"/>
          <w:szCs w:val="22"/>
        </w:rPr>
      </w:pPr>
      <w:r w:rsidRPr="00567B06">
        <w:rPr>
          <w:sz w:val="22"/>
          <w:szCs w:val="22"/>
        </w:rPr>
        <w:t>Critical evaluation</w:t>
      </w:r>
    </w:p>
    <w:p w14:paraId="7E54E86C" w14:textId="373D379F" w:rsidR="002D727D" w:rsidRPr="00567B06" w:rsidRDefault="00242B4F" w:rsidP="000040FD">
      <w:pPr>
        <w:spacing w:after="160" w:line="360" w:lineRule="auto"/>
      </w:pPr>
      <w:r w:rsidRPr="00567B06">
        <w:t xml:space="preserve">Targets remain hard to meet  National Institute for Health and Care Excellence estimates fewer than 60% of treated patients reach 140/90 mmHg, and access to ambulatory blood pressure monitoring and structured lifestyle programmes is patchy and unequal (Sinnott et al., 2013). COVID-19 caused a major disruption: about 2.1 million fewer people had a blood pressure reading recorded in 2020 than 2019 (British Heart Foundation, 2021), creating a backlog of undetected and uncontrolled hypertension that primary care services are still working through. The shift to remote consultation makes accurate measurement harder, increasing reliance on home monitoring and </w:t>
      </w:r>
      <w:r w:rsidRPr="00567B06">
        <w:lastRenderedPageBreak/>
        <w:t>clear patient guidance on technique (Greenhalgh et al., 2020). Professionals have a role in advocating for the resources and organisational conditions needed to close these gaps, rather than treating policy ambitions as separate from day-to-day clinical practice.</w:t>
      </w:r>
    </w:p>
    <w:p w14:paraId="1A656648" w14:textId="68D963C8" w:rsidR="002D727D" w:rsidRPr="00567B06" w:rsidRDefault="00242B4F" w:rsidP="000040FD">
      <w:pPr>
        <w:pStyle w:val="Heading1"/>
        <w:spacing w:line="360" w:lineRule="auto"/>
        <w:rPr>
          <w:sz w:val="22"/>
          <w:szCs w:val="22"/>
        </w:rPr>
      </w:pPr>
      <w:r w:rsidRPr="00567B06">
        <w:rPr>
          <w:sz w:val="22"/>
          <w:szCs w:val="22"/>
        </w:rPr>
        <w:t xml:space="preserve">Section 6 </w:t>
      </w:r>
      <w:r w:rsidR="00707711" w:rsidRPr="00567B06">
        <w:rPr>
          <w:sz w:val="22"/>
          <w:szCs w:val="22"/>
        </w:rPr>
        <w:t>:</w:t>
      </w:r>
      <w:r w:rsidRPr="00567B06">
        <w:rPr>
          <w:sz w:val="22"/>
          <w:szCs w:val="22"/>
        </w:rPr>
        <w:t xml:space="preserve"> Person-Centred Care, Self-Management and End-of-Life Care</w:t>
      </w:r>
    </w:p>
    <w:p w14:paraId="3F1192FA" w14:textId="77777777" w:rsidR="002D727D" w:rsidRPr="00567B06" w:rsidRDefault="00242B4F" w:rsidP="000040FD">
      <w:pPr>
        <w:pStyle w:val="Heading2"/>
        <w:spacing w:line="360" w:lineRule="auto"/>
        <w:rPr>
          <w:sz w:val="22"/>
          <w:szCs w:val="22"/>
        </w:rPr>
      </w:pPr>
      <w:r w:rsidRPr="00567B06">
        <w:rPr>
          <w:sz w:val="22"/>
          <w:szCs w:val="22"/>
        </w:rPr>
        <w:t>Person-centred care and shared decision-making</w:t>
      </w:r>
    </w:p>
    <w:p w14:paraId="20404ADA" w14:textId="55A68619" w:rsidR="002D727D" w:rsidRPr="00567B06" w:rsidRDefault="001E69C1" w:rsidP="000040FD">
      <w:pPr>
        <w:spacing w:after="160" w:line="360" w:lineRule="auto"/>
      </w:pPr>
      <w:r w:rsidRPr="00567B06">
        <w:t xml:space="preserve">Hypertension </w:t>
      </w:r>
      <w:r w:rsidR="00242B4F" w:rsidRPr="00567B06">
        <w:t>is symptomless, patients who feel well may not see the urgency of treatment  making person-centred conversations essential (Vrijens et al., 2017). National Institute for Health and Care Excellence (2021) recommends shared decision-making for choice of medication, blood pressure targets and lifestyle priorities, incorporating the patient's own values. Tools like heart-age calculators and visual risk graphics can help patients understand personal risk in concrete, relatable terms rather than abstract numbers, supporting more meaningful conversations about the benefits and trade-offs of treatment (Usherwood, 2022).</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2D727D" w:rsidRPr="00567B06" w14:paraId="5718DA34" w14:textId="77777777">
        <w:tc>
          <w:tcPr>
            <w:tcW w:w="9360" w:type="dxa"/>
            <w:tcBorders>
              <w:top w:val="single" w:sz="4" w:space="0" w:color="B3261E"/>
              <w:left w:val="single" w:sz="4" w:space="0" w:color="B3261E"/>
              <w:bottom w:val="single" w:sz="4" w:space="0" w:color="B3261E"/>
              <w:right w:val="single" w:sz="4" w:space="0" w:color="B3261E"/>
            </w:tcBorders>
            <w:shd w:val="clear" w:color="auto" w:fill="FBE9E7"/>
            <w:tcMar>
              <w:top w:w="160" w:type="dxa"/>
              <w:left w:w="200" w:type="dxa"/>
              <w:bottom w:w="160" w:type="dxa"/>
              <w:right w:w="200" w:type="dxa"/>
            </w:tcMar>
          </w:tcPr>
          <w:p w14:paraId="5D84525A" w14:textId="77777777" w:rsidR="002D727D" w:rsidRPr="00567B06" w:rsidRDefault="00242B4F" w:rsidP="000040FD">
            <w:pPr>
              <w:spacing w:after="100" w:line="360" w:lineRule="auto"/>
            </w:pPr>
            <w:r w:rsidRPr="00567B06">
              <w:rPr>
                <w:b/>
                <w:bCs/>
                <w:color w:val="B3261E"/>
              </w:rPr>
              <w:t>Motivational interviewing</w:t>
            </w:r>
          </w:p>
          <w:p w14:paraId="385839A3" w14:textId="77777777" w:rsidR="002D727D" w:rsidRPr="00567B06" w:rsidRDefault="00242B4F" w:rsidP="000040FD">
            <w:pPr>
              <w:pStyle w:val="ListParagraph"/>
              <w:numPr>
                <w:ilvl w:val="0"/>
                <w:numId w:val="2"/>
              </w:numPr>
              <w:spacing w:after="40" w:line="360" w:lineRule="auto"/>
            </w:pPr>
            <w:r w:rsidRPr="00567B06">
              <w:t>Described as “a collaborative conversation style for strengthening a person's own motivation and commitment to change” (Miller and Rollnick, 2013).</w:t>
            </w:r>
          </w:p>
          <w:p w14:paraId="2BA7EE1E" w14:textId="2BF0397C" w:rsidR="002D727D" w:rsidRPr="00567B06" w:rsidRDefault="00242B4F" w:rsidP="000040FD">
            <w:pPr>
              <w:pStyle w:val="ListParagraph"/>
              <w:numPr>
                <w:ilvl w:val="0"/>
                <w:numId w:val="2"/>
              </w:numPr>
              <w:spacing w:after="40" w:line="360" w:lineRule="auto"/>
            </w:pPr>
            <w:r w:rsidRPr="00567B06">
              <w:t>Evidenced to improve adherence to medication, diet, activity and weight goals (Rubak et al., 2005)  a core skill for primary care staff.</w:t>
            </w:r>
          </w:p>
          <w:p w14:paraId="6466CECF" w14:textId="77777777" w:rsidR="002D727D" w:rsidRPr="00567B06" w:rsidRDefault="00242B4F" w:rsidP="000040FD">
            <w:pPr>
              <w:pStyle w:val="ListParagraph"/>
              <w:numPr>
                <w:ilvl w:val="0"/>
                <w:numId w:val="2"/>
              </w:numPr>
              <w:spacing w:after="40" w:line="360" w:lineRule="auto"/>
            </w:pPr>
            <w:r w:rsidRPr="00567B06">
              <w:t>Should form part of ongoing professional development for nurses and general practitioners managing hypertension, given the centrality of sustained behaviour change to good outcomes.</w:t>
            </w:r>
          </w:p>
        </w:tc>
      </w:tr>
    </w:tbl>
    <w:p w14:paraId="6F77D228" w14:textId="77777777" w:rsidR="002D727D" w:rsidRPr="00567B06" w:rsidRDefault="00242B4F" w:rsidP="000040FD">
      <w:pPr>
        <w:pStyle w:val="Heading2"/>
        <w:spacing w:line="360" w:lineRule="auto"/>
        <w:rPr>
          <w:sz w:val="22"/>
          <w:szCs w:val="22"/>
        </w:rPr>
      </w:pPr>
      <w:r w:rsidRPr="00567B06">
        <w:rPr>
          <w:sz w:val="22"/>
          <w:szCs w:val="22"/>
        </w:rPr>
        <w:t>Self-management support</w:t>
      </w:r>
    </w:p>
    <w:p w14:paraId="62C63D7E" w14:textId="43A9AC67" w:rsidR="002D727D" w:rsidRPr="00567B06" w:rsidRDefault="00242B4F" w:rsidP="000040FD">
      <w:pPr>
        <w:spacing w:after="160" w:line="360" w:lineRule="auto"/>
      </w:pPr>
      <w:r w:rsidRPr="00567B06">
        <w:t>Self-management means supporting patients to manage their own medication, monitoring, diet, activity, alcohol and stress (Lorig and Holman, 2003). Home blood pressure monitoring improves control, engagement and early detection of problems (Tucker et al., 2017) patients need guidance on validated devices, correct technique and when to seek help, since incorrect cuff size or posture can produce misleadingly high or low readings.</w:t>
      </w:r>
    </w:p>
    <w:p w14:paraId="6A31F971" w14:textId="77777777" w:rsidR="002D727D" w:rsidRPr="00567B06" w:rsidRDefault="00242B4F" w:rsidP="000040FD">
      <w:pPr>
        <w:spacing w:after="160" w:line="360" w:lineRule="auto"/>
      </w:pPr>
      <w:r w:rsidRPr="00567B06">
        <w:t xml:space="preserve">Structured education (e.g. the Expert Patients Programme), digital blood pressure-tracking apps, and social prescribing via Primary Care Network link workers all support sustained self-management, especially around the lifestyle determinants of hypertension. These approaches work best when they are offered as options tailored to the individual rather than a one-size-fits-all </w:t>
      </w:r>
      <w:r w:rsidRPr="00567B06">
        <w:lastRenderedPageBreak/>
        <w:t>programme, recognising that confidence, digital literacy and social circumstances vary widely across patients.</w:t>
      </w:r>
    </w:p>
    <w:p w14:paraId="1A3B48C2" w14:textId="77777777" w:rsidR="002D727D" w:rsidRPr="00567B06" w:rsidRDefault="00242B4F" w:rsidP="000040FD">
      <w:pPr>
        <w:pStyle w:val="Heading2"/>
        <w:spacing w:line="360" w:lineRule="auto"/>
        <w:rPr>
          <w:sz w:val="22"/>
          <w:szCs w:val="22"/>
        </w:rPr>
      </w:pPr>
      <w:r w:rsidRPr="00567B06">
        <w:rPr>
          <w:sz w:val="22"/>
          <w:szCs w:val="22"/>
        </w:rPr>
        <w:t>End-of-life considerations</w:t>
      </w:r>
    </w:p>
    <w:p w14:paraId="14C28377" w14:textId="77777777" w:rsidR="00F0789A" w:rsidRPr="00567B06" w:rsidRDefault="00F0789A" w:rsidP="008D00CE">
      <w:pPr>
        <w:pStyle w:val="Heading2"/>
        <w:spacing w:line="360" w:lineRule="auto"/>
        <w:rPr>
          <w:b w:val="0"/>
          <w:bCs w:val="0"/>
          <w:sz w:val="22"/>
          <w:szCs w:val="22"/>
        </w:rPr>
      </w:pPr>
      <w:r w:rsidRPr="00567B06">
        <w:rPr>
          <w:b w:val="0"/>
          <w:bCs w:val="0"/>
          <w:sz w:val="22"/>
          <w:szCs w:val="22"/>
        </w:rPr>
        <w:t>As the hypertensive population ages and develops multimorbidity, including heart failure, stroke, chronic kidney disease and dementia, the benefits of intensive blood pressure control diminish, while risks such as falls, hypotension, electrolyte imbalance and increased medication burden rise (Benetos et al., 2019). NICE guidance on multimorbidity and end-of-life care therefore recommends individualised, and often less stringent, blood pressure targets for frail patients with limited life expectancy. Deprescribing, the planned reduction of medicines that no longer align with patient goals, is supported by tools such as the STOPP/START criteria (O’Mahony et al., 2023). Advance care planning, including ReSPECT, helps ensure that treatment decisions reflect patient preferences and priorities, rather than population targets. Healthcare professionals should be confident initiating these sensitive discussions before crisis points occur.</w:t>
      </w:r>
    </w:p>
    <w:p w14:paraId="053A3AD6" w14:textId="77777777" w:rsidR="00F0789A" w:rsidRPr="00567B06" w:rsidRDefault="00F0789A" w:rsidP="000040FD">
      <w:pPr>
        <w:pStyle w:val="Heading2"/>
        <w:spacing w:line="360" w:lineRule="auto"/>
        <w:rPr>
          <w:sz w:val="22"/>
          <w:szCs w:val="22"/>
        </w:rPr>
      </w:pPr>
    </w:p>
    <w:p w14:paraId="31409346" w14:textId="574F288A" w:rsidR="004F189E" w:rsidRPr="00567B06" w:rsidRDefault="004F189E" w:rsidP="000040FD">
      <w:pPr>
        <w:spacing w:after="160" w:line="360" w:lineRule="auto"/>
        <w:rPr>
          <w:b/>
          <w:bCs/>
        </w:rPr>
      </w:pPr>
      <w:r w:rsidRPr="00567B06">
        <w:rPr>
          <w:b/>
          <w:bCs/>
        </w:rPr>
        <w:t>Key Learning Points for Healthcare Professionals</w:t>
      </w:r>
    </w:p>
    <w:p w14:paraId="155EB6C7" w14:textId="77777777" w:rsidR="004F189E" w:rsidRPr="00567B06" w:rsidRDefault="004F189E" w:rsidP="000040FD">
      <w:pPr>
        <w:spacing w:after="160" w:line="360" w:lineRule="auto"/>
      </w:pPr>
      <w:r w:rsidRPr="00567B06">
        <w:rPr>
          <w:color w:val="C00000"/>
        </w:rPr>
        <w:t>✔</w:t>
      </w:r>
      <w:r w:rsidRPr="00567B06">
        <w:t xml:space="preserve"> Hypertension is a lifelong, largely asymptomatic condition requiring proactive detection and management</w:t>
      </w:r>
    </w:p>
    <w:p w14:paraId="6D96BBAB" w14:textId="77777777" w:rsidR="004F189E" w:rsidRPr="00567B06" w:rsidRDefault="004F189E" w:rsidP="000040FD">
      <w:pPr>
        <w:spacing w:after="160" w:line="360" w:lineRule="auto"/>
      </w:pPr>
      <w:r w:rsidRPr="00567B06">
        <w:rPr>
          <w:color w:val="C00000"/>
        </w:rPr>
        <w:t>✔</w:t>
      </w:r>
      <w:r w:rsidRPr="00567B06">
        <w:t xml:space="preserve"> Early identification using ABPM/HBPM significantly reduces long-term cardiovascular risk</w:t>
      </w:r>
    </w:p>
    <w:p w14:paraId="4AAA84FC" w14:textId="77777777" w:rsidR="004F189E" w:rsidRPr="00567B06" w:rsidRDefault="004F189E" w:rsidP="000040FD">
      <w:pPr>
        <w:spacing w:after="160" w:line="360" w:lineRule="auto"/>
      </w:pPr>
      <w:r w:rsidRPr="00567B06">
        <w:rPr>
          <w:color w:val="C00000"/>
        </w:rPr>
        <w:t>✔</w:t>
      </w:r>
      <w:r w:rsidRPr="00567B06">
        <w:t xml:space="preserve"> Management must be guided by overall cardiovascular risk, not blood pressure alone</w:t>
      </w:r>
    </w:p>
    <w:p w14:paraId="0ABC86C0" w14:textId="77777777" w:rsidR="004F189E" w:rsidRPr="00567B06" w:rsidRDefault="004F189E" w:rsidP="000040FD">
      <w:pPr>
        <w:spacing w:after="160" w:line="360" w:lineRule="auto"/>
      </w:pPr>
      <w:r w:rsidRPr="00567B06">
        <w:rPr>
          <w:color w:val="C00000"/>
        </w:rPr>
        <w:t>✔</w:t>
      </w:r>
      <w:r w:rsidRPr="00567B06">
        <w:t xml:space="preserve"> Lifestyle modification remains foundational even when medication is required</w:t>
      </w:r>
    </w:p>
    <w:p w14:paraId="7D8A26FF" w14:textId="77777777" w:rsidR="004F189E" w:rsidRPr="00567B06" w:rsidRDefault="004F189E" w:rsidP="000040FD">
      <w:pPr>
        <w:spacing w:after="160" w:line="360" w:lineRule="auto"/>
      </w:pPr>
      <w:r w:rsidRPr="00567B06">
        <w:rPr>
          <w:color w:val="C00000"/>
        </w:rPr>
        <w:t>✔</w:t>
      </w:r>
      <w:r w:rsidRPr="00567B06">
        <w:t xml:space="preserve"> Social determinants significantly influence both prevalence and outcomes</w:t>
      </w:r>
    </w:p>
    <w:p w14:paraId="4281389F" w14:textId="77777777" w:rsidR="00B00A26" w:rsidRPr="00567B06" w:rsidRDefault="00B00A26" w:rsidP="000040FD">
      <w:pPr>
        <w:spacing w:after="160" w:line="360" w:lineRule="auto"/>
      </w:pPr>
      <w:r w:rsidRPr="00567B06">
        <w:rPr>
          <w:color w:val="C00000"/>
        </w:rPr>
        <w:t>✔</w:t>
      </w:r>
      <w:r w:rsidRPr="00567B06">
        <w:t xml:space="preserve"> Non-adherence is often linked to treatment burden, not patient non-compliance</w:t>
      </w:r>
    </w:p>
    <w:p w14:paraId="72660440" w14:textId="77777777" w:rsidR="00B00A26" w:rsidRPr="00567B06" w:rsidRDefault="00B00A26" w:rsidP="000040FD">
      <w:pPr>
        <w:spacing w:after="160" w:line="360" w:lineRule="auto"/>
      </w:pPr>
      <w:r w:rsidRPr="00567B06">
        <w:rPr>
          <w:color w:val="C00000"/>
        </w:rPr>
        <w:t>✔</w:t>
      </w:r>
      <w:r w:rsidRPr="00567B06">
        <w:t xml:space="preserve"> Person-centred care and shared decision-making improve engagement and outcomes</w:t>
      </w:r>
    </w:p>
    <w:p w14:paraId="00278295" w14:textId="39FE4AC8" w:rsidR="00A26A9A" w:rsidRPr="00567B06" w:rsidRDefault="00B00A26" w:rsidP="00F0789A">
      <w:pPr>
        <w:spacing w:after="160" w:line="360" w:lineRule="auto"/>
      </w:pPr>
      <w:r w:rsidRPr="00567B06">
        <w:rPr>
          <w:rFonts w:ascii="Segoe UI Emoji" w:hAnsi="Segoe UI Emoji" w:cs="Segoe UI Emoji"/>
          <w:color w:val="C00000"/>
        </w:rPr>
        <w:t>✔</w:t>
      </w:r>
      <w:r w:rsidRPr="00567B06">
        <w:t xml:space="preserve"> Multidisciplinary and system-based approaches are essential for effective control</w:t>
      </w:r>
    </w:p>
    <w:p w14:paraId="53DCBA96" w14:textId="77777777" w:rsidR="005549A5" w:rsidRPr="00567B06" w:rsidRDefault="005549A5" w:rsidP="000040FD">
      <w:pPr>
        <w:pStyle w:val="Heading1"/>
        <w:spacing w:line="360" w:lineRule="auto"/>
        <w:rPr>
          <w:sz w:val="22"/>
          <w:szCs w:val="22"/>
        </w:rPr>
      </w:pPr>
    </w:p>
    <w:p w14:paraId="635FFC6B" w14:textId="77777777" w:rsidR="00C8739F" w:rsidRDefault="00C8739F" w:rsidP="000040FD">
      <w:pPr>
        <w:pStyle w:val="Heading1"/>
        <w:spacing w:line="360" w:lineRule="auto"/>
        <w:rPr>
          <w:sz w:val="22"/>
          <w:szCs w:val="22"/>
        </w:rPr>
      </w:pPr>
    </w:p>
    <w:p w14:paraId="32D4FE75" w14:textId="60777F6A" w:rsidR="002D727D" w:rsidRPr="00567B06" w:rsidRDefault="00242B4F" w:rsidP="000040FD">
      <w:pPr>
        <w:pStyle w:val="Heading1"/>
        <w:spacing w:line="360" w:lineRule="auto"/>
        <w:rPr>
          <w:sz w:val="22"/>
          <w:szCs w:val="22"/>
        </w:rPr>
      </w:pPr>
      <w:r w:rsidRPr="00567B06">
        <w:rPr>
          <w:sz w:val="22"/>
          <w:szCs w:val="22"/>
        </w:rPr>
        <w:lastRenderedPageBreak/>
        <w:t>Conclusion</w:t>
      </w:r>
    </w:p>
    <w:p w14:paraId="30328E58" w14:textId="77777777" w:rsidR="002D727D" w:rsidRPr="00567B06" w:rsidRDefault="00242B4F" w:rsidP="000040FD">
      <w:pPr>
        <w:spacing w:after="160" w:line="360" w:lineRule="auto"/>
      </w:pPr>
      <w:r w:rsidRPr="00567B06">
        <w:t>Hypertension is common, largely preventable and highly treatable, yet it remains a major driver of ill health, death and National Health Service spending. Its impact reaches well beyond a blood pressure reading into the physical, psychological and social lives of patients and families. Good care blends lifestyle support, evidence-based medication, accurate monitoring and structured review, guided by frameworks like the House of Care and Chronic Care Model, and backed by national policy.</w:t>
      </w:r>
    </w:p>
    <w:p w14:paraId="1E8B9685" w14:textId="534B7234" w:rsidR="002D727D" w:rsidRPr="00567B06" w:rsidRDefault="00242B4F" w:rsidP="000040FD">
      <w:pPr>
        <w:spacing w:after="160" w:line="360" w:lineRule="auto"/>
      </w:pPr>
      <w:r w:rsidRPr="00567B06">
        <w:t>Above all, person-centred care, shared decision-making, self-management support and sensitive end-of-life planning must run through every stage of the pathway. Hypertension management is most effective not as a series of isolated clinical tasks, but as a continuous relationship between patient and professional, sustained over years and adapted as circumstances change. Professionals must keep pushing to close the stubborn inequalities in who gets diagnosed, treated and well controlled  recognising that excellent individual care and active advocacy for systemic change are not alternatives, but two halves of the same professional responsibility.</w:t>
      </w:r>
    </w:p>
    <w:p w14:paraId="6C1A29E8" w14:textId="77777777" w:rsidR="002D727D" w:rsidRPr="00567B06" w:rsidRDefault="00242B4F" w:rsidP="000040FD">
      <w:pPr>
        <w:spacing w:line="360" w:lineRule="auto"/>
      </w:pPr>
      <w:r w:rsidRPr="00567B06">
        <w:br w:type="page"/>
      </w:r>
    </w:p>
    <w:p w14:paraId="42C68EF6" w14:textId="77777777" w:rsidR="002D727D" w:rsidRPr="00567B06" w:rsidRDefault="00242B4F">
      <w:pPr>
        <w:pStyle w:val="Heading1"/>
        <w:rPr>
          <w:sz w:val="22"/>
          <w:szCs w:val="22"/>
        </w:rPr>
      </w:pPr>
      <w:r w:rsidRPr="00567B06">
        <w:rPr>
          <w:sz w:val="22"/>
          <w:szCs w:val="22"/>
        </w:rPr>
        <w:lastRenderedPageBreak/>
        <w:t>References</w:t>
      </w:r>
    </w:p>
    <w:p w14:paraId="32FDFADC" w14:textId="443D3D8A" w:rsidR="00943CF4" w:rsidRPr="00567B06" w:rsidRDefault="00943CF4" w:rsidP="0018389E">
      <w:pPr>
        <w:pStyle w:val="NormalWeb"/>
        <w:spacing w:line="360" w:lineRule="auto"/>
        <w:rPr>
          <w:rFonts w:ascii="Arial" w:hAnsi="Arial" w:cs="Arial"/>
          <w:sz w:val="22"/>
          <w:szCs w:val="22"/>
        </w:rPr>
      </w:pPr>
      <w:r w:rsidRPr="00567B06">
        <w:rPr>
          <w:rFonts w:ascii="Arial" w:hAnsi="Arial" w:cs="Arial"/>
          <w:sz w:val="22"/>
          <w:szCs w:val="22"/>
        </w:rPr>
        <w:t xml:space="preserve">American Heart Association (2025) </w:t>
      </w:r>
      <w:r w:rsidRPr="00567B06">
        <w:rPr>
          <w:rFonts w:ascii="Arial" w:hAnsi="Arial" w:cs="Arial"/>
          <w:i/>
          <w:iCs/>
          <w:sz w:val="22"/>
          <w:szCs w:val="22"/>
        </w:rPr>
        <w:t>Health threats from high blood pressure</w:t>
      </w:r>
      <w:r w:rsidRPr="00567B06">
        <w:rPr>
          <w:rFonts w:ascii="Arial" w:hAnsi="Arial" w:cs="Arial"/>
          <w:sz w:val="22"/>
          <w:szCs w:val="22"/>
        </w:rPr>
        <w:t xml:space="preserve">. Available at: </w:t>
      </w:r>
      <w:hyperlink r:id="rId19" w:history="1">
        <w:r w:rsidRPr="00567B06">
          <w:rPr>
            <w:rStyle w:val="Hyperlink"/>
            <w:rFonts w:ascii="Arial" w:hAnsi="Arial" w:cs="Arial"/>
            <w:sz w:val="22"/>
            <w:szCs w:val="22"/>
          </w:rPr>
          <w:t>https://www.heart.org/en/health-topics/high-blood-pressure/health-threats-from-high-blood-pressure</w:t>
        </w:r>
      </w:hyperlink>
      <w:r w:rsidRPr="00567B06">
        <w:rPr>
          <w:rFonts w:ascii="Arial" w:hAnsi="Arial" w:cs="Arial"/>
          <w:sz w:val="22"/>
          <w:szCs w:val="22"/>
        </w:rPr>
        <w:t xml:space="preserve"> (Accessed: 24 June 2026).</w:t>
      </w:r>
    </w:p>
    <w:p w14:paraId="0332955B" w14:textId="1E72BE5F"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Appel, L.J., Moore, T.J., </w:t>
      </w:r>
      <w:proofErr w:type="spellStart"/>
      <w:r w:rsidRPr="00567B06">
        <w:rPr>
          <w:rFonts w:ascii="Arial" w:hAnsi="Arial" w:cs="Arial"/>
          <w:sz w:val="22"/>
          <w:szCs w:val="22"/>
        </w:rPr>
        <w:t>Obarzanek</w:t>
      </w:r>
      <w:proofErr w:type="spellEnd"/>
      <w:r w:rsidRPr="00567B06">
        <w:rPr>
          <w:rFonts w:ascii="Arial" w:hAnsi="Arial" w:cs="Arial"/>
          <w:sz w:val="22"/>
          <w:szCs w:val="22"/>
        </w:rPr>
        <w:t xml:space="preserve">, E., Vollmer, W.M., </w:t>
      </w:r>
      <w:proofErr w:type="spellStart"/>
      <w:r w:rsidRPr="00567B06">
        <w:rPr>
          <w:rFonts w:ascii="Arial" w:hAnsi="Arial" w:cs="Arial"/>
          <w:sz w:val="22"/>
          <w:szCs w:val="22"/>
        </w:rPr>
        <w:t>Svetkey</w:t>
      </w:r>
      <w:proofErr w:type="spellEnd"/>
      <w:r w:rsidRPr="00567B06">
        <w:rPr>
          <w:rFonts w:ascii="Arial" w:hAnsi="Arial" w:cs="Arial"/>
          <w:sz w:val="22"/>
          <w:szCs w:val="22"/>
        </w:rPr>
        <w:t xml:space="preserve">, L.P., Sacks, F.M., Bray, G.A., Vogt, T.M., Cutler, J.A., </w:t>
      </w:r>
      <w:proofErr w:type="spellStart"/>
      <w:r w:rsidRPr="00567B06">
        <w:rPr>
          <w:rFonts w:ascii="Arial" w:hAnsi="Arial" w:cs="Arial"/>
          <w:sz w:val="22"/>
          <w:szCs w:val="22"/>
        </w:rPr>
        <w:t>Windhauser</w:t>
      </w:r>
      <w:proofErr w:type="spellEnd"/>
      <w:r w:rsidRPr="00567B06">
        <w:rPr>
          <w:rFonts w:ascii="Arial" w:hAnsi="Arial" w:cs="Arial"/>
          <w:sz w:val="22"/>
          <w:szCs w:val="22"/>
        </w:rPr>
        <w:t xml:space="preserve">, M.M., Lin, P.H. and </w:t>
      </w:r>
      <w:proofErr w:type="spellStart"/>
      <w:r w:rsidRPr="00567B06">
        <w:rPr>
          <w:rFonts w:ascii="Arial" w:hAnsi="Arial" w:cs="Arial"/>
          <w:sz w:val="22"/>
          <w:szCs w:val="22"/>
        </w:rPr>
        <w:t>Karanja</w:t>
      </w:r>
      <w:proofErr w:type="spellEnd"/>
      <w:r w:rsidRPr="00567B06">
        <w:rPr>
          <w:rFonts w:ascii="Arial" w:hAnsi="Arial" w:cs="Arial"/>
          <w:sz w:val="22"/>
          <w:szCs w:val="22"/>
        </w:rPr>
        <w:t xml:space="preserve">, N. (1997) ‘A clinical trial of the effects of dietary patterns on blood pressure’, </w:t>
      </w:r>
      <w:r w:rsidRPr="00567B06">
        <w:rPr>
          <w:rStyle w:val="Emphasis"/>
          <w:rFonts w:ascii="Arial" w:hAnsi="Arial" w:cs="Arial"/>
          <w:sz w:val="22"/>
          <w:szCs w:val="22"/>
        </w:rPr>
        <w:t>New England Journal of Medicine</w:t>
      </w:r>
      <w:r w:rsidRPr="00567B06">
        <w:rPr>
          <w:rFonts w:ascii="Arial" w:hAnsi="Arial" w:cs="Arial"/>
          <w:sz w:val="22"/>
          <w:szCs w:val="22"/>
        </w:rPr>
        <w:t xml:space="preserve">, 336(16), pp. 1117–1124. </w:t>
      </w:r>
      <w:hyperlink r:id="rId20" w:history="1">
        <w:r w:rsidRPr="00567B06">
          <w:rPr>
            <w:rStyle w:val="Hyperlink"/>
            <w:rFonts w:ascii="Arial" w:hAnsi="Arial" w:cs="Arial"/>
            <w:sz w:val="22"/>
            <w:szCs w:val="22"/>
          </w:rPr>
          <w:t>https://doi.org/10.1056/NEJM199704173361601</w:t>
        </w:r>
      </w:hyperlink>
      <w:r w:rsidRPr="00567B06">
        <w:rPr>
          <w:rFonts w:ascii="Arial" w:hAnsi="Arial" w:cs="Arial"/>
          <w:sz w:val="22"/>
          <w:szCs w:val="22"/>
        </w:rPr>
        <w:t>.</w:t>
      </w:r>
    </w:p>
    <w:p w14:paraId="469885D8"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Artinian, N.T. et al. (2010) ‘Interventions to promote physical activity and dietary lifestyle changes for cardiovascular risk factor reduction in adults’, </w:t>
      </w:r>
      <w:r w:rsidRPr="00567B06">
        <w:rPr>
          <w:rStyle w:val="Emphasis"/>
          <w:rFonts w:ascii="Arial" w:hAnsi="Arial" w:cs="Arial"/>
          <w:sz w:val="22"/>
          <w:szCs w:val="22"/>
        </w:rPr>
        <w:t>Circulation</w:t>
      </w:r>
      <w:r w:rsidRPr="00567B06">
        <w:rPr>
          <w:rFonts w:ascii="Arial" w:hAnsi="Arial" w:cs="Arial"/>
          <w:sz w:val="22"/>
          <w:szCs w:val="22"/>
        </w:rPr>
        <w:t xml:space="preserve">, 122(4), pp. 406–441. </w:t>
      </w:r>
      <w:hyperlink r:id="rId21" w:history="1">
        <w:r w:rsidRPr="00567B06">
          <w:rPr>
            <w:rStyle w:val="Hyperlink"/>
            <w:rFonts w:ascii="Arial" w:hAnsi="Arial" w:cs="Arial"/>
            <w:sz w:val="22"/>
            <w:szCs w:val="22"/>
          </w:rPr>
          <w:t>https://doi.org/10.1161/CIR.0b013e3181e8edf1</w:t>
        </w:r>
      </w:hyperlink>
      <w:r w:rsidRPr="00567B06">
        <w:rPr>
          <w:rFonts w:ascii="Arial" w:hAnsi="Arial" w:cs="Arial"/>
          <w:sz w:val="22"/>
          <w:szCs w:val="22"/>
        </w:rPr>
        <w:t>.</w:t>
      </w:r>
    </w:p>
    <w:p w14:paraId="747D3AC1" w14:textId="33684659" w:rsidR="00CA3807" w:rsidRPr="00567B06" w:rsidRDefault="00CA3807" w:rsidP="0018389E">
      <w:pPr>
        <w:pStyle w:val="NormalWeb"/>
        <w:spacing w:line="360" w:lineRule="auto"/>
        <w:rPr>
          <w:rFonts w:ascii="Arial" w:hAnsi="Arial" w:cs="Arial"/>
          <w:sz w:val="22"/>
          <w:szCs w:val="22"/>
        </w:rPr>
      </w:pPr>
      <w:r w:rsidRPr="00567B06">
        <w:rPr>
          <w:rFonts w:ascii="Arial" w:eastAsia="Times New Roman" w:hAnsi="Arial" w:cs="Arial"/>
          <w:sz w:val="22"/>
          <w:szCs w:val="22"/>
        </w:rPr>
        <w:t xml:space="preserve">Barr, V.J., Robinson, S., Marin-Link, B., Underhill, L., </w:t>
      </w:r>
      <w:proofErr w:type="spellStart"/>
      <w:r w:rsidRPr="00567B06">
        <w:rPr>
          <w:rFonts w:ascii="Arial" w:eastAsia="Times New Roman" w:hAnsi="Arial" w:cs="Arial"/>
          <w:sz w:val="22"/>
          <w:szCs w:val="22"/>
        </w:rPr>
        <w:t>Dotts</w:t>
      </w:r>
      <w:proofErr w:type="spellEnd"/>
      <w:r w:rsidRPr="00567B06">
        <w:rPr>
          <w:rFonts w:ascii="Arial" w:eastAsia="Times New Roman" w:hAnsi="Arial" w:cs="Arial"/>
          <w:sz w:val="22"/>
          <w:szCs w:val="22"/>
        </w:rPr>
        <w:t xml:space="preserve">, A., </w:t>
      </w:r>
      <w:proofErr w:type="spellStart"/>
      <w:r w:rsidRPr="00567B06">
        <w:rPr>
          <w:rFonts w:ascii="Arial" w:eastAsia="Times New Roman" w:hAnsi="Arial" w:cs="Arial"/>
          <w:sz w:val="22"/>
          <w:szCs w:val="22"/>
        </w:rPr>
        <w:t>Ravensdale</w:t>
      </w:r>
      <w:proofErr w:type="spellEnd"/>
      <w:r w:rsidRPr="00567B06">
        <w:rPr>
          <w:rFonts w:ascii="Arial" w:eastAsia="Times New Roman" w:hAnsi="Arial" w:cs="Arial"/>
          <w:sz w:val="22"/>
          <w:szCs w:val="22"/>
        </w:rPr>
        <w:t xml:space="preserve">, D. and </w:t>
      </w:r>
      <w:proofErr w:type="spellStart"/>
      <w:r w:rsidRPr="00567B06">
        <w:rPr>
          <w:rFonts w:ascii="Arial" w:eastAsia="Times New Roman" w:hAnsi="Arial" w:cs="Arial"/>
          <w:sz w:val="22"/>
          <w:szCs w:val="22"/>
        </w:rPr>
        <w:t>Salivaras</w:t>
      </w:r>
      <w:proofErr w:type="spellEnd"/>
      <w:r w:rsidRPr="00567B06">
        <w:rPr>
          <w:rFonts w:ascii="Arial" w:eastAsia="Times New Roman" w:hAnsi="Arial" w:cs="Arial"/>
          <w:sz w:val="22"/>
          <w:szCs w:val="22"/>
        </w:rPr>
        <w:t xml:space="preserve">, S. (2003) 'The Expanded Chronic Care Model: An Integration of Concepts and Strategies from Population Health Promotion and the Chronic Care Model', </w:t>
      </w:r>
      <w:r w:rsidRPr="00567B06">
        <w:rPr>
          <w:rStyle w:val="Emphasis"/>
          <w:rFonts w:ascii="Arial" w:eastAsia="Times New Roman" w:hAnsi="Arial" w:cs="Arial"/>
          <w:sz w:val="22"/>
          <w:szCs w:val="22"/>
        </w:rPr>
        <w:t>Healthcare Quarterly</w:t>
      </w:r>
      <w:r w:rsidRPr="00567B06">
        <w:rPr>
          <w:rFonts w:ascii="Arial" w:eastAsia="Times New Roman" w:hAnsi="Arial" w:cs="Arial"/>
          <w:sz w:val="22"/>
          <w:szCs w:val="22"/>
        </w:rPr>
        <w:t xml:space="preserve">, 7(1), pp. 73–82. Available at: </w:t>
      </w:r>
      <w:hyperlink r:id="rId22" w:tgtFrame="_new" w:history="1">
        <w:r w:rsidRPr="00567B06">
          <w:rPr>
            <w:rStyle w:val="Hyperlink"/>
            <w:rFonts w:ascii="Arial" w:eastAsia="Times New Roman" w:hAnsi="Arial" w:cs="Arial"/>
            <w:sz w:val="22"/>
            <w:szCs w:val="22"/>
          </w:rPr>
          <w:t>https://www.longwoods.com/content/16763/healthcare-quarterly/the-expanded-chronic-care-model-an-integration-of-concepts-and-strategies-from-population-health-pr</w:t>
        </w:r>
      </w:hyperlink>
      <w:r w:rsidRPr="00567B06">
        <w:rPr>
          <w:rFonts w:ascii="Arial" w:eastAsia="Times New Roman" w:hAnsi="Arial" w:cs="Arial"/>
          <w:sz w:val="22"/>
          <w:szCs w:val="22"/>
        </w:rPr>
        <w:t xml:space="preserve"> (Accessed: 24 June 2026).</w:t>
      </w:r>
    </w:p>
    <w:p w14:paraId="64539BBE"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Benetos, A., </w:t>
      </w:r>
      <w:proofErr w:type="spellStart"/>
      <w:r w:rsidRPr="00567B06">
        <w:rPr>
          <w:rFonts w:ascii="Arial" w:hAnsi="Arial" w:cs="Arial"/>
          <w:sz w:val="22"/>
          <w:szCs w:val="22"/>
        </w:rPr>
        <w:t>Petrovic</w:t>
      </w:r>
      <w:proofErr w:type="spellEnd"/>
      <w:r w:rsidRPr="00567B06">
        <w:rPr>
          <w:rFonts w:ascii="Arial" w:hAnsi="Arial" w:cs="Arial"/>
          <w:sz w:val="22"/>
          <w:szCs w:val="22"/>
        </w:rPr>
        <w:t xml:space="preserve">, M. and </w:t>
      </w:r>
      <w:proofErr w:type="spellStart"/>
      <w:r w:rsidRPr="00567B06">
        <w:rPr>
          <w:rFonts w:ascii="Arial" w:hAnsi="Arial" w:cs="Arial"/>
          <w:sz w:val="22"/>
          <w:szCs w:val="22"/>
        </w:rPr>
        <w:t>Strandberg</w:t>
      </w:r>
      <w:proofErr w:type="spellEnd"/>
      <w:r w:rsidRPr="00567B06">
        <w:rPr>
          <w:rFonts w:ascii="Arial" w:hAnsi="Arial" w:cs="Arial"/>
          <w:sz w:val="22"/>
          <w:szCs w:val="22"/>
        </w:rPr>
        <w:t xml:space="preserve">, T. (2019) ‘Hypertension management in older and frail older patients’, </w:t>
      </w:r>
      <w:r w:rsidRPr="00567B06">
        <w:rPr>
          <w:rStyle w:val="Emphasis"/>
          <w:rFonts w:ascii="Arial" w:hAnsi="Arial" w:cs="Arial"/>
          <w:sz w:val="22"/>
          <w:szCs w:val="22"/>
        </w:rPr>
        <w:t>Circulation Research</w:t>
      </w:r>
      <w:r w:rsidRPr="00567B06">
        <w:rPr>
          <w:rFonts w:ascii="Arial" w:hAnsi="Arial" w:cs="Arial"/>
          <w:sz w:val="22"/>
          <w:szCs w:val="22"/>
        </w:rPr>
        <w:t xml:space="preserve">, 124(7), pp. 1045–1060. </w:t>
      </w:r>
      <w:hyperlink r:id="rId23" w:history="1">
        <w:r w:rsidRPr="00567B06">
          <w:rPr>
            <w:rStyle w:val="Hyperlink"/>
            <w:rFonts w:ascii="Arial" w:hAnsi="Arial" w:cs="Arial"/>
            <w:sz w:val="22"/>
            <w:szCs w:val="22"/>
          </w:rPr>
          <w:t>https://doi.org/10.1161/CIRCRESAHA.118.313236</w:t>
        </w:r>
      </w:hyperlink>
      <w:r w:rsidRPr="00567B06">
        <w:rPr>
          <w:rFonts w:ascii="Arial" w:hAnsi="Arial" w:cs="Arial"/>
          <w:sz w:val="22"/>
          <w:szCs w:val="22"/>
        </w:rPr>
        <w:t>.</w:t>
      </w:r>
    </w:p>
    <w:p w14:paraId="768AA48F"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Bhopal, R. (2014) </w:t>
      </w:r>
      <w:r w:rsidRPr="00567B06">
        <w:rPr>
          <w:rStyle w:val="Emphasis"/>
          <w:rFonts w:ascii="Arial" w:hAnsi="Arial" w:cs="Arial"/>
          <w:sz w:val="22"/>
          <w:szCs w:val="22"/>
        </w:rPr>
        <w:t>Migration, Ethnicity, Race, and Health in Multicultural Societies</w:t>
      </w:r>
      <w:r w:rsidRPr="00567B06">
        <w:rPr>
          <w:rFonts w:ascii="Arial" w:hAnsi="Arial" w:cs="Arial"/>
          <w:sz w:val="22"/>
          <w:szCs w:val="22"/>
        </w:rPr>
        <w:t>. 2nd edn. Oxford: Oxford University Press.</w:t>
      </w:r>
    </w:p>
    <w:p w14:paraId="3FD7E84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Bodenheimer, T., Wagner, E.H. and </w:t>
      </w:r>
      <w:proofErr w:type="spellStart"/>
      <w:r w:rsidRPr="00567B06">
        <w:rPr>
          <w:rFonts w:ascii="Arial" w:hAnsi="Arial" w:cs="Arial"/>
          <w:sz w:val="22"/>
          <w:szCs w:val="22"/>
        </w:rPr>
        <w:t>Grumbach</w:t>
      </w:r>
      <w:proofErr w:type="spellEnd"/>
      <w:r w:rsidRPr="00567B06">
        <w:rPr>
          <w:rFonts w:ascii="Arial" w:hAnsi="Arial" w:cs="Arial"/>
          <w:sz w:val="22"/>
          <w:szCs w:val="22"/>
        </w:rPr>
        <w:t xml:space="preserve">, K. (2002) ‘Improving primary care for patients with chronic illness: the chronic care model, part 2’, </w:t>
      </w:r>
      <w:r w:rsidRPr="00567B06">
        <w:rPr>
          <w:rStyle w:val="Emphasis"/>
          <w:rFonts w:ascii="Arial" w:hAnsi="Arial" w:cs="Arial"/>
          <w:sz w:val="22"/>
          <w:szCs w:val="22"/>
        </w:rPr>
        <w:t>JAMA</w:t>
      </w:r>
      <w:r w:rsidRPr="00567B06">
        <w:rPr>
          <w:rFonts w:ascii="Arial" w:hAnsi="Arial" w:cs="Arial"/>
          <w:sz w:val="22"/>
          <w:szCs w:val="22"/>
        </w:rPr>
        <w:t xml:space="preserve">, 288(15), pp. 1909–1914. </w:t>
      </w:r>
      <w:hyperlink r:id="rId24" w:history="1">
        <w:r w:rsidRPr="00567B06">
          <w:rPr>
            <w:rStyle w:val="Hyperlink"/>
            <w:rFonts w:ascii="Arial" w:hAnsi="Arial" w:cs="Arial"/>
            <w:sz w:val="22"/>
            <w:szCs w:val="22"/>
          </w:rPr>
          <w:t>https://doi.org/10.1001/jama.288.15.1909</w:t>
        </w:r>
      </w:hyperlink>
      <w:r w:rsidRPr="00567B06">
        <w:rPr>
          <w:rFonts w:ascii="Arial" w:hAnsi="Arial" w:cs="Arial"/>
          <w:sz w:val="22"/>
          <w:szCs w:val="22"/>
        </w:rPr>
        <w:t>.</w:t>
      </w:r>
    </w:p>
    <w:p w14:paraId="58F7B075"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Bosworth, H.B. et al. (2011) ‘Two self-management interventions to improve hypertension control: a randomized trial’, </w:t>
      </w:r>
      <w:r w:rsidRPr="00567B06">
        <w:rPr>
          <w:rStyle w:val="Emphasis"/>
          <w:rFonts w:ascii="Arial" w:hAnsi="Arial" w:cs="Arial"/>
          <w:sz w:val="22"/>
          <w:szCs w:val="22"/>
        </w:rPr>
        <w:t>Annals of Internal Medicine</w:t>
      </w:r>
      <w:r w:rsidRPr="00567B06">
        <w:rPr>
          <w:rFonts w:ascii="Arial" w:hAnsi="Arial" w:cs="Arial"/>
          <w:sz w:val="22"/>
          <w:szCs w:val="22"/>
        </w:rPr>
        <w:t xml:space="preserve">, 151(10), pp. 687–695. </w:t>
      </w:r>
      <w:hyperlink r:id="rId25" w:history="1">
        <w:r w:rsidRPr="00567B06">
          <w:rPr>
            <w:rStyle w:val="Hyperlink"/>
            <w:rFonts w:ascii="Arial" w:hAnsi="Arial" w:cs="Arial"/>
            <w:sz w:val="22"/>
            <w:szCs w:val="22"/>
          </w:rPr>
          <w:t>https://doi.org/10.7326/0003-4819-151-10-200911170-00148</w:t>
        </w:r>
      </w:hyperlink>
      <w:r w:rsidRPr="00567B06">
        <w:rPr>
          <w:rFonts w:ascii="Arial" w:hAnsi="Arial" w:cs="Arial"/>
          <w:sz w:val="22"/>
          <w:szCs w:val="22"/>
        </w:rPr>
        <w:t>.</w:t>
      </w:r>
    </w:p>
    <w:p w14:paraId="31395438"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Brady, T.J. et al. (2013) ‘A meta-analysis of health status, health </w:t>
      </w:r>
      <w:proofErr w:type="spellStart"/>
      <w:r w:rsidRPr="00567B06">
        <w:rPr>
          <w:rFonts w:ascii="Arial" w:hAnsi="Arial" w:cs="Arial"/>
          <w:sz w:val="22"/>
          <w:szCs w:val="22"/>
        </w:rPr>
        <w:t>behaviors</w:t>
      </w:r>
      <w:proofErr w:type="spellEnd"/>
      <w:r w:rsidRPr="00567B06">
        <w:rPr>
          <w:rFonts w:ascii="Arial" w:hAnsi="Arial" w:cs="Arial"/>
          <w:sz w:val="22"/>
          <w:szCs w:val="22"/>
        </w:rPr>
        <w:t xml:space="preserve">, and healthcare utilization outcomes of the Chronic Disease Self-Management Program’, </w:t>
      </w:r>
      <w:r w:rsidRPr="00567B06">
        <w:rPr>
          <w:rStyle w:val="Emphasis"/>
          <w:rFonts w:ascii="Arial" w:hAnsi="Arial" w:cs="Arial"/>
          <w:sz w:val="22"/>
          <w:szCs w:val="22"/>
        </w:rPr>
        <w:t>Preventing Chronic Disease</w:t>
      </w:r>
      <w:r w:rsidRPr="00567B06">
        <w:rPr>
          <w:rFonts w:ascii="Arial" w:hAnsi="Arial" w:cs="Arial"/>
          <w:sz w:val="22"/>
          <w:szCs w:val="22"/>
        </w:rPr>
        <w:t xml:space="preserve">, 10, p. 120112. </w:t>
      </w:r>
      <w:hyperlink r:id="rId26" w:history="1">
        <w:r w:rsidRPr="00567B06">
          <w:rPr>
            <w:rStyle w:val="Hyperlink"/>
            <w:rFonts w:ascii="Arial" w:hAnsi="Arial" w:cs="Arial"/>
            <w:sz w:val="22"/>
            <w:szCs w:val="22"/>
          </w:rPr>
          <w:t>https://doi.org/10.5888/pcd10.120112</w:t>
        </w:r>
      </w:hyperlink>
      <w:r w:rsidRPr="00567B06">
        <w:rPr>
          <w:rFonts w:ascii="Arial" w:hAnsi="Arial" w:cs="Arial"/>
          <w:sz w:val="22"/>
          <w:szCs w:val="22"/>
        </w:rPr>
        <w:t>.</w:t>
      </w:r>
    </w:p>
    <w:p w14:paraId="7F60A867"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Bray, E.P., Holder, R., </w:t>
      </w:r>
      <w:proofErr w:type="spellStart"/>
      <w:r w:rsidRPr="00567B06">
        <w:rPr>
          <w:rFonts w:ascii="Arial" w:hAnsi="Arial" w:cs="Arial"/>
          <w:sz w:val="22"/>
          <w:szCs w:val="22"/>
        </w:rPr>
        <w:t>Mant</w:t>
      </w:r>
      <w:proofErr w:type="spellEnd"/>
      <w:r w:rsidRPr="00567B06">
        <w:rPr>
          <w:rFonts w:ascii="Arial" w:hAnsi="Arial" w:cs="Arial"/>
          <w:sz w:val="22"/>
          <w:szCs w:val="22"/>
        </w:rPr>
        <w:t xml:space="preserve">, J. and McManus, R.J. (2010) ‘Does self-monitoring reduce blood pressure? Meta-analysis with meta-regression of randomized controlled trials’, </w:t>
      </w:r>
      <w:r w:rsidRPr="00567B06">
        <w:rPr>
          <w:rStyle w:val="Emphasis"/>
          <w:rFonts w:ascii="Arial" w:hAnsi="Arial" w:cs="Arial"/>
          <w:sz w:val="22"/>
          <w:szCs w:val="22"/>
        </w:rPr>
        <w:t>Annals of Medicine</w:t>
      </w:r>
      <w:r w:rsidRPr="00567B06">
        <w:rPr>
          <w:rFonts w:ascii="Arial" w:hAnsi="Arial" w:cs="Arial"/>
          <w:sz w:val="22"/>
          <w:szCs w:val="22"/>
        </w:rPr>
        <w:t xml:space="preserve">, 42(5), pp. 371–386. </w:t>
      </w:r>
      <w:hyperlink r:id="rId27" w:history="1">
        <w:r w:rsidRPr="00567B06">
          <w:rPr>
            <w:rStyle w:val="Hyperlink"/>
            <w:rFonts w:ascii="Arial" w:hAnsi="Arial" w:cs="Arial"/>
            <w:sz w:val="22"/>
            <w:szCs w:val="22"/>
          </w:rPr>
          <w:t>https://doi.org/10.3109/07853890.2010.489567</w:t>
        </w:r>
      </w:hyperlink>
      <w:r w:rsidRPr="00567B06">
        <w:rPr>
          <w:rFonts w:ascii="Arial" w:hAnsi="Arial" w:cs="Arial"/>
          <w:sz w:val="22"/>
          <w:szCs w:val="22"/>
        </w:rPr>
        <w:t>.</w:t>
      </w:r>
    </w:p>
    <w:p w14:paraId="3A29833C" w14:textId="2B1E2035"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British and Irish Hypertension Society (2024) </w:t>
      </w:r>
      <w:r w:rsidRPr="00567B06">
        <w:rPr>
          <w:rStyle w:val="Emphasis"/>
          <w:rFonts w:ascii="Arial" w:hAnsi="Arial" w:cs="Arial"/>
          <w:sz w:val="22"/>
          <w:szCs w:val="22"/>
        </w:rPr>
        <w:t>Blood Pressure Monitors: Validated Device List</w:t>
      </w:r>
      <w:r w:rsidRPr="00567B06">
        <w:rPr>
          <w:rFonts w:ascii="Arial" w:hAnsi="Arial" w:cs="Arial"/>
          <w:sz w:val="22"/>
          <w:szCs w:val="22"/>
        </w:rPr>
        <w:t xml:space="preserve">. Available at: </w:t>
      </w:r>
      <w:hyperlink r:id="rId28" w:history="1">
        <w:r w:rsidRPr="00567B06">
          <w:rPr>
            <w:rStyle w:val="Hyperlink"/>
            <w:rFonts w:ascii="Arial" w:hAnsi="Arial" w:cs="Arial"/>
            <w:sz w:val="22"/>
            <w:szCs w:val="22"/>
          </w:rPr>
          <w:t>https://bihsoc.org/bp-monitors/</w:t>
        </w:r>
      </w:hyperlink>
      <w:r w:rsidRPr="00567B06">
        <w:rPr>
          <w:rFonts w:ascii="Arial" w:hAnsi="Arial" w:cs="Arial"/>
          <w:sz w:val="22"/>
          <w:szCs w:val="22"/>
        </w:rPr>
        <w:t xml:space="preserve"> (Accessed: 15 J</w:t>
      </w:r>
      <w:r w:rsidR="00D754FA" w:rsidRPr="00567B06">
        <w:rPr>
          <w:rFonts w:ascii="Arial" w:hAnsi="Arial" w:cs="Arial"/>
          <w:sz w:val="22"/>
          <w:szCs w:val="22"/>
        </w:rPr>
        <w:t>une</w:t>
      </w:r>
      <w:r w:rsidRPr="00567B06">
        <w:rPr>
          <w:rFonts w:ascii="Arial" w:hAnsi="Arial" w:cs="Arial"/>
          <w:sz w:val="22"/>
          <w:szCs w:val="22"/>
        </w:rPr>
        <w:t xml:space="preserve"> 202</w:t>
      </w:r>
      <w:r w:rsidR="007B3012" w:rsidRPr="00567B06">
        <w:rPr>
          <w:rFonts w:ascii="Arial" w:hAnsi="Arial" w:cs="Arial"/>
          <w:sz w:val="22"/>
          <w:szCs w:val="22"/>
        </w:rPr>
        <w:t>6</w:t>
      </w:r>
      <w:r w:rsidRPr="00567B06">
        <w:rPr>
          <w:rFonts w:ascii="Arial" w:hAnsi="Arial" w:cs="Arial"/>
          <w:sz w:val="22"/>
          <w:szCs w:val="22"/>
        </w:rPr>
        <w:t>).</w:t>
      </w:r>
    </w:p>
    <w:p w14:paraId="659C6C6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British Heart Foundation (2021) </w:t>
      </w:r>
      <w:r w:rsidRPr="00567B06">
        <w:rPr>
          <w:rStyle w:val="Emphasis"/>
          <w:rFonts w:ascii="Arial" w:hAnsi="Arial" w:cs="Arial"/>
          <w:sz w:val="22"/>
          <w:szCs w:val="22"/>
        </w:rPr>
        <w:t>The Impact of COVID-19 on Heart and Circulatory Disease</w:t>
      </w:r>
      <w:r w:rsidRPr="00567B06">
        <w:rPr>
          <w:rFonts w:ascii="Arial" w:hAnsi="Arial" w:cs="Arial"/>
          <w:sz w:val="22"/>
          <w:szCs w:val="22"/>
        </w:rPr>
        <w:t>. London: British Heart Foundation.</w:t>
      </w:r>
    </w:p>
    <w:p w14:paraId="3CF6F8C4" w14:textId="22792913"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British Heart Foundation (2023) </w:t>
      </w:r>
      <w:r w:rsidRPr="00567B06">
        <w:rPr>
          <w:rStyle w:val="Emphasis"/>
          <w:rFonts w:ascii="Arial" w:hAnsi="Arial" w:cs="Arial"/>
          <w:sz w:val="22"/>
          <w:szCs w:val="22"/>
        </w:rPr>
        <w:t>Heart and Circulatory Disease Statistics 2023</w:t>
      </w:r>
      <w:r w:rsidRPr="00567B06">
        <w:rPr>
          <w:rFonts w:ascii="Arial" w:hAnsi="Arial" w:cs="Arial"/>
          <w:sz w:val="22"/>
          <w:szCs w:val="22"/>
        </w:rPr>
        <w:t xml:space="preserve">. London: British Heart Foundation. Available at: </w:t>
      </w:r>
      <w:hyperlink r:id="rId29" w:history="1">
        <w:r w:rsidRPr="00567B06">
          <w:rPr>
            <w:rStyle w:val="Hyperlink"/>
            <w:rFonts w:ascii="Arial" w:hAnsi="Arial" w:cs="Arial"/>
            <w:sz w:val="22"/>
            <w:szCs w:val="22"/>
          </w:rPr>
          <w:t>https://www.bhf.org.uk/what-we-do/our-research/heart-statistics</w:t>
        </w:r>
      </w:hyperlink>
      <w:r w:rsidRPr="00567B06">
        <w:rPr>
          <w:rFonts w:ascii="Arial" w:hAnsi="Arial" w:cs="Arial"/>
          <w:sz w:val="22"/>
          <w:szCs w:val="22"/>
        </w:rPr>
        <w:t xml:space="preserve"> (Accessed: 10 J</w:t>
      </w:r>
      <w:r w:rsidR="00D04F47" w:rsidRPr="00567B06">
        <w:rPr>
          <w:rFonts w:ascii="Arial" w:hAnsi="Arial" w:cs="Arial"/>
          <w:sz w:val="22"/>
          <w:szCs w:val="22"/>
        </w:rPr>
        <w:t>une</w:t>
      </w:r>
      <w:r w:rsidRPr="00567B06">
        <w:rPr>
          <w:rFonts w:ascii="Arial" w:hAnsi="Arial" w:cs="Arial"/>
          <w:sz w:val="22"/>
          <w:szCs w:val="22"/>
        </w:rPr>
        <w:t xml:space="preserve"> 202</w:t>
      </w:r>
      <w:r w:rsidR="00D04F47" w:rsidRPr="00567B06">
        <w:rPr>
          <w:rFonts w:ascii="Arial" w:hAnsi="Arial" w:cs="Arial"/>
          <w:sz w:val="22"/>
          <w:szCs w:val="22"/>
        </w:rPr>
        <w:t>6</w:t>
      </w:r>
      <w:r w:rsidRPr="00567B06">
        <w:rPr>
          <w:rFonts w:ascii="Arial" w:hAnsi="Arial" w:cs="Arial"/>
          <w:sz w:val="22"/>
          <w:szCs w:val="22"/>
        </w:rPr>
        <w:t>).</w:t>
      </w:r>
    </w:p>
    <w:p w14:paraId="5BC68115" w14:textId="400BA9D2" w:rsidR="00C61C10" w:rsidRPr="00567B06" w:rsidRDefault="00C61C10" w:rsidP="0018389E">
      <w:pPr>
        <w:pStyle w:val="NormalWeb"/>
        <w:spacing w:line="360" w:lineRule="auto"/>
        <w:rPr>
          <w:rFonts w:ascii="Arial" w:hAnsi="Arial" w:cs="Arial"/>
          <w:sz w:val="22"/>
          <w:szCs w:val="22"/>
        </w:rPr>
      </w:pPr>
      <w:r w:rsidRPr="00567B06">
        <w:rPr>
          <w:rFonts w:ascii="Arial" w:eastAsia="Times New Roman" w:hAnsi="Arial" w:cs="Arial"/>
          <w:sz w:val="22"/>
          <w:szCs w:val="22"/>
        </w:rPr>
        <w:t xml:space="preserve">British Heart Foundation (n.d.) </w:t>
      </w:r>
      <w:r w:rsidRPr="00567B06">
        <w:rPr>
          <w:rStyle w:val="Emphasis"/>
          <w:rFonts w:ascii="Arial" w:eastAsia="Times New Roman" w:hAnsi="Arial" w:cs="Arial"/>
          <w:sz w:val="22"/>
          <w:szCs w:val="22"/>
        </w:rPr>
        <w:t>Person-centred care</w:t>
      </w:r>
      <w:r w:rsidRPr="00567B06">
        <w:rPr>
          <w:rFonts w:ascii="Arial" w:eastAsia="Times New Roman" w:hAnsi="Arial" w:cs="Arial"/>
          <w:sz w:val="22"/>
          <w:szCs w:val="22"/>
        </w:rPr>
        <w:t xml:space="preserve">. Available at: </w:t>
      </w:r>
      <w:hyperlink r:id="rId30" w:tgtFrame="_new" w:history="1">
        <w:r w:rsidRPr="00567B06">
          <w:rPr>
            <w:rStyle w:val="Hyperlink"/>
            <w:rFonts w:ascii="Arial" w:eastAsia="Times New Roman" w:hAnsi="Arial" w:cs="Arial"/>
            <w:sz w:val="22"/>
            <w:szCs w:val="22"/>
          </w:rPr>
          <w:t>https://www.bhf.org.uk/informationsupport/support/person-centred-care</w:t>
        </w:r>
      </w:hyperlink>
      <w:r w:rsidRPr="00567B06">
        <w:rPr>
          <w:rFonts w:ascii="Arial" w:eastAsia="Times New Roman" w:hAnsi="Arial" w:cs="Arial"/>
          <w:sz w:val="22"/>
          <w:szCs w:val="22"/>
        </w:rPr>
        <w:t xml:space="preserve"> (Accessed: 24 June 2026).</w:t>
      </w:r>
    </w:p>
    <w:p w14:paraId="69B25922"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Broadbent, E. et al. (2006) ‘Patients with acute myocardial infarction have an inaccurate understanding of their risk of a future cardiac event’, </w:t>
      </w:r>
      <w:r w:rsidRPr="00567B06">
        <w:rPr>
          <w:rStyle w:val="Emphasis"/>
          <w:rFonts w:ascii="Arial" w:hAnsi="Arial" w:cs="Arial"/>
          <w:sz w:val="22"/>
          <w:szCs w:val="22"/>
        </w:rPr>
        <w:t>Internal Medicine Journal</w:t>
      </w:r>
      <w:r w:rsidRPr="00567B06">
        <w:rPr>
          <w:rFonts w:ascii="Arial" w:hAnsi="Arial" w:cs="Arial"/>
          <w:sz w:val="22"/>
          <w:szCs w:val="22"/>
        </w:rPr>
        <w:t xml:space="preserve">, 36(10), pp. 643–647. </w:t>
      </w:r>
      <w:hyperlink r:id="rId31" w:history="1">
        <w:r w:rsidRPr="00567B06">
          <w:rPr>
            <w:rStyle w:val="Hyperlink"/>
            <w:rFonts w:ascii="Arial" w:hAnsi="Arial" w:cs="Arial"/>
            <w:sz w:val="22"/>
            <w:szCs w:val="22"/>
          </w:rPr>
          <w:t>https://doi.org/10.1111/j.1445-5994.2006.01150.x</w:t>
        </w:r>
      </w:hyperlink>
      <w:r w:rsidRPr="00567B06">
        <w:rPr>
          <w:rFonts w:ascii="Arial" w:hAnsi="Arial" w:cs="Arial"/>
          <w:sz w:val="22"/>
          <w:szCs w:val="22"/>
        </w:rPr>
        <w:t>.</w:t>
      </w:r>
    </w:p>
    <w:p w14:paraId="7A1256B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Care Act 2014, c. 23. London: The Stationery Office.</w:t>
      </w:r>
    </w:p>
    <w:p w14:paraId="2C94F9B4"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Dimsdale, J.E. (2008) ‘Psychological stress and cardiovascular disease’, </w:t>
      </w:r>
      <w:r w:rsidRPr="00567B06">
        <w:rPr>
          <w:rStyle w:val="Emphasis"/>
          <w:rFonts w:ascii="Arial" w:hAnsi="Arial" w:cs="Arial"/>
          <w:sz w:val="22"/>
          <w:szCs w:val="22"/>
        </w:rPr>
        <w:t>Journal of the American College of Cardiology</w:t>
      </w:r>
      <w:r w:rsidRPr="00567B06">
        <w:rPr>
          <w:rFonts w:ascii="Arial" w:hAnsi="Arial" w:cs="Arial"/>
          <w:sz w:val="22"/>
          <w:szCs w:val="22"/>
        </w:rPr>
        <w:t xml:space="preserve">, 51(13), pp. 1237–1246. </w:t>
      </w:r>
      <w:hyperlink r:id="rId32" w:history="1">
        <w:r w:rsidRPr="00567B06">
          <w:rPr>
            <w:rStyle w:val="Hyperlink"/>
            <w:rFonts w:ascii="Arial" w:hAnsi="Arial" w:cs="Arial"/>
            <w:sz w:val="22"/>
            <w:szCs w:val="22"/>
          </w:rPr>
          <w:t>https://doi.org/10.1016/j.jacc.2007.12.024</w:t>
        </w:r>
      </w:hyperlink>
      <w:r w:rsidRPr="00567B06">
        <w:rPr>
          <w:rFonts w:ascii="Arial" w:hAnsi="Arial" w:cs="Arial"/>
          <w:sz w:val="22"/>
          <w:szCs w:val="22"/>
        </w:rPr>
        <w:t>.</w:t>
      </w:r>
    </w:p>
    <w:p w14:paraId="6A3C3EC9"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Doran, T. et al. (2006) ‘Pay-for-performance programs in family practices in the United Kingdom’, </w:t>
      </w:r>
      <w:r w:rsidRPr="00567B06">
        <w:rPr>
          <w:rStyle w:val="Emphasis"/>
          <w:rFonts w:ascii="Arial" w:hAnsi="Arial" w:cs="Arial"/>
          <w:sz w:val="22"/>
          <w:szCs w:val="22"/>
        </w:rPr>
        <w:t>New England Journal of Medicine</w:t>
      </w:r>
      <w:r w:rsidRPr="00567B06">
        <w:rPr>
          <w:rFonts w:ascii="Arial" w:hAnsi="Arial" w:cs="Arial"/>
          <w:sz w:val="22"/>
          <w:szCs w:val="22"/>
        </w:rPr>
        <w:t xml:space="preserve">, 355(4), pp. 375–384. </w:t>
      </w:r>
      <w:hyperlink r:id="rId33" w:history="1">
        <w:r w:rsidRPr="00567B06">
          <w:rPr>
            <w:rStyle w:val="Hyperlink"/>
            <w:rFonts w:ascii="Arial" w:hAnsi="Arial" w:cs="Arial"/>
            <w:sz w:val="22"/>
            <w:szCs w:val="22"/>
          </w:rPr>
          <w:t>https://doi.org/10.1056/NEJMsa055505</w:t>
        </w:r>
      </w:hyperlink>
      <w:r w:rsidRPr="00567B06">
        <w:rPr>
          <w:rFonts w:ascii="Arial" w:hAnsi="Arial" w:cs="Arial"/>
          <w:sz w:val="22"/>
          <w:szCs w:val="22"/>
        </w:rPr>
        <w:t>.</w:t>
      </w:r>
    </w:p>
    <w:p w14:paraId="2441A167" w14:textId="5297AB46"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European Society of Hypertension (2023) </w:t>
      </w:r>
      <w:r w:rsidRPr="00567B06">
        <w:rPr>
          <w:rStyle w:val="Emphasis"/>
          <w:rFonts w:ascii="Arial" w:hAnsi="Arial" w:cs="Arial"/>
          <w:sz w:val="22"/>
          <w:szCs w:val="22"/>
        </w:rPr>
        <w:t>2023 ESH Guidelines for the Management of Arterial Hypertension</w:t>
      </w:r>
      <w:r w:rsidRPr="00567B06">
        <w:rPr>
          <w:rFonts w:ascii="Arial" w:hAnsi="Arial" w:cs="Arial"/>
          <w:sz w:val="22"/>
          <w:szCs w:val="22"/>
        </w:rPr>
        <w:t xml:space="preserve">. Available at: </w:t>
      </w:r>
      <w:hyperlink r:id="rId34" w:history="1">
        <w:r w:rsidRPr="00567B06">
          <w:rPr>
            <w:rStyle w:val="Hyperlink"/>
            <w:rFonts w:ascii="Arial" w:hAnsi="Arial" w:cs="Arial"/>
            <w:sz w:val="22"/>
            <w:szCs w:val="22"/>
          </w:rPr>
          <w:t>https://www.eshonline.org/guidelines/2023-guidelines/</w:t>
        </w:r>
      </w:hyperlink>
      <w:r w:rsidRPr="00567B06">
        <w:rPr>
          <w:rFonts w:ascii="Arial" w:hAnsi="Arial" w:cs="Arial"/>
          <w:sz w:val="22"/>
          <w:szCs w:val="22"/>
        </w:rPr>
        <w:t xml:space="preserve"> (Accessed: 1</w:t>
      </w:r>
      <w:r w:rsidR="00AC768E" w:rsidRPr="00567B06">
        <w:rPr>
          <w:rFonts w:ascii="Arial" w:hAnsi="Arial" w:cs="Arial"/>
          <w:sz w:val="22"/>
          <w:szCs w:val="22"/>
        </w:rPr>
        <w:t>4</w:t>
      </w:r>
      <w:r w:rsidRPr="00567B06">
        <w:rPr>
          <w:rFonts w:ascii="Arial" w:hAnsi="Arial" w:cs="Arial"/>
          <w:sz w:val="22"/>
          <w:szCs w:val="22"/>
        </w:rPr>
        <w:t xml:space="preserve"> J</w:t>
      </w:r>
      <w:r w:rsidR="00AC768E" w:rsidRPr="00567B06">
        <w:rPr>
          <w:rFonts w:ascii="Arial" w:hAnsi="Arial" w:cs="Arial"/>
          <w:sz w:val="22"/>
          <w:szCs w:val="22"/>
        </w:rPr>
        <w:t>une</w:t>
      </w:r>
      <w:r w:rsidRPr="00567B06">
        <w:rPr>
          <w:rFonts w:ascii="Arial" w:hAnsi="Arial" w:cs="Arial"/>
          <w:sz w:val="22"/>
          <w:szCs w:val="22"/>
        </w:rPr>
        <w:t xml:space="preserve"> 202</w:t>
      </w:r>
      <w:r w:rsidR="00AC768E" w:rsidRPr="00567B06">
        <w:rPr>
          <w:rFonts w:ascii="Arial" w:hAnsi="Arial" w:cs="Arial"/>
          <w:sz w:val="22"/>
          <w:szCs w:val="22"/>
        </w:rPr>
        <w:t>6</w:t>
      </w:r>
      <w:r w:rsidRPr="00567B06">
        <w:rPr>
          <w:rFonts w:ascii="Arial" w:hAnsi="Arial" w:cs="Arial"/>
          <w:sz w:val="22"/>
          <w:szCs w:val="22"/>
        </w:rPr>
        <w:t>).</w:t>
      </w:r>
    </w:p>
    <w:p w14:paraId="04D9B3FA"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Evangelou, E. et al. (2018) ‘Genetic analysis of over 1 million people identifies 535 new loci associated with blood pressure traits’, </w:t>
      </w:r>
      <w:r w:rsidRPr="00567B06">
        <w:rPr>
          <w:rStyle w:val="Emphasis"/>
          <w:rFonts w:ascii="Arial" w:hAnsi="Arial" w:cs="Arial"/>
          <w:sz w:val="22"/>
          <w:szCs w:val="22"/>
        </w:rPr>
        <w:t>Nature Genetics</w:t>
      </w:r>
      <w:r w:rsidRPr="00567B06">
        <w:rPr>
          <w:rFonts w:ascii="Arial" w:hAnsi="Arial" w:cs="Arial"/>
          <w:sz w:val="22"/>
          <w:szCs w:val="22"/>
        </w:rPr>
        <w:t xml:space="preserve">, 50(10), pp. 1412–1425. </w:t>
      </w:r>
      <w:hyperlink r:id="rId35" w:history="1">
        <w:r w:rsidRPr="00567B06">
          <w:rPr>
            <w:rStyle w:val="Hyperlink"/>
            <w:rFonts w:ascii="Arial" w:hAnsi="Arial" w:cs="Arial"/>
            <w:sz w:val="22"/>
            <w:szCs w:val="22"/>
          </w:rPr>
          <w:t>https://doi.org/10.1038/s41588-018-0205-x</w:t>
        </w:r>
      </w:hyperlink>
      <w:r w:rsidRPr="00567B06">
        <w:rPr>
          <w:rFonts w:ascii="Arial" w:hAnsi="Arial" w:cs="Arial"/>
          <w:sz w:val="22"/>
          <w:szCs w:val="22"/>
        </w:rPr>
        <w:t>.</w:t>
      </w:r>
    </w:p>
    <w:p w14:paraId="2EDA4335"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Greenhalgh, T. et al. (2020) ‘Video consultations for covid-19’, </w:t>
      </w:r>
      <w:r w:rsidRPr="00567B06">
        <w:rPr>
          <w:rStyle w:val="Emphasis"/>
          <w:rFonts w:ascii="Arial" w:hAnsi="Arial" w:cs="Arial"/>
          <w:sz w:val="22"/>
          <w:szCs w:val="22"/>
        </w:rPr>
        <w:t>BMJ</w:t>
      </w:r>
      <w:r w:rsidRPr="00567B06">
        <w:rPr>
          <w:rFonts w:ascii="Arial" w:hAnsi="Arial" w:cs="Arial"/>
          <w:sz w:val="22"/>
          <w:szCs w:val="22"/>
        </w:rPr>
        <w:t xml:space="preserve">, 368, p. m998. </w:t>
      </w:r>
      <w:hyperlink r:id="rId36" w:history="1">
        <w:r w:rsidRPr="00567B06">
          <w:rPr>
            <w:rStyle w:val="Hyperlink"/>
            <w:rFonts w:ascii="Arial" w:hAnsi="Arial" w:cs="Arial"/>
            <w:sz w:val="22"/>
            <w:szCs w:val="22"/>
          </w:rPr>
          <w:t>https://doi.org/10.1136/bmj.m998</w:t>
        </w:r>
      </w:hyperlink>
      <w:r w:rsidRPr="00567B06">
        <w:rPr>
          <w:rFonts w:ascii="Arial" w:hAnsi="Arial" w:cs="Arial"/>
          <w:sz w:val="22"/>
          <w:szCs w:val="22"/>
        </w:rPr>
        <w:t>.</w:t>
      </w:r>
    </w:p>
    <w:p w14:paraId="06510360"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He, F.J. and MacGregor, G.A. (2004) ‘Effect of longer-term modest salt reduction on blood pressure’, </w:t>
      </w:r>
      <w:r w:rsidRPr="00567B06">
        <w:rPr>
          <w:rStyle w:val="Emphasis"/>
          <w:rFonts w:ascii="Arial" w:hAnsi="Arial" w:cs="Arial"/>
          <w:sz w:val="22"/>
          <w:szCs w:val="22"/>
        </w:rPr>
        <w:t>BMJ</w:t>
      </w:r>
      <w:r w:rsidRPr="00567B06">
        <w:rPr>
          <w:rFonts w:ascii="Arial" w:hAnsi="Arial" w:cs="Arial"/>
          <w:sz w:val="22"/>
          <w:szCs w:val="22"/>
        </w:rPr>
        <w:t xml:space="preserve">, 328(7449), p. 1136. </w:t>
      </w:r>
      <w:hyperlink r:id="rId37" w:history="1">
        <w:r w:rsidRPr="00567B06">
          <w:rPr>
            <w:rStyle w:val="Hyperlink"/>
            <w:rFonts w:ascii="Arial" w:hAnsi="Arial" w:cs="Arial"/>
            <w:sz w:val="22"/>
            <w:szCs w:val="22"/>
          </w:rPr>
          <w:t>https://doi.org/10.1136/bmj.38027.604490.7C</w:t>
        </w:r>
      </w:hyperlink>
      <w:r w:rsidRPr="00567B06">
        <w:rPr>
          <w:rFonts w:ascii="Arial" w:hAnsi="Arial" w:cs="Arial"/>
          <w:sz w:val="22"/>
          <w:szCs w:val="22"/>
        </w:rPr>
        <w:t>.</w:t>
      </w:r>
    </w:p>
    <w:p w14:paraId="6CFB3969"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Hibbard, J.H. and Greene, J. (2013) ‘What the evidence shows about patient activation: better health outcomes and care experiences; fewer data on costs’, </w:t>
      </w:r>
      <w:r w:rsidRPr="00567B06">
        <w:rPr>
          <w:rStyle w:val="Emphasis"/>
          <w:rFonts w:ascii="Arial" w:hAnsi="Arial" w:cs="Arial"/>
          <w:sz w:val="22"/>
          <w:szCs w:val="22"/>
        </w:rPr>
        <w:t>Health Affairs</w:t>
      </w:r>
      <w:r w:rsidRPr="00567B06">
        <w:rPr>
          <w:rFonts w:ascii="Arial" w:hAnsi="Arial" w:cs="Arial"/>
          <w:sz w:val="22"/>
          <w:szCs w:val="22"/>
        </w:rPr>
        <w:t xml:space="preserve">, 32(2), pp. 207–214. </w:t>
      </w:r>
      <w:hyperlink r:id="rId38" w:history="1">
        <w:r w:rsidRPr="00567B06">
          <w:rPr>
            <w:rStyle w:val="Hyperlink"/>
            <w:rFonts w:ascii="Arial" w:hAnsi="Arial" w:cs="Arial"/>
            <w:sz w:val="22"/>
            <w:szCs w:val="22"/>
          </w:rPr>
          <w:t>https://doi.org/10.1377/hlthaff.2012.1061</w:t>
        </w:r>
      </w:hyperlink>
      <w:r w:rsidRPr="00567B06">
        <w:rPr>
          <w:rFonts w:ascii="Arial" w:hAnsi="Arial" w:cs="Arial"/>
          <w:sz w:val="22"/>
          <w:szCs w:val="22"/>
        </w:rPr>
        <w:t>.</w:t>
      </w:r>
    </w:p>
    <w:p w14:paraId="7CD6728B"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Lewington, S. et al. (2002) ‘Age-specific relevance of usual blood pressure to vascular mortality: a meta-analysis of individual data for one million adults in 61 prospective studies’, </w:t>
      </w:r>
      <w:r w:rsidRPr="00567B06">
        <w:rPr>
          <w:rStyle w:val="Emphasis"/>
          <w:rFonts w:ascii="Arial" w:hAnsi="Arial" w:cs="Arial"/>
          <w:sz w:val="22"/>
          <w:szCs w:val="22"/>
        </w:rPr>
        <w:t>The Lancet</w:t>
      </w:r>
      <w:r w:rsidRPr="00567B06">
        <w:rPr>
          <w:rFonts w:ascii="Arial" w:hAnsi="Arial" w:cs="Arial"/>
          <w:sz w:val="22"/>
          <w:szCs w:val="22"/>
        </w:rPr>
        <w:t xml:space="preserve">, 360(9349), pp. 1903–1913. </w:t>
      </w:r>
      <w:hyperlink r:id="rId39" w:history="1">
        <w:r w:rsidRPr="00567B06">
          <w:rPr>
            <w:rStyle w:val="Hyperlink"/>
            <w:rFonts w:ascii="Arial" w:hAnsi="Arial" w:cs="Arial"/>
            <w:sz w:val="22"/>
            <w:szCs w:val="22"/>
          </w:rPr>
          <w:t>https://doi.org/10.1016/S0140-6736(02)11911-8</w:t>
        </w:r>
      </w:hyperlink>
      <w:r w:rsidRPr="00567B06">
        <w:rPr>
          <w:rFonts w:ascii="Arial" w:hAnsi="Arial" w:cs="Arial"/>
          <w:sz w:val="22"/>
          <w:szCs w:val="22"/>
        </w:rPr>
        <w:t>.</w:t>
      </w:r>
    </w:p>
    <w:p w14:paraId="49F53302"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Lorig, K.R. and Holman, H.R. (2003) ‘Self-management education: history, definition, outcomes, and mechanisms’, </w:t>
      </w:r>
      <w:r w:rsidRPr="00567B06">
        <w:rPr>
          <w:rStyle w:val="Emphasis"/>
          <w:rFonts w:ascii="Arial" w:hAnsi="Arial" w:cs="Arial"/>
          <w:sz w:val="22"/>
          <w:szCs w:val="22"/>
        </w:rPr>
        <w:t xml:space="preserve">Annals of </w:t>
      </w:r>
      <w:proofErr w:type="spellStart"/>
      <w:r w:rsidRPr="00567B06">
        <w:rPr>
          <w:rStyle w:val="Emphasis"/>
          <w:rFonts w:ascii="Arial" w:hAnsi="Arial" w:cs="Arial"/>
          <w:sz w:val="22"/>
          <w:szCs w:val="22"/>
        </w:rPr>
        <w:t>Behavioral</w:t>
      </w:r>
      <w:proofErr w:type="spellEnd"/>
      <w:r w:rsidRPr="00567B06">
        <w:rPr>
          <w:rStyle w:val="Emphasis"/>
          <w:rFonts w:ascii="Arial" w:hAnsi="Arial" w:cs="Arial"/>
          <w:sz w:val="22"/>
          <w:szCs w:val="22"/>
        </w:rPr>
        <w:t xml:space="preserve"> Medicine</w:t>
      </w:r>
      <w:r w:rsidRPr="00567B06">
        <w:rPr>
          <w:rFonts w:ascii="Arial" w:hAnsi="Arial" w:cs="Arial"/>
          <w:sz w:val="22"/>
          <w:szCs w:val="22"/>
        </w:rPr>
        <w:t xml:space="preserve">, 26(1), pp. 1–7. </w:t>
      </w:r>
      <w:hyperlink r:id="rId40" w:history="1">
        <w:r w:rsidRPr="00567B06">
          <w:rPr>
            <w:rStyle w:val="Hyperlink"/>
            <w:rFonts w:ascii="Arial" w:hAnsi="Arial" w:cs="Arial"/>
            <w:sz w:val="22"/>
            <w:szCs w:val="22"/>
          </w:rPr>
          <w:t>https://doi.org/10.1207/S15324796ABM2601_01</w:t>
        </w:r>
      </w:hyperlink>
      <w:r w:rsidRPr="00567B06">
        <w:rPr>
          <w:rFonts w:ascii="Arial" w:hAnsi="Arial" w:cs="Arial"/>
          <w:sz w:val="22"/>
          <w:szCs w:val="22"/>
        </w:rPr>
        <w:t>.</w:t>
      </w:r>
    </w:p>
    <w:p w14:paraId="5EB2BEF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Marmot, M., Allen, J., </w:t>
      </w:r>
      <w:proofErr w:type="spellStart"/>
      <w:r w:rsidRPr="00567B06">
        <w:rPr>
          <w:rFonts w:ascii="Arial" w:hAnsi="Arial" w:cs="Arial"/>
          <w:sz w:val="22"/>
          <w:szCs w:val="22"/>
        </w:rPr>
        <w:t>Goldblatt</w:t>
      </w:r>
      <w:proofErr w:type="spellEnd"/>
      <w:r w:rsidRPr="00567B06">
        <w:rPr>
          <w:rFonts w:ascii="Arial" w:hAnsi="Arial" w:cs="Arial"/>
          <w:sz w:val="22"/>
          <w:szCs w:val="22"/>
        </w:rPr>
        <w:t xml:space="preserve">, P., Herd, E. and Morrison, J. (2020) </w:t>
      </w:r>
      <w:r w:rsidRPr="00567B06">
        <w:rPr>
          <w:rStyle w:val="Emphasis"/>
          <w:rFonts w:ascii="Arial" w:hAnsi="Arial" w:cs="Arial"/>
          <w:sz w:val="22"/>
          <w:szCs w:val="22"/>
        </w:rPr>
        <w:t>Build Back Fairer: The COVID-19 Marmot Review</w:t>
      </w:r>
      <w:r w:rsidRPr="00567B06">
        <w:rPr>
          <w:rFonts w:ascii="Arial" w:hAnsi="Arial" w:cs="Arial"/>
          <w:sz w:val="22"/>
          <w:szCs w:val="22"/>
        </w:rPr>
        <w:t>. London: Institute of Health Equity.</w:t>
      </w:r>
    </w:p>
    <w:p w14:paraId="0A544759"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Marshall, I.J. (2004) ‘Impact of hypertension on quality of life: a systematic review’, </w:t>
      </w:r>
      <w:r w:rsidRPr="00567B06">
        <w:rPr>
          <w:rStyle w:val="Emphasis"/>
          <w:rFonts w:ascii="Arial" w:hAnsi="Arial" w:cs="Arial"/>
          <w:sz w:val="22"/>
          <w:szCs w:val="22"/>
        </w:rPr>
        <w:t>BMC Cardiovascular Disorders</w:t>
      </w:r>
      <w:r w:rsidRPr="00567B06">
        <w:rPr>
          <w:rFonts w:ascii="Arial" w:hAnsi="Arial" w:cs="Arial"/>
          <w:sz w:val="22"/>
          <w:szCs w:val="22"/>
        </w:rPr>
        <w:t xml:space="preserve">, 4, p. 13. </w:t>
      </w:r>
      <w:hyperlink r:id="rId41" w:history="1">
        <w:r w:rsidRPr="00567B06">
          <w:rPr>
            <w:rStyle w:val="Hyperlink"/>
            <w:rFonts w:ascii="Arial" w:hAnsi="Arial" w:cs="Arial"/>
            <w:sz w:val="22"/>
            <w:szCs w:val="22"/>
          </w:rPr>
          <w:t>https://doi.org/10.1186/1471-2261-4-13</w:t>
        </w:r>
      </w:hyperlink>
      <w:r w:rsidRPr="00567B06">
        <w:rPr>
          <w:rFonts w:ascii="Arial" w:hAnsi="Arial" w:cs="Arial"/>
          <w:sz w:val="22"/>
          <w:szCs w:val="22"/>
        </w:rPr>
        <w:t>.</w:t>
      </w:r>
    </w:p>
    <w:p w14:paraId="5E41D75B"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Mena-Martin, F.J. et al. (2003) ‘Health-related quality of life of subjects with known and unknown hypertension’, </w:t>
      </w:r>
      <w:r w:rsidRPr="00567B06">
        <w:rPr>
          <w:rStyle w:val="Emphasis"/>
          <w:rFonts w:ascii="Arial" w:hAnsi="Arial" w:cs="Arial"/>
          <w:sz w:val="22"/>
          <w:szCs w:val="22"/>
        </w:rPr>
        <w:t>American Journal of Hypertension</w:t>
      </w:r>
      <w:r w:rsidRPr="00567B06">
        <w:rPr>
          <w:rFonts w:ascii="Arial" w:hAnsi="Arial" w:cs="Arial"/>
          <w:sz w:val="22"/>
          <w:szCs w:val="22"/>
        </w:rPr>
        <w:t xml:space="preserve">, 16(7), pp. 574–578. </w:t>
      </w:r>
      <w:hyperlink r:id="rId42" w:history="1">
        <w:r w:rsidRPr="00567B06">
          <w:rPr>
            <w:rStyle w:val="Hyperlink"/>
            <w:rFonts w:ascii="Arial" w:hAnsi="Arial" w:cs="Arial"/>
            <w:sz w:val="22"/>
            <w:szCs w:val="22"/>
          </w:rPr>
          <w:t>https://doi.org/10.1016/S0895-7061(03)00879-7</w:t>
        </w:r>
      </w:hyperlink>
      <w:r w:rsidRPr="00567B06">
        <w:rPr>
          <w:rFonts w:ascii="Arial" w:hAnsi="Arial" w:cs="Arial"/>
          <w:sz w:val="22"/>
          <w:szCs w:val="22"/>
        </w:rPr>
        <w:t>.</w:t>
      </w:r>
    </w:p>
    <w:p w14:paraId="1EEF967A"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Miller, W.R. and Rollnick, S. (2013) </w:t>
      </w:r>
      <w:r w:rsidRPr="00567B06">
        <w:rPr>
          <w:rStyle w:val="Emphasis"/>
          <w:rFonts w:ascii="Arial" w:hAnsi="Arial" w:cs="Arial"/>
          <w:sz w:val="22"/>
          <w:szCs w:val="22"/>
        </w:rPr>
        <w:t>Motivational Interviewing: Helping People Change</w:t>
      </w:r>
      <w:r w:rsidRPr="00567B06">
        <w:rPr>
          <w:rFonts w:ascii="Arial" w:hAnsi="Arial" w:cs="Arial"/>
          <w:sz w:val="22"/>
          <w:szCs w:val="22"/>
        </w:rPr>
        <w:t>. 3rd edn. New York: Guilford Press.</w:t>
      </w:r>
    </w:p>
    <w:p w14:paraId="686C86AE"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National Institute for Health and Care Excellence (2019) </w:t>
      </w:r>
      <w:r w:rsidRPr="00567B06">
        <w:rPr>
          <w:rStyle w:val="Emphasis"/>
          <w:rFonts w:ascii="Arial" w:hAnsi="Arial" w:cs="Arial"/>
          <w:sz w:val="22"/>
          <w:szCs w:val="22"/>
        </w:rPr>
        <w:t>Multimorbidity: Clinical Assessment and Management</w:t>
      </w:r>
      <w:r w:rsidRPr="00567B06">
        <w:rPr>
          <w:rFonts w:ascii="Arial" w:hAnsi="Arial" w:cs="Arial"/>
          <w:sz w:val="22"/>
          <w:szCs w:val="22"/>
        </w:rPr>
        <w:t>. NG56. London: NICE.</w:t>
      </w:r>
    </w:p>
    <w:p w14:paraId="2677C28A"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lastRenderedPageBreak/>
        <w:t xml:space="preserve">National Institute for Health and Care Excellence (2021) </w:t>
      </w:r>
      <w:r w:rsidRPr="00567B06">
        <w:rPr>
          <w:rStyle w:val="Emphasis"/>
          <w:rFonts w:ascii="Arial" w:hAnsi="Arial" w:cs="Arial"/>
          <w:sz w:val="22"/>
          <w:szCs w:val="22"/>
        </w:rPr>
        <w:t>Shared Decision Making</w:t>
      </w:r>
      <w:r w:rsidRPr="00567B06">
        <w:rPr>
          <w:rFonts w:ascii="Arial" w:hAnsi="Arial" w:cs="Arial"/>
          <w:sz w:val="22"/>
          <w:szCs w:val="22"/>
        </w:rPr>
        <w:t>. NG197. London: NICE.</w:t>
      </w:r>
    </w:p>
    <w:p w14:paraId="5B6EEF3D" w14:textId="447C78C9"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National Institute for Health and Care Excellence (2023) </w:t>
      </w:r>
      <w:r w:rsidRPr="00567B06">
        <w:rPr>
          <w:rStyle w:val="Emphasis"/>
          <w:rFonts w:ascii="Arial" w:hAnsi="Arial" w:cs="Arial"/>
          <w:sz w:val="22"/>
          <w:szCs w:val="22"/>
        </w:rPr>
        <w:t>Hypertension in Adults: Diagnosis and Management</w:t>
      </w:r>
      <w:r w:rsidRPr="00567B06">
        <w:rPr>
          <w:rFonts w:ascii="Arial" w:hAnsi="Arial" w:cs="Arial"/>
          <w:sz w:val="22"/>
          <w:szCs w:val="22"/>
        </w:rPr>
        <w:t xml:space="preserve">. NG136. London: NICE. Available at: </w:t>
      </w:r>
      <w:hyperlink r:id="rId43" w:history="1">
        <w:r w:rsidRPr="00567B06">
          <w:rPr>
            <w:rStyle w:val="Hyperlink"/>
            <w:rFonts w:ascii="Arial" w:hAnsi="Arial" w:cs="Arial"/>
            <w:sz w:val="22"/>
            <w:szCs w:val="22"/>
          </w:rPr>
          <w:t>https://www.nice.org.uk/guidance/ng136</w:t>
        </w:r>
      </w:hyperlink>
      <w:r w:rsidRPr="00567B06">
        <w:rPr>
          <w:rFonts w:ascii="Arial" w:hAnsi="Arial" w:cs="Arial"/>
          <w:sz w:val="22"/>
          <w:szCs w:val="22"/>
        </w:rPr>
        <w:t xml:space="preserve"> (Accessed:</w:t>
      </w:r>
      <w:r w:rsidR="002463DD" w:rsidRPr="00567B06">
        <w:rPr>
          <w:rFonts w:ascii="Arial" w:hAnsi="Arial" w:cs="Arial"/>
          <w:sz w:val="22"/>
          <w:szCs w:val="22"/>
        </w:rPr>
        <w:t xml:space="preserve"> 19</w:t>
      </w:r>
      <w:r w:rsidRPr="00567B06">
        <w:rPr>
          <w:rFonts w:ascii="Arial" w:hAnsi="Arial" w:cs="Arial"/>
          <w:sz w:val="22"/>
          <w:szCs w:val="22"/>
        </w:rPr>
        <w:t xml:space="preserve"> </w:t>
      </w:r>
      <w:r w:rsidR="002463DD" w:rsidRPr="00567B06">
        <w:rPr>
          <w:rFonts w:ascii="Arial" w:hAnsi="Arial" w:cs="Arial"/>
          <w:sz w:val="22"/>
          <w:szCs w:val="22"/>
        </w:rPr>
        <w:t>June</w:t>
      </w:r>
      <w:r w:rsidRPr="00567B06">
        <w:rPr>
          <w:rFonts w:ascii="Arial" w:hAnsi="Arial" w:cs="Arial"/>
          <w:sz w:val="22"/>
          <w:szCs w:val="22"/>
        </w:rPr>
        <w:t xml:space="preserve"> 202</w:t>
      </w:r>
      <w:r w:rsidR="002463DD" w:rsidRPr="00567B06">
        <w:rPr>
          <w:rFonts w:ascii="Arial" w:hAnsi="Arial" w:cs="Arial"/>
          <w:sz w:val="22"/>
          <w:szCs w:val="22"/>
        </w:rPr>
        <w:t>6</w:t>
      </w:r>
      <w:r w:rsidRPr="00567B06">
        <w:rPr>
          <w:rFonts w:ascii="Arial" w:hAnsi="Arial" w:cs="Arial"/>
          <w:sz w:val="22"/>
          <w:szCs w:val="22"/>
        </w:rPr>
        <w:t>).</w:t>
      </w:r>
    </w:p>
    <w:p w14:paraId="49DCDF7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Neter, J.E., </w:t>
      </w:r>
      <w:proofErr w:type="spellStart"/>
      <w:r w:rsidRPr="00567B06">
        <w:rPr>
          <w:rFonts w:ascii="Arial" w:hAnsi="Arial" w:cs="Arial"/>
          <w:sz w:val="22"/>
          <w:szCs w:val="22"/>
        </w:rPr>
        <w:t>Stam</w:t>
      </w:r>
      <w:proofErr w:type="spellEnd"/>
      <w:r w:rsidRPr="00567B06">
        <w:rPr>
          <w:rFonts w:ascii="Arial" w:hAnsi="Arial" w:cs="Arial"/>
          <w:sz w:val="22"/>
          <w:szCs w:val="22"/>
        </w:rPr>
        <w:t xml:space="preserve">, B.E., </w:t>
      </w:r>
      <w:proofErr w:type="spellStart"/>
      <w:r w:rsidRPr="00567B06">
        <w:rPr>
          <w:rFonts w:ascii="Arial" w:hAnsi="Arial" w:cs="Arial"/>
          <w:sz w:val="22"/>
          <w:szCs w:val="22"/>
        </w:rPr>
        <w:t>Kok</w:t>
      </w:r>
      <w:proofErr w:type="spellEnd"/>
      <w:r w:rsidRPr="00567B06">
        <w:rPr>
          <w:rFonts w:ascii="Arial" w:hAnsi="Arial" w:cs="Arial"/>
          <w:sz w:val="22"/>
          <w:szCs w:val="22"/>
        </w:rPr>
        <w:t xml:space="preserve">, F.J., </w:t>
      </w:r>
      <w:proofErr w:type="spellStart"/>
      <w:r w:rsidRPr="00567B06">
        <w:rPr>
          <w:rFonts w:ascii="Arial" w:hAnsi="Arial" w:cs="Arial"/>
          <w:sz w:val="22"/>
          <w:szCs w:val="22"/>
        </w:rPr>
        <w:t>Grobbee</w:t>
      </w:r>
      <w:proofErr w:type="spellEnd"/>
      <w:r w:rsidRPr="00567B06">
        <w:rPr>
          <w:rFonts w:ascii="Arial" w:hAnsi="Arial" w:cs="Arial"/>
          <w:sz w:val="22"/>
          <w:szCs w:val="22"/>
        </w:rPr>
        <w:t xml:space="preserve">, D.E. and </w:t>
      </w:r>
      <w:proofErr w:type="spellStart"/>
      <w:r w:rsidRPr="00567B06">
        <w:rPr>
          <w:rFonts w:ascii="Arial" w:hAnsi="Arial" w:cs="Arial"/>
          <w:sz w:val="22"/>
          <w:szCs w:val="22"/>
        </w:rPr>
        <w:t>Geleijnse</w:t>
      </w:r>
      <w:proofErr w:type="spellEnd"/>
      <w:r w:rsidRPr="00567B06">
        <w:rPr>
          <w:rFonts w:ascii="Arial" w:hAnsi="Arial" w:cs="Arial"/>
          <w:sz w:val="22"/>
          <w:szCs w:val="22"/>
        </w:rPr>
        <w:t xml:space="preserve">, J.M. (2003) ‘Influence of weight reduction on blood pressure: a meta-analysis of randomized controlled trials’, </w:t>
      </w:r>
      <w:r w:rsidRPr="00567B06">
        <w:rPr>
          <w:rStyle w:val="Emphasis"/>
          <w:rFonts w:ascii="Arial" w:hAnsi="Arial" w:cs="Arial"/>
          <w:sz w:val="22"/>
          <w:szCs w:val="22"/>
        </w:rPr>
        <w:t>Hypertension</w:t>
      </w:r>
      <w:r w:rsidRPr="00567B06">
        <w:rPr>
          <w:rFonts w:ascii="Arial" w:hAnsi="Arial" w:cs="Arial"/>
          <w:sz w:val="22"/>
          <w:szCs w:val="22"/>
        </w:rPr>
        <w:t xml:space="preserve">, 42(5), pp. 878–884. </w:t>
      </w:r>
      <w:hyperlink r:id="rId44" w:history="1">
        <w:r w:rsidRPr="00567B06">
          <w:rPr>
            <w:rStyle w:val="Hyperlink"/>
            <w:rFonts w:ascii="Arial" w:hAnsi="Arial" w:cs="Arial"/>
            <w:sz w:val="22"/>
            <w:szCs w:val="22"/>
          </w:rPr>
          <w:t>https://doi.org/10.1161/01.HYP.0000094221.86888.AE</w:t>
        </w:r>
      </w:hyperlink>
      <w:r w:rsidRPr="00567B06">
        <w:rPr>
          <w:rFonts w:ascii="Arial" w:hAnsi="Arial" w:cs="Arial"/>
          <w:sz w:val="22"/>
          <w:szCs w:val="22"/>
        </w:rPr>
        <w:t>.</w:t>
      </w:r>
    </w:p>
    <w:p w14:paraId="397585B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(2015) </w:t>
      </w:r>
      <w:r w:rsidRPr="00567B06">
        <w:rPr>
          <w:rStyle w:val="Emphasis"/>
          <w:rFonts w:ascii="Arial" w:hAnsi="Arial" w:cs="Arial"/>
          <w:sz w:val="22"/>
          <w:szCs w:val="22"/>
        </w:rPr>
        <w:t>House of Care: A Framework for Long Term Condition Management</w:t>
      </w:r>
      <w:r w:rsidRPr="00567B06">
        <w:rPr>
          <w:rFonts w:ascii="Arial" w:hAnsi="Arial" w:cs="Arial"/>
          <w:sz w:val="22"/>
          <w:szCs w:val="22"/>
        </w:rPr>
        <w:t>. London: NHS England.</w:t>
      </w:r>
    </w:p>
    <w:p w14:paraId="6C977AC5" w14:textId="6746A865"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(2019) </w:t>
      </w:r>
      <w:r w:rsidRPr="00567B06">
        <w:rPr>
          <w:rStyle w:val="Emphasis"/>
          <w:rFonts w:ascii="Arial" w:hAnsi="Arial" w:cs="Arial"/>
          <w:sz w:val="22"/>
          <w:szCs w:val="22"/>
        </w:rPr>
        <w:t>The NHS Long Term Plan</w:t>
      </w:r>
      <w:r w:rsidRPr="00567B06">
        <w:rPr>
          <w:rFonts w:ascii="Arial" w:hAnsi="Arial" w:cs="Arial"/>
          <w:sz w:val="22"/>
          <w:szCs w:val="22"/>
        </w:rPr>
        <w:t xml:space="preserve">. London: NHS England. Available at: </w:t>
      </w:r>
      <w:hyperlink r:id="rId45" w:history="1">
        <w:r w:rsidRPr="00567B06">
          <w:rPr>
            <w:rStyle w:val="Hyperlink"/>
            <w:rFonts w:ascii="Arial" w:hAnsi="Arial" w:cs="Arial"/>
            <w:sz w:val="22"/>
            <w:szCs w:val="22"/>
          </w:rPr>
          <w:t>https://www.longtermplan.nhs.uk</w:t>
        </w:r>
      </w:hyperlink>
      <w:r w:rsidRPr="00567B06">
        <w:rPr>
          <w:rFonts w:ascii="Arial" w:hAnsi="Arial" w:cs="Arial"/>
          <w:sz w:val="22"/>
          <w:szCs w:val="22"/>
        </w:rPr>
        <w:t xml:space="preserve"> (Accessed: 1</w:t>
      </w:r>
      <w:r w:rsidR="003E3AA4" w:rsidRPr="00567B06">
        <w:rPr>
          <w:rFonts w:ascii="Arial" w:hAnsi="Arial" w:cs="Arial"/>
          <w:sz w:val="22"/>
          <w:szCs w:val="22"/>
        </w:rPr>
        <w:t xml:space="preserve">5 June </w:t>
      </w:r>
      <w:r w:rsidRPr="00567B06">
        <w:rPr>
          <w:rFonts w:ascii="Arial" w:hAnsi="Arial" w:cs="Arial"/>
          <w:sz w:val="22"/>
          <w:szCs w:val="22"/>
        </w:rPr>
        <w:t>202</w:t>
      </w:r>
      <w:r w:rsidR="003E3AA4" w:rsidRPr="00567B06">
        <w:rPr>
          <w:rFonts w:ascii="Arial" w:hAnsi="Arial" w:cs="Arial"/>
          <w:sz w:val="22"/>
          <w:szCs w:val="22"/>
        </w:rPr>
        <w:t>6).</w:t>
      </w:r>
    </w:p>
    <w:p w14:paraId="55E5ABAA" w14:textId="1F91DC2D" w:rsidR="00107AFB" w:rsidRPr="00567B06" w:rsidRDefault="00A043C2" w:rsidP="0018389E">
      <w:pPr>
        <w:pStyle w:val="NormalWeb"/>
        <w:spacing w:line="360" w:lineRule="auto"/>
        <w:rPr>
          <w:rFonts w:ascii="Arial" w:hAnsi="Arial" w:cs="Arial"/>
          <w:sz w:val="22"/>
          <w:szCs w:val="22"/>
        </w:rPr>
      </w:pPr>
      <w:r w:rsidRPr="00567B06">
        <w:rPr>
          <w:rFonts w:ascii="Arial" w:hAnsi="Arial" w:cs="Arial"/>
          <w:sz w:val="22"/>
          <w:szCs w:val="22"/>
        </w:rPr>
        <w:t xml:space="preserve">NHS (2024) </w:t>
      </w:r>
      <w:r w:rsidR="00CE6EEF" w:rsidRPr="00567B06">
        <w:rPr>
          <w:rFonts w:ascii="Arial" w:hAnsi="Arial" w:cs="Arial"/>
          <w:i/>
          <w:iCs/>
          <w:sz w:val="22"/>
          <w:szCs w:val="22"/>
        </w:rPr>
        <w:t xml:space="preserve"> Blood Pressure </w:t>
      </w:r>
      <w:r w:rsidR="004C4B0D" w:rsidRPr="00567B06">
        <w:rPr>
          <w:rFonts w:ascii="Arial" w:hAnsi="Arial" w:cs="Arial"/>
          <w:i/>
          <w:iCs/>
          <w:sz w:val="22"/>
          <w:szCs w:val="22"/>
        </w:rPr>
        <w:t>Measurement</w:t>
      </w:r>
      <w:r w:rsidR="001A04E7" w:rsidRPr="00567B06">
        <w:rPr>
          <w:rFonts w:ascii="Arial" w:hAnsi="Arial" w:cs="Arial"/>
          <w:i/>
          <w:iCs/>
          <w:sz w:val="22"/>
          <w:szCs w:val="22"/>
        </w:rPr>
        <w:t xml:space="preserve">: </w:t>
      </w:r>
      <w:r w:rsidR="001A04E7" w:rsidRPr="00567B06">
        <w:rPr>
          <w:rFonts w:ascii="Arial" w:hAnsi="Arial" w:cs="Arial"/>
          <w:sz w:val="22"/>
          <w:szCs w:val="22"/>
        </w:rPr>
        <w:t xml:space="preserve">NHS England. Available at: </w:t>
      </w:r>
      <w:hyperlink r:id="rId46" w:history="1">
        <w:r w:rsidR="00D940F5" w:rsidRPr="00567B06">
          <w:rPr>
            <w:rStyle w:val="Hyperlink"/>
            <w:rFonts w:ascii="Arial" w:hAnsi="Arial" w:cs="Arial"/>
            <w:sz w:val="22"/>
            <w:szCs w:val="22"/>
          </w:rPr>
          <w:t>https://www.eastbasildonpcn.nhs.uk/news/blood-pressure-measurement/</w:t>
        </w:r>
      </w:hyperlink>
      <w:r w:rsidR="00D940F5" w:rsidRPr="00567B06">
        <w:rPr>
          <w:rFonts w:ascii="Arial" w:hAnsi="Arial" w:cs="Arial"/>
          <w:sz w:val="22"/>
          <w:szCs w:val="22"/>
        </w:rPr>
        <w:t xml:space="preserve"> </w:t>
      </w:r>
      <w:r w:rsidR="00B70383" w:rsidRPr="00567B06">
        <w:rPr>
          <w:rFonts w:ascii="Arial" w:hAnsi="Arial" w:cs="Arial"/>
          <w:sz w:val="22"/>
          <w:szCs w:val="22"/>
        </w:rPr>
        <w:t xml:space="preserve">( Accessed: </w:t>
      </w:r>
      <w:r w:rsidR="002D491B" w:rsidRPr="00567B06">
        <w:rPr>
          <w:rFonts w:ascii="Arial" w:hAnsi="Arial" w:cs="Arial"/>
          <w:sz w:val="22"/>
          <w:szCs w:val="22"/>
        </w:rPr>
        <w:t>21 June 2026).</w:t>
      </w:r>
    </w:p>
    <w:p w14:paraId="0A4DC7B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(2021) </w:t>
      </w:r>
      <w:r w:rsidRPr="00567B06">
        <w:rPr>
          <w:rStyle w:val="Emphasis"/>
          <w:rFonts w:ascii="Arial" w:hAnsi="Arial" w:cs="Arial"/>
          <w:sz w:val="22"/>
          <w:szCs w:val="22"/>
        </w:rPr>
        <w:t>NHS Health Inequalities Improvement Programme</w:t>
      </w:r>
      <w:r w:rsidRPr="00567B06">
        <w:rPr>
          <w:rFonts w:ascii="Arial" w:hAnsi="Arial" w:cs="Arial"/>
          <w:sz w:val="22"/>
          <w:szCs w:val="22"/>
        </w:rPr>
        <w:t>. London: NHS England.</w:t>
      </w:r>
    </w:p>
    <w:p w14:paraId="64F44DF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NHS England (2023) </w:t>
      </w:r>
      <w:r w:rsidRPr="00567B06">
        <w:rPr>
          <w:rStyle w:val="Emphasis"/>
          <w:rFonts w:ascii="Arial" w:hAnsi="Arial" w:cs="Arial"/>
          <w:sz w:val="22"/>
          <w:szCs w:val="22"/>
        </w:rPr>
        <w:t>Hypertension Case Finding and Optimisation Service: Guidance</w:t>
      </w:r>
      <w:r w:rsidRPr="00567B06">
        <w:rPr>
          <w:rFonts w:ascii="Arial" w:hAnsi="Arial" w:cs="Arial"/>
          <w:sz w:val="22"/>
          <w:szCs w:val="22"/>
        </w:rPr>
        <w:t>. London: NHS England.</w:t>
      </w:r>
    </w:p>
    <w:p w14:paraId="0B60C2D2"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O’Mahony, D. et al. (2023) ‘STOPP/START criteria for potentially inappropriate prescribing in older people: version 3’, </w:t>
      </w:r>
      <w:r w:rsidRPr="00567B06">
        <w:rPr>
          <w:rStyle w:val="Emphasis"/>
          <w:rFonts w:ascii="Arial" w:hAnsi="Arial" w:cs="Arial"/>
          <w:sz w:val="22"/>
          <w:szCs w:val="22"/>
        </w:rPr>
        <w:t>European Geriatric Medicine</w:t>
      </w:r>
      <w:r w:rsidRPr="00567B06">
        <w:rPr>
          <w:rFonts w:ascii="Arial" w:hAnsi="Arial" w:cs="Arial"/>
          <w:sz w:val="22"/>
          <w:szCs w:val="22"/>
        </w:rPr>
        <w:t xml:space="preserve">, 14(4), pp. 625–632. </w:t>
      </w:r>
      <w:hyperlink r:id="rId47" w:history="1">
        <w:r w:rsidRPr="00567B06">
          <w:rPr>
            <w:rStyle w:val="Hyperlink"/>
            <w:rFonts w:ascii="Arial" w:hAnsi="Arial" w:cs="Arial"/>
            <w:sz w:val="22"/>
            <w:szCs w:val="22"/>
          </w:rPr>
          <w:t>https://doi.org/10.1007/s41999-023-00777-y</w:t>
        </w:r>
      </w:hyperlink>
      <w:r w:rsidRPr="00567B06">
        <w:rPr>
          <w:rFonts w:ascii="Arial" w:hAnsi="Arial" w:cs="Arial"/>
          <w:sz w:val="22"/>
          <w:szCs w:val="22"/>
        </w:rPr>
        <w:t>.</w:t>
      </w:r>
    </w:p>
    <w:p w14:paraId="1A1EB8F3"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Roerecke, M. et al. (2017) ‘Sex-specific associations between alcohol consumption and incidence of hypertension: a systematic review and meta-analysis of cohort studies’, </w:t>
      </w:r>
      <w:r w:rsidRPr="00567B06">
        <w:rPr>
          <w:rStyle w:val="Emphasis"/>
          <w:rFonts w:ascii="Arial" w:hAnsi="Arial" w:cs="Arial"/>
          <w:sz w:val="22"/>
          <w:szCs w:val="22"/>
        </w:rPr>
        <w:t>Journal of the American Heart Association</w:t>
      </w:r>
      <w:r w:rsidRPr="00567B06">
        <w:rPr>
          <w:rFonts w:ascii="Arial" w:hAnsi="Arial" w:cs="Arial"/>
          <w:sz w:val="22"/>
          <w:szCs w:val="22"/>
        </w:rPr>
        <w:t xml:space="preserve">, 7(13), p. e008202. </w:t>
      </w:r>
      <w:hyperlink r:id="rId48" w:history="1">
        <w:r w:rsidRPr="00567B06">
          <w:rPr>
            <w:rStyle w:val="Hyperlink"/>
            <w:rFonts w:ascii="Arial" w:hAnsi="Arial" w:cs="Arial"/>
            <w:sz w:val="22"/>
            <w:szCs w:val="22"/>
          </w:rPr>
          <w:t>https://doi.org/10.1161/JAHA.117.008202</w:t>
        </w:r>
      </w:hyperlink>
      <w:r w:rsidRPr="00567B06">
        <w:rPr>
          <w:rFonts w:ascii="Arial" w:hAnsi="Arial" w:cs="Arial"/>
          <w:sz w:val="22"/>
          <w:szCs w:val="22"/>
        </w:rPr>
        <w:t>.</w:t>
      </w:r>
    </w:p>
    <w:p w14:paraId="27AA00C5"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Rubak, S., </w:t>
      </w:r>
      <w:proofErr w:type="spellStart"/>
      <w:r w:rsidRPr="00567B06">
        <w:rPr>
          <w:rFonts w:ascii="Arial" w:hAnsi="Arial" w:cs="Arial"/>
          <w:sz w:val="22"/>
          <w:szCs w:val="22"/>
        </w:rPr>
        <w:t>Sandbaek</w:t>
      </w:r>
      <w:proofErr w:type="spellEnd"/>
      <w:r w:rsidRPr="00567B06">
        <w:rPr>
          <w:rFonts w:ascii="Arial" w:hAnsi="Arial" w:cs="Arial"/>
          <w:sz w:val="22"/>
          <w:szCs w:val="22"/>
        </w:rPr>
        <w:t xml:space="preserve">, A., </w:t>
      </w:r>
      <w:proofErr w:type="spellStart"/>
      <w:r w:rsidRPr="00567B06">
        <w:rPr>
          <w:rFonts w:ascii="Arial" w:hAnsi="Arial" w:cs="Arial"/>
          <w:sz w:val="22"/>
          <w:szCs w:val="22"/>
        </w:rPr>
        <w:t>Lauritzen</w:t>
      </w:r>
      <w:proofErr w:type="spellEnd"/>
      <w:r w:rsidRPr="00567B06">
        <w:rPr>
          <w:rFonts w:ascii="Arial" w:hAnsi="Arial" w:cs="Arial"/>
          <w:sz w:val="22"/>
          <w:szCs w:val="22"/>
        </w:rPr>
        <w:t xml:space="preserve">, T. and Christensen, B. (2005) ‘Motivational interviewing: a systematic review and meta-analysis’, </w:t>
      </w:r>
      <w:r w:rsidRPr="00567B06">
        <w:rPr>
          <w:rStyle w:val="Emphasis"/>
          <w:rFonts w:ascii="Arial" w:hAnsi="Arial" w:cs="Arial"/>
          <w:sz w:val="22"/>
          <w:szCs w:val="22"/>
        </w:rPr>
        <w:t>British Journal of General Practice</w:t>
      </w:r>
      <w:r w:rsidRPr="00567B06">
        <w:rPr>
          <w:rFonts w:ascii="Arial" w:hAnsi="Arial" w:cs="Arial"/>
          <w:sz w:val="22"/>
          <w:szCs w:val="22"/>
        </w:rPr>
        <w:t>, 55(513), pp. 305–312.</w:t>
      </w:r>
    </w:p>
    <w:p w14:paraId="3FEC4BC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Sinnott, S.J., Buckley, C., </w:t>
      </w:r>
      <w:proofErr w:type="spellStart"/>
      <w:r w:rsidRPr="00567B06">
        <w:rPr>
          <w:rFonts w:ascii="Arial" w:hAnsi="Arial" w:cs="Arial"/>
          <w:sz w:val="22"/>
          <w:szCs w:val="22"/>
        </w:rPr>
        <w:t>O’Riordan</w:t>
      </w:r>
      <w:proofErr w:type="spellEnd"/>
      <w:r w:rsidRPr="00567B06">
        <w:rPr>
          <w:rFonts w:ascii="Arial" w:hAnsi="Arial" w:cs="Arial"/>
          <w:sz w:val="22"/>
          <w:szCs w:val="22"/>
        </w:rPr>
        <w:t xml:space="preserve">, D., Bradley, C. and </w:t>
      </w:r>
      <w:proofErr w:type="spellStart"/>
      <w:r w:rsidRPr="00567B06">
        <w:rPr>
          <w:rFonts w:ascii="Arial" w:hAnsi="Arial" w:cs="Arial"/>
          <w:sz w:val="22"/>
          <w:szCs w:val="22"/>
        </w:rPr>
        <w:t>Whelton</w:t>
      </w:r>
      <w:proofErr w:type="spellEnd"/>
      <w:r w:rsidRPr="00567B06">
        <w:rPr>
          <w:rFonts w:ascii="Arial" w:hAnsi="Arial" w:cs="Arial"/>
          <w:sz w:val="22"/>
          <w:szCs w:val="22"/>
        </w:rPr>
        <w:t xml:space="preserve">, H. (2013) ‘The effect of </w:t>
      </w:r>
      <w:proofErr w:type="spellStart"/>
      <w:r w:rsidRPr="00567B06">
        <w:rPr>
          <w:rFonts w:ascii="Arial" w:hAnsi="Arial" w:cs="Arial"/>
          <w:sz w:val="22"/>
          <w:szCs w:val="22"/>
        </w:rPr>
        <w:t>copayments</w:t>
      </w:r>
      <w:proofErr w:type="spellEnd"/>
      <w:r w:rsidRPr="00567B06">
        <w:rPr>
          <w:rFonts w:ascii="Arial" w:hAnsi="Arial" w:cs="Arial"/>
          <w:sz w:val="22"/>
          <w:szCs w:val="22"/>
        </w:rPr>
        <w:t xml:space="preserve"> for prescriptions on adherence to prescription medicines in publicly insured </w:t>
      </w:r>
      <w:r w:rsidRPr="00567B06">
        <w:rPr>
          <w:rFonts w:ascii="Arial" w:hAnsi="Arial" w:cs="Arial"/>
          <w:sz w:val="22"/>
          <w:szCs w:val="22"/>
        </w:rPr>
        <w:lastRenderedPageBreak/>
        <w:t xml:space="preserve">populations: a systematic review and meta-analysis’, </w:t>
      </w:r>
      <w:r w:rsidRPr="00567B06">
        <w:rPr>
          <w:rStyle w:val="Emphasis"/>
          <w:rFonts w:ascii="Arial" w:hAnsi="Arial" w:cs="Arial"/>
          <w:sz w:val="22"/>
          <w:szCs w:val="22"/>
        </w:rPr>
        <w:t>PLoS ONE</w:t>
      </w:r>
      <w:r w:rsidRPr="00567B06">
        <w:rPr>
          <w:rFonts w:ascii="Arial" w:hAnsi="Arial" w:cs="Arial"/>
          <w:sz w:val="22"/>
          <w:szCs w:val="22"/>
        </w:rPr>
        <w:t xml:space="preserve">, 8(5), p. e64914. </w:t>
      </w:r>
      <w:hyperlink r:id="rId49" w:history="1">
        <w:r w:rsidRPr="00567B06">
          <w:rPr>
            <w:rStyle w:val="Hyperlink"/>
            <w:rFonts w:ascii="Arial" w:hAnsi="Arial" w:cs="Arial"/>
            <w:sz w:val="22"/>
            <w:szCs w:val="22"/>
          </w:rPr>
          <w:t>https://doi.org/10.1371/journal.pone.0064914</w:t>
        </w:r>
      </w:hyperlink>
      <w:r w:rsidRPr="00567B06">
        <w:rPr>
          <w:rFonts w:ascii="Arial" w:hAnsi="Arial" w:cs="Arial"/>
          <w:sz w:val="22"/>
          <w:szCs w:val="22"/>
        </w:rPr>
        <w:t>.</w:t>
      </w:r>
    </w:p>
    <w:p w14:paraId="6723CC5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Tucker, K.L. et al. (2017) ‘Self-monitoring of blood pressure in hypertension: a systematic review and individual patient data meta-analysis’, </w:t>
      </w:r>
      <w:r w:rsidRPr="00567B06">
        <w:rPr>
          <w:rStyle w:val="Emphasis"/>
          <w:rFonts w:ascii="Arial" w:hAnsi="Arial" w:cs="Arial"/>
          <w:sz w:val="22"/>
          <w:szCs w:val="22"/>
        </w:rPr>
        <w:t>PLoS Medicine</w:t>
      </w:r>
      <w:r w:rsidRPr="00567B06">
        <w:rPr>
          <w:rFonts w:ascii="Arial" w:hAnsi="Arial" w:cs="Arial"/>
          <w:sz w:val="22"/>
          <w:szCs w:val="22"/>
        </w:rPr>
        <w:t xml:space="preserve">, 14(9), p. e1002389. </w:t>
      </w:r>
      <w:hyperlink r:id="rId50" w:history="1">
        <w:r w:rsidRPr="00567B06">
          <w:rPr>
            <w:rStyle w:val="Hyperlink"/>
            <w:rFonts w:ascii="Arial" w:hAnsi="Arial" w:cs="Arial"/>
            <w:sz w:val="22"/>
            <w:szCs w:val="22"/>
          </w:rPr>
          <w:t>https://doi.org/10.1371/journal.pmed.1002389</w:t>
        </w:r>
      </w:hyperlink>
      <w:r w:rsidRPr="00567B06">
        <w:rPr>
          <w:rFonts w:ascii="Arial" w:hAnsi="Arial" w:cs="Arial"/>
          <w:sz w:val="22"/>
          <w:szCs w:val="22"/>
        </w:rPr>
        <w:t>.</w:t>
      </w:r>
    </w:p>
    <w:p w14:paraId="6362DE2D"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Usherwood, T. (2022) ‘Encouraging adherence to long-term medication’, </w:t>
      </w:r>
      <w:r w:rsidRPr="00567B06">
        <w:rPr>
          <w:rStyle w:val="Emphasis"/>
          <w:rFonts w:ascii="Arial" w:hAnsi="Arial" w:cs="Arial"/>
          <w:sz w:val="22"/>
          <w:szCs w:val="22"/>
        </w:rPr>
        <w:t>Australian Prescriber</w:t>
      </w:r>
      <w:r w:rsidRPr="00567B06">
        <w:rPr>
          <w:rFonts w:ascii="Arial" w:hAnsi="Arial" w:cs="Arial"/>
          <w:sz w:val="22"/>
          <w:szCs w:val="22"/>
        </w:rPr>
        <w:t xml:space="preserve">, 40(4), pp. 147–150. </w:t>
      </w:r>
      <w:hyperlink r:id="rId51" w:history="1">
        <w:r w:rsidRPr="00567B06">
          <w:rPr>
            <w:rStyle w:val="Hyperlink"/>
            <w:rFonts w:ascii="Arial" w:hAnsi="Arial" w:cs="Arial"/>
            <w:sz w:val="22"/>
            <w:szCs w:val="22"/>
          </w:rPr>
          <w:t>https://doi.org/10.18773/austprescr.2017.053</w:t>
        </w:r>
      </w:hyperlink>
      <w:r w:rsidRPr="00567B06">
        <w:rPr>
          <w:rFonts w:ascii="Arial" w:hAnsi="Arial" w:cs="Arial"/>
          <w:sz w:val="22"/>
          <w:szCs w:val="22"/>
        </w:rPr>
        <w:t>.</w:t>
      </w:r>
    </w:p>
    <w:p w14:paraId="1F334C66" w14:textId="2DAA8D55" w:rsidR="009115AD"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Vrijens, B. et al. (2017) ‘Current situation of medication adherence in hypertension’, </w:t>
      </w:r>
      <w:r w:rsidRPr="00567B06">
        <w:rPr>
          <w:rStyle w:val="Emphasis"/>
          <w:rFonts w:ascii="Arial" w:hAnsi="Arial" w:cs="Arial"/>
          <w:sz w:val="22"/>
          <w:szCs w:val="22"/>
        </w:rPr>
        <w:t>Frontiers in Pharmacology</w:t>
      </w:r>
      <w:r w:rsidRPr="00567B06">
        <w:rPr>
          <w:rFonts w:ascii="Arial" w:hAnsi="Arial" w:cs="Arial"/>
          <w:sz w:val="22"/>
          <w:szCs w:val="22"/>
        </w:rPr>
        <w:t xml:space="preserve">, 8, p. 100. </w:t>
      </w:r>
      <w:hyperlink r:id="rId52" w:history="1">
        <w:r w:rsidRPr="00567B06">
          <w:rPr>
            <w:rStyle w:val="Hyperlink"/>
            <w:rFonts w:ascii="Arial" w:hAnsi="Arial" w:cs="Arial"/>
            <w:sz w:val="22"/>
            <w:szCs w:val="22"/>
          </w:rPr>
          <w:t>https://doi.org/10.3389/fphar.2017.00100</w:t>
        </w:r>
      </w:hyperlink>
      <w:r w:rsidRPr="00567B06">
        <w:rPr>
          <w:rFonts w:ascii="Arial" w:hAnsi="Arial" w:cs="Arial"/>
          <w:sz w:val="22"/>
          <w:szCs w:val="22"/>
        </w:rPr>
        <w:t>.</w:t>
      </w:r>
    </w:p>
    <w:p w14:paraId="2F249EEC" w14:textId="36ACFC0C" w:rsidR="009115AD" w:rsidRPr="00567B06" w:rsidRDefault="009115AD" w:rsidP="0018389E">
      <w:pPr>
        <w:pStyle w:val="NormalWeb"/>
        <w:spacing w:line="360" w:lineRule="auto"/>
        <w:rPr>
          <w:rFonts w:ascii="Arial" w:hAnsi="Arial" w:cs="Arial"/>
          <w:sz w:val="22"/>
          <w:szCs w:val="22"/>
        </w:rPr>
      </w:pPr>
      <w:r w:rsidRPr="00567B06">
        <w:rPr>
          <w:rFonts w:ascii="Arial" w:eastAsia="Times New Roman" w:hAnsi="Arial" w:cs="Arial"/>
          <w:sz w:val="22"/>
          <w:szCs w:val="22"/>
        </w:rPr>
        <w:t xml:space="preserve">VIMS Hospital (n.d.) </w:t>
      </w:r>
      <w:r w:rsidRPr="00567B06">
        <w:rPr>
          <w:rStyle w:val="Emphasis"/>
          <w:rFonts w:ascii="Arial" w:eastAsia="Times New Roman" w:hAnsi="Arial" w:cs="Arial"/>
          <w:sz w:val="22"/>
          <w:szCs w:val="22"/>
        </w:rPr>
        <w:t>High blood pressure (hypertension) risk</w:t>
      </w:r>
      <w:r w:rsidRPr="00567B06">
        <w:rPr>
          <w:rFonts w:ascii="Arial" w:eastAsia="Times New Roman" w:hAnsi="Arial" w:cs="Arial"/>
          <w:sz w:val="22"/>
          <w:szCs w:val="22"/>
        </w:rPr>
        <w:t xml:space="preserve">. Available at: </w:t>
      </w:r>
      <w:hyperlink r:id="rId53" w:tgtFrame="_new" w:history="1">
        <w:r w:rsidRPr="00567B06">
          <w:rPr>
            <w:rStyle w:val="Hyperlink"/>
            <w:rFonts w:ascii="Arial" w:eastAsia="Times New Roman" w:hAnsi="Arial" w:cs="Arial"/>
            <w:sz w:val="22"/>
            <w:szCs w:val="22"/>
          </w:rPr>
          <w:t>https://vims.ac.in/vims-hospital/high-blood-pressure-hypertension-risk/</w:t>
        </w:r>
      </w:hyperlink>
      <w:r w:rsidRPr="00567B06">
        <w:rPr>
          <w:rFonts w:ascii="Arial" w:eastAsia="Times New Roman" w:hAnsi="Arial" w:cs="Arial"/>
          <w:sz w:val="22"/>
          <w:szCs w:val="22"/>
        </w:rPr>
        <w:t xml:space="preserve"> (Accessed: 24 June 2026).</w:t>
      </w:r>
    </w:p>
    <w:p w14:paraId="03149FEE" w14:textId="0E069F94"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Wagner, E.H., Austin, B.T. and Von </w:t>
      </w:r>
      <w:proofErr w:type="spellStart"/>
      <w:r w:rsidRPr="00567B06">
        <w:rPr>
          <w:rFonts w:ascii="Arial" w:hAnsi="Arial" w:cs="Arial"/>
          <w:sz w:val="22"/>
          <w:szCs w:val="22"/>
        </w:rPr>
        <w:t>Korff</w:t>
      </w:r>
      <w:proofErr w:type="spellEnd"/>
      <w:r w:rsidRPr="00567B06">
        <w:rPr>
          <w:rFonts w:ascii="Arial" w:hAnsi="Arial" w:cs="Arial"/>
          <w:sz w:val="22"/>
          <w:szCs w:val="22"/>
        </w:rPr>
        <w:t xml:space="preserve">, M. (1998) ‘Organizing care for patients with chronic illness’, </w:t>
      </w:r>
      <w:r w:rsidRPr="00567B06">
        <w:rPr>
          <w:rStyle w:val="Emphasis"/>
          <w:rFonts w:ascii="Arial" w:hAnsi="Arial" w:cs="Arial"/>
          <w:sz w:val="22"/>
          <w:szCs w:val="22"/>
        </w:rPr>
        <w:t>The Milbank Quarterly</w:t>
      </w:r>
      <w:r w:rsidRPr="00567B06">
        <w:rPr>
          <w:rFonts w:ascii="Arial" w:hAnsi="Arial" w:cs="Arial"/>
          <w:sz w:val="22"/>
          <w:szCs w:val="22"/>
        </w:rPr>
        <w:t xml:space="preserve">, 74(4), pp. 511–544. </w:t>
      </w:r>
      <w:hyperlink r:id="rId54" w:history="1">
        <w:r w:rsidRPr="00567B06">
          <w:rPr>
            <w:rStyle w:val="Hyperlink"/>
            <w:rFonts w:ascii="Arial" w:hAnsi="Arial" w:cs="Arial"/>
            <w:sz w:val="22"/>
            <w:szCs w:val="22"/>
          </w:rPr>
          <w:t>https://doi.org/10.2307/3350391</w:t>
        </w:r>
      </w:hyperlink>
      <w:r w:rsidRPr="00567B06">
        <w:rPr>
          <w:rFonts w:ascii="Arial" w:hAnsi="Arial" w:cs="Arial"/>
          <w:sz w:val="22"/>
          <w:szCs w:val="22"/>
        </w:rPr>
        <w:t>.</w:t>
      </w:r>
    </w:p>
    <w:p w14:paraId="49482ECC"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Wagner, E.H. et al. (2001) ‘Improving chronic illness care: translating evidence into action’, </w:t>
      </w:r>
      <w:r w:rsidRPr="00567B06">
        <w:rPr>
          <w:rStyle w:val="Emphasis"/>
          <w:rFonts w:ascii="Arial" w:hAnsi="Arial" w:cs="Arial"/>
          <w:sz w:val="22"/>
          <w:szCs w:val="22"/>
        </w:rPr>
        <w:t>Health Affairs</w:t>
      </w:r>
      <w:r w:rsidRPr="00567B06">
        <w:rPr>
          <w:rFonts w:ascii="Arial" w:hAnsi="Arial" w:cs="Arial"/>
          <w:sz w:val="22"/>
          <w:szCs w:val="22"/>
        </w:rPr>
        <w:t xml:space="preserve">, 20(6), pp. 64–78. </w:t>
      </w:r>
      <w:hyperlink r:id="rId55" w:history="1">
        <w:r w:rsidRPr="00567B06">
          <w:rPr>
            <w:rStyle w:val="Hyperlink"/>
            <w:rFonts w:ascii="Arial" w:hAnsi="Arial" w:cs="Arial"/>
            <w:sz w:val="22"/>
            <w:szCs w:val="22"/>
          </w:rPr>
          <w:t>https://doi.org/10.1377/hlthaff.20.6.64</w:t>
        </w:r>
      </w:hyperlink>
      <w:r w:rsidRPr="00567B06">
        <w:rPr>
          <w:rFonts w:ascii="Arial" w:hAnsi="Arial" w:cs="Arial"/>
          <w:sz w:val="22"/>
          <w:szCs w:val="22"/>
        </w:rPr>
        <w:t>.</w:t>
      </w:r>
    </w:p>
    <w:p w14:paraId="713830EF"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Well-being of Future Generations (Wales) Act 2015, </w:t>
      </w:r>
      <w:proofErr w:type="spellStart"/>
      <w:r w:rsidRPr="00567B06">
        <w:rPr>
          <w:rFonts w:ascii="Arial" w:hAnsi="Arial" w:cs="Arial"/>
          <w:sz w:val="22"/>
          <w:szCs w:val="22"/>
        </w:rPr>
        <w:t>anaw</w:t>
      </w:r>
      <w:proofErr w:type="spellEnd"/>
      <w:r w:rsidRPr="00567B06">
        <w:rPr>
          <w:rFonts w:ascii="Arial" w:hAnsi="Arial" w:cs="Arial"/>
          <w:sz w:val="22"/>
          <w:szCs w:val="22"/>
        </w:rPr>
        <w:t xml:space="preserve"> 2. Cardiff: National Assembly for Wales.</w:t>
      </w:r>
    </w:p>
    <w:p w14:paraId="13BA3617"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Welsh Government (2021) </w:t>
      </w:r>
      <w:r w:rsidRPr="00567B06">
        <w:rPr>
          <w:rStyle w:val="Emphasis"/>
          <w:rFonts w:ascii="Arial" w:hAnsi="Arial" w:cs="Arial"/>
          <w:sz w:val="22"/>
          <w:szCs w:val="22"/>
        </w:rPr>
        <w:t>Together for Health: A Heart Disease Delivery Plan</w:t>
      </w:r>
      <w:r w:rsidRPr="00567B06">
        <w:rPr>
          <w:rFonts w:ascii="Arial" w:hAnsi="Arial" w:cs="Arial"/>
          <w:sz w:val="22"/>
          <w:szCs w:val="22"/>
        </w:rPr>
        <w:t>. Cardiff: Welsh Government.</w:t>
      </w:r>
    </w:p>
    <w:p w14:paraId="69B9CE2B"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Williams, B. et al. (2018) ‘2018 ESC/ESH Guidelines for the management of arterial hypertension’, </w:t>
      </w:r>
      <w:r w:rsidRPr="00567B06">
        <w:rPr>
          <w:rStyle w:val="Emphasis"/>
          <w:rFonts w:ascii="Arial" w:hAnsi="Arial" w:cs="Arial"/>
          <w:sz w:val="22"/>
          <w:szCs w:val="22"/>
        </w:rPr>
        <w:t>European Heart Journal</w:t>
      </w:r>
      <w:r w:rsidRPr="00567B06">
        <w:rPr>
          <w:rFonts w:ascii="Arial" w:hAnsi="Arial" w:cs="Arial"/>
          <w:sz w:val="22"/>
          <w:szCs w:val="22"/>
        </w:rPr>
        <w:t xml:space="preserve">, 39(33), pp. 3021–3104. </w:t>
      </w:r>
      <w:hyperlink r:id="rId56" w:history="1">
        <w:r w:rsidRPr="00567B06">
          <w:rPr>
            <w:rStyle w:val="Hyperlink"/>
            <w:rFonts w:ascii="Arial" w:hAnsi="Arial" w:cs="Arial"/>
            <w:sz w:val="22"/>
            <w:szCs w:val="22"/>
          </w:rPr>
          <w:t>https://doi.org/10.1093/eurheartj/ehy339</w:t>
        </w:r>
      </w:hyperlink>
      <w:r w:rsidRPr="00567B06">
        <w:rPr>
          <w:rFonts w:ascii="Arial" w:hAnsi="Arial" w:cs="Arial"/>
          <w:sz w:val="22"/>
          <w:szCs w:val="22"/>
        </w:rPr>
        <w:t>.</w:t>
      </w:r>
    </w:p>
    <w:p w14:paraId="3523A506"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World Health Organization (2025) </w:t>
      </w:r>
      <w:r w:rsidRPr="00567B06">
        <w:rPr>
          <w:rStyle w:val="Emphasis"/>
          <w:rFonts w:ascii="Arial" w:hAnsi="Arial" w:cs="Arial"/>
          <w:sz w:val="22"/>
          <w:szCs w:val="22"/>
        </w:rPr>
        <w:t>Hypertension</w:t>
      </w:r>
      <w:r w:rsidRPr="00567B06">
        <w:rPr>
          <w:rFonts w:ascii="Arial" w:hAnsi="Arial" w:cs="Arial"/>
          <w:sz w:val="22"/>
          <w:szCs w:val="22"/>
        </w:rPr>
        <w:t xml:space="preserve">. Geneva: World Health Organization. Available at: </w:t>
      </w:r>
      <w:hyperlink r:id="rId57" w:history="1">
        <w:r w:rsidRPr="00567B06">
          <w:rPr>
            <w:rStyle w:val="Hyperlink"/>
            <w:rFonts w:ascii="Arial" w:hAnsi="Arial" w:cs="Arial"/>
            <w:sz w:val="22"/>
            <w:szCs w:val="22"/>
          </w:rPr>
          <w:t>https://www.who.int/news-room/fact-sheets/detail/hypertension</w:t>
        </w:r>
      </w:hyperlink>
      <w:r w:rsidRPr="00567B06">
        <w:rPr>
          <w:rFonts w:ascii="Arial" w:hAnsi="Arial" w:cs="Arial"/>
          <w:sz w:val="22"/>
          <w:szCs w:val="22"/>
        </w:rPr>
        <w:t xml:space="preserve"> (Accessed: 21 June 2026).</w:t>
      </w:r>
    </w:p>
    <w:p w14:paraId="337EB2BE" w14:textId="77777777" w:rsidR="0018389E" w:rsidRPr="00567B06" w:rsidRDefault="0018389E" w:rsidP="0018389E">
      <w:pPr>
        <w:pStyle w:val="NormalWeb"/>
        <w:spacing w:line="360" w:lineRule="auto"/>
        <w:rPr>
          <w:rFonts w:ascii="Arial" w:hAnsi="Arial" w:cs="Arial"/>
          <w:sz w:val="22"/>
          <w:szCs w:val="22"/>
        </w:rPr>
      </w:pPr>
      <w:r w:rsidRPr="00567B06">
        <w:rPr>
          <w:rFonts w:ascii="Arial" w:hAnsi="Arial" w:cs="Arial"/>
          <w:sz w:val="22"/>
          <w:szCs w:val="22"/>
        </w:rPr>
        <w:t xml:space="preserve">Year of Care Partnerships (2011) </w:t>
      </w:r>
      <w:r w:rsidRPr="00567B06">
        <w:rPr>
          <w:rStyle w:val="Emphasis"/>
          <w:rFonts w:ascii="Arial" w:hAnsi="Arial" w:cs="Arial"/>
          <w:sz w:val="22"/>
          <w:szCs w:val="22"/>
        </w:rPr>
        <w:t>The House of Care: A Framework for Long Term Conditions</w:t>
      </w:r>
      <w:r w:rsidRPr="00567B06">
        <w:rPr>
          <w:rFonts w:ascii="Arial" w:hAnsi="Arial" w:cs="Arial"/>
          <w:sz w:val="22"/>
          <w:szCs w:val="22"/>
        </w:rPr>
        <w:t>. Newcastle: Year of Care Partnerships.</w:t>
      </w:r>
    </w:p>
    <w:p w14:paraId="000847C1" w14:textId="77777777" w:rsidR="008F183F" w:rsidRPr="00567B06" w:rsidRDefault="008F183F" w:rsidP="0018389E">
      <w:pPr>
        <w:spacing w:after="160" w:line="360" w:lineRule="auto"/>
        <w:ind w:left="360" w:hanging="360"/>
      </w:pPr>
    </w:p>
    <w:p w14:paraId="40E1BFF8" w14:textId="77777777" w:rsidR="008F183F" w:rsidRPr="00567B06" w:rsidRDefault="008F183F" w:rsidP="0018389E">
      <w:pPr>
        <w:spacing w:after="160" w:line="360" w:lineRule="auto"/>
        <w:ind w:left="360" w:hanging="360"/>
      </w:pPr>
    </w:p>
    <w:p w14:paraId="02359159" w14:textId="77777777" w:rsidR="008F183F" w:rsidRPr="00567B06" w:rsidRDefault="008F183F" w:rsidP="0018389E">
      <w:pPr>
        <w:spacing w:after="160" w:line="360" w:lineRule="auto"/>
        <w:ind w:left="360" w:hanging="360"/>
      </w:pPr>
    </w:p>
    <w:p w14:paraId="49A562C4" w14:textId="77777777" w:rsidR="008F183F" w:rsidRPr="00567B06" w:rsidRDefault="008F183F">
      <w:pPr>
        <w:spacing w:after="160"/>
        <w:ind w:left="360" w:hanging="360"/>
      </w:pPr>
    </w:p>
    <w:sectPr w:rsidR="008F183F" w:rsidRPr="00567B06">
      <w:footerReference w:type="even" r:id="rId58"/>
      <w:footerReference w:type="default" r:id="rId59"/>
      <w:pgSz w:w="12240" w:h="15840"/>
      <w:pgMar w:top="1080" w:right="1260" w:bottom="108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3E6CB" w14:textId="77777777" w:rsidR="008621FB" w:rsidRDefault="008621FB">
      <w:r>
        <w:separator/>
      </w:r>
    </w:p>
  </w:endnote>
  <w:endnote w:type="continuationSeparator" w:id="0">
    <w:p w14:paraId="49FA59E4" w14:textId="77777777" w:rsidR="008621FB" w:rsidRDefault="008621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0946988"/>
      <w:docPartObj>
        <w:docPartGallery w:val="Page Numbers (Bottom of Page)"/>
        <w:docPartUnique/>
      </w:docPartObj>
    </w:sdtPr>
    <w:sdtEndPr>
      <w:rPr>
        <w:rStyle w:val="PageNumber"/>
      </w:rPr>
    </w:sdtEndPr>
    <w:sdtContent>
      <w:p w14:paraId="58F4982B" w14:textId="2258199C" w:rsidR="003D3B20" w:rsidRDefault="003D3B20" w:rsidP="00AD0DD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2B75E9" w14:textId="77777777" w:rsidR="003D3B20" w:rsidRDefault="003D3B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8364592"/>
      <w:docPartObj>
        <w:docPartGallery w:val="Page Numbers (Bottom of Page)"/>
        <w:docPartUnique/>
      </w:docPartObj>
    </w:sdtPr>
    <w:sdtEndPr>
      <w:rPr>
        <w:rStyle w:val="PageNumber"/>
      </w:rPr>
    </w:sdtEndPr>
    <w:sdtContent>
      <w:p w14:paraId="36D622D2" w14:textId="0898C05C" w:rsidR="003D3B20" w:rsidRDefault="003D3B20" w:rsidP="00AD0DD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2A398A8" w14:textId="1834A622" w:rsidR="002D727D" w:rsidRDefault="002D727D">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11F0C" w14:textId="77777777" w:rsidR="008621FB" w:rsidRDefault="008621FB">
      <w:r>
        <w:separator/>
      </w:r>
    </w:p>
  </w:footnote>
  <w:footnote w:type="continuationSeparator" w:id="0">
    <w:p w14:paraId="41731930" w14:textId="77777777" w:rsidR="008621FB" w:rsidRDefault="008621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110F0"/>
    <w:multiLevelType w:val="hybridMultilevel"/>
    <w:tmpl w:val="FFFFFFFF"/>
    <w:lvl w:ilvl="0" w:tplc="DF30F76C">
      <w:start w:val="1"/>
      <w:numFmt w:val="bullet"/>
      <w:lvlText w:val="●"/>
      <w:lvlJc w:val="left"/>
      <w:pPr>
        <w:ind w:left="720" w:hanging="360"/>
      </w:pPr>
    </w:lvl>
    <w:lvl w:ilvl="1" w:tplc="A7C81876">
      <w:start w:val="1"/>
      <w:numFmt w:val="bullet"/>
      <w:lvlText w:val="○"/>
      <w:lvlJc w:val="left"/>
      <w:pPr>
        <w:ind w:left="1440" w:hanging="360"/>
      </w:pPr>
    </w:lvl>
    <w:lvl w:ilvl="2" w:tplc="DFD8E5D0">
      <w:start w:val="1"/>
      <w:numFmt w:val="bullet"/>
      <w:lvlText w:val="■"/>
      <w:lvlJc w:val="left"/>
      <w:pPr>
        <w:ind w:left="2160" w:hanging="360"/>
      </w:pPr>
    </w:lvl>
    <w:lvl w:ilvl="3" w:tplc="15AE0314">
      <w:start w:val="1"/>
      <w:numFmt w:val="bullet"/>
      <w:lvlText w:val="●"/>
      <w:lvlJc w:val="left"/>
      <w:pPr>
        <w:ind w:left="2880" w:hanging="360"/>
      </w:pPr>
    </w:lvl>
    <w:lvl w:ilvl="4" w:tplc="55283CC0">
      <w:start w:val="1"/>
      <w:numFmt w:val="bullet"/>
      <w:lvlText w:val="○"/>
      <w:lvlJc w:val="left"/>
      <w:pPr>
        <w:ind w:left="3600" w:hanging="360"/>
      </w:pPr>
    </w:lvl>
    <w:lvl w:ilvl="5" w:tplc="1D3E50D6">
      <w:start w:val="1"/>
      <w:numFmt w:val="bullet"/>
      <w:lvlText w:val="■"/>
      <w:lvlJc w:val="left"/>
      <w:pPr>
        <w:ind w:left="4320" w:hanging="360"/>
      </w:pPr>
    </w:lvl>
    <w:lvl w:ilvl="6" w:tplc="A9E42FFA">
      <w:start w:val="1"/>
      <w:numFmt w:val="bullet"/>
      <w:lvlText w:val="●"/>
      <w:lvlJc w:val="left"/>
      <w:pPr>
        <w:ind w:left="5040" w:hanging="360"/>
      </w:pPr>
    </w:lvl>
    <w:lvl w:ilvl="7" w:tplc="D40211EE">
      <w:start w:val="1"/>
      <w:numFmt w:val="bullet"/>
      <w:lvlText w:val="●"/>
      <w:lvlJc w:val="left"/>
      <w:pPr>
        <w:ind w:left="5760" w:hanging="360"/>
      </w:pPr>
    </w:lvl>
    <w:lvl w:ilvl="8" w:tplc="134C9E6A">
      <w:start w:val="1"/>
      <w:numFmt w:val="bullet"/>
      <w:lvlText w:val="●"/>
      <w:lvlJc w:val="left"/>
      <w:pPr>
        <w:ind w:left="6480" w:hanging="360"/>
      </w:pPr>
    </w:lvl>
  </w:abstractNum>
  <w:abstractNum w:abstractNumId="1" w15:restartNumberingAfterBreak="0">
    <w:nsid w:val="3C694F1A"/>
    <w:multiLevelType w:val="hybridMultilevel"/>
    <w:tmpl w:val="FFFFFFFF"/>
    <w:lvl w:ilvl="0" w:tplc="C0561F96">
      <w:start w:val="1"/>
      <w:numFmt w:val="bullet"/>
      <w:lvlText w:val="•"/>
      <w:lvlJc w:val="left"/>
      <w:pPr>
        <w:ind w:left="540" w:hanging="270"/>
      </w:pPr>
    </w:lvl>
    <w:lvl w:ilvl="1" w:tplc="2766BF24">
      <w:numFmt w:val="decimal"/>
      <w:lvlText w:val=""/>
      <w:lvlJc w:val="left"/>
    </w:lvl>
    <w:lvl w:ilvl="2" w:tplc="465A6AE4">
      <w:numFmt w:val="decimal"/>
      <w:lvlText w:val=""/>
      <w:lvlJc w:val="left"/>
    </w:lvl>
    <w:lvl w:ilvl="3" w:tplc="225207B6">
      <w:numFmt w:val="decimal"/>
      <w:lvlText w:val=""/>
      <w:lvlJc w:val="left"/>
    </w:lvl>
    <w:lvl w:ilvl="4" w:tplc="18F26BAA">
      <w:numFmt w:val="decimal"/>
      <w:lvlText w:val=""/>
      <w:lvlJc w:val="left"/>
    </w:lvl>
    <w:lvl w:ilvl="5" w:tplc="E7A8D40E">
      <w:numFmt w:val="decimal"/>
      <w:lvlText w:val=""/>
      <w:lvlJc w:val="left"/>
    </w:lvl>
    <w:lvl w:ilvl="6" w:tplc="DE38B182">
      <w:numFmt w:val="decimal"/>
      <w:lvlText w:val=""/>
      <w:lvlJc w:val="left"/>
    </w:lvl>
    <w:lvl w:ilvl="7" w:tplc="38627D32">
      <w:numFmt w:val="decimal"/>
      <w:lvlText w:val=""/>
      <w:lvlJc w:val="left"/>
    </w:lvl>
    <w:lvl w:ilvl="8" w:tplc="487C0E20">
      <w:numFmt w:val="decimal"/>
      <w:lvlText w:val=""/>
      <w:lvlJc w:val="left"/>
    </w:lvl>
  </w:abstractNum>
  <w:num w:numId="1" w16cid:durableId="582031516">
    <w:abstractNumId w:val="0"/>
    <w:lvlOverride w:ilvl="0">
      <w:startOverride w:val="1"/>
    </w:lvlOverride>
  </w:num>
  <w:num w:numId="2" w16cid:durableId="167976903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27D"/>
    <w:rsid w:val="00000564"/>
    <w:rsid w:val="00000791"/>
    <w:rsid w:val="000010DC"/>
    <w:rsid w:val="000040FD"/>
    <w:rsid w:val="00011C80"/>
    <w:rsid w:val="00022454"/>
    <w:rsid w:val="0002342D"/>
    <w:rsid w:val="00024553"/>
    <w:rsid w:val="0003332E"/>
    <w:rsid w:val="0004431A"/>
    <w:rsid w:val="000679D8"/>
    <w:rsid w:val="00090E48"/>
    <w:rsid w:val="000A54AC"/>
    <w:rsid w:val="000B341B"/>
    <w:rsid w:val="000B42E9"/>
    <w:rsid w:val="000C5B70"/>
    <w:rsid w:val="000D34E4"/>
    <w:rsid w:val="000E0EEC"/>
    <w:rsid w:val="000E52A8"/>
    <w:rsid w:val="000F6ABF"/>
    <w:rsid w:val="00107AFB"/>
    <w:rsid w:val="00131B20"/>
    <w:rsid w:val="0013208E"/>
    <w:rsid w:val="0017413B"/>
    <w:rsid w:val="0018389E"/>
    <w:rsid w:val="001870E0"/>
    <w:rsid w:val="00187849"/>
    <w:rsid w:val="00190DC7"/>
    <w:rsid w:val="00191465"/>
    <w:rsid w:val="001A04E7"/>
    <w:rsid w:val="001A47BF"/>
    <w:rsid w:val="001E69C1"/>
    <w:rsid w:val="001E7AC7"/>
    <w:rsid w:val="001F5D1B"/>
    <w:rsid w:val="00236CA7"/>
    <w:rsid w:val="00242B4F"/>
    <w:rsid w:val="00245D93"/>
    <w:rsid w:val="002463DD"/>
    <w:rsid w:val="00274C3B"/>
    <w:rsid w:val="00291B5F"/>
    <w:rsid w:val="002B1134"/>
    <w:rsid w:val="002B2669"/>
    <w:rsid w:val="002C45AA"/>
    <w:rsid w:val="002D145F"/>
    <w:rsid w:val="002D491B"/>
    <w:rsid w:val="002D727D"/>
    <w:rsid w:val="002E0ADC"/>
    <w:rsid w:val="002F39FE"/>
    <w:rsid w:val="002F7CFB"/>
    <w:rsid w:val="00315D30"/>
    <w:rsid w:val="0033314C"/>
    <w:rsid w:val="00345BA0"/>
    <w:rsid w:val="00346C12"/>
    <w:rsid w:val="003472CE"/>
    <w:rsid w:val="00354004"/>
    <w:rsid w:val="00357129"/>
    <w:rsid w:val="00360C77"/>
    <w:rsid w:val="0037123B"/>
    <w:rsid w:val="00376D6A"/>
    <w:rsid w:val="003816B8"/>
    <w:rsid w:val="003B1476"/>
    <w:rsid w:val="003B562A"/>
    <w:rsid w:val="003C1C10"/>
    <w:rsid w:val="003C5F60"/>
    <w:rsid w:val="003D3B20"/>
    <w:rsid w:val="003E3AA4"/>
    <w:rsid w:val="003E4067"/>
    <w:rsid w:val="003E48E0"/>
    <w:rsid w:val="003F497B"/>
    <w:rsid w:val="003F617E"/>
    <w:rsid w:val="0040118C"/>
    <w:rsid w:val="00430181"/>
    <w:rsid w:val="00440E95"/>
    <w:rsid w:val="00457AAD"/>
    <w:rsid w:val="00465AF8"/>
    <w:rsid w:val="00472FE5"/>
    <w:rsid w:val="00481F90"/>
    <w:rsid w:val="00483AEA"/>
    <w:rsid w:val="00486CA3"/>
    <w:rsid w:val="0049261F"/>
    <w:rsid w:val="00493C34"/>
    <w:rsid w:val="004A10BE"/>
    <w:rsid w:val="004A6A98"/>
    <w:rsid w:val="004B61C1"/>
    <w:rsid w:val="004C31D5"/>
    <w:rsid w:val="004C4B0D"/>
    <w:rsid w:val="004F189E"/>
    <w:rsid w:val="005124A5"/>
    <w:rsid w:val="005209D3"/>
    <w:rsid w:val="00526484"/>
    <w:rsid w:val="00526F30"/>
    <w:rsid w:val="005337A7"/>
    <w:rsid w:val="0053600E"/>
    <w:rsid w:val="0053615B"/>
    <w:rsid w:val="00545182"/>
    <w:rsid w:val="00550189"/>
    <w:rsid w:val="00552EB9"/>
    <w:rsid w:val="005549A5"/>
    <w:rsid w:val="00567B06"/>
    <w:rsid w:val="005A07D0"/>
    <w:rsid w:val="005C048B"/>
    <w:rsid w:val="005C79A1"/>
    <w:rsid w:val="005D7F62"/>
    <w:rsid w:val="005E2F53"/>
    <w:rsid w:val="005F5E31"/>
    <w:rsid w:val="005F62B6"/>
    <w:rsid w:val="00604F38"/>
    <w:rsid w:val="00610637"/>
    <w:rsid w:val="00615222"/>
    <w:rsid w:val="00617627"/>
    <w:rsid w:val="0063203C"/>
    <w:rsid w:val="006322FA"/>
    <w:rsid w:val="006350CA"/>
    <w:rsid w:val="0065341D"/>
    <w:rsid w:val="00655C09"/>
    <w:rsid w:val="0067445A"/>
    <w:rsid w:val="00686EFF"/>
    <w:rsid w:val="0069170E"/>
    <w:rsid w:val="006A6B4D"/>
    <w:rsid w:val="006A6DE5"/>
    <w:rsid w:val="006B4149"/>
    <w:rsid w:val="006B6D62"/>
    <w:rsid w:val="006C7289"/>
    <w:rsid w:val="006F763E"/>
    <w:rsid w:val="00700457"/>
    <w:rsid w:val="00707711"/>
    <w:rsid w:val="00715545"/>
    <w:rsid w:val="00727329"/>
    <w:rsid w:val="0073429A"/>
    <w:rsid w:val="0074059A"/>
    <w:rsid w:val="0075062C"/>
    <w:rsid w:val="00753AD0"/>
    <w:rsid w:val="007649DF"/>
    <w:rsid w:val="007777C0"/>
    <w:rsid w:val="00780B17"/>
    <w:rsid w:val="0078229F"/>
    <w:rsid w:val="0078412F"/>
    <w:rsid w:val="007B3012"/>
    <w:rsid w:val="007B64D9"/>
    <w:rsid w:val="007D164C"/>
    <w:rsid w:val="007D31BD"/>
    <w:rsid w:val="00816F65"/>
    <w:rsid w:val="00821D13"/>
    <w:rsid w:val="00860D92"/>
    <w:rsid w:val="008621FB"/>
    <w:rsid w:val="008674B8"/>
    <w:rsid w:val="008724FE"/>
    <w:rsid w:val="00882746"/>
    <w:rsid w:val="008855CB"/>
    <w:rsid w:val="00885895"/>
    <w:rsid w:val="008976A1"/>
    <w:rsid w:val="008A0F01"/>
    <w:rsid w:val="008B0153"/>
    <w:rsid w:val="008B2E9F"/>
    <w:rsid w:val="008C29EA"/>
    <w:rsid w:val="008C78E6"/>
    <w:rsid w:val="008D00CE"/>
    <w:rsid w:val="008E3375"/>
    <w:rsid w:val="008F183F"/>
    <w:rsid w:val="008F6839"/>
    <w:rsid w:val="009115AD"/>
    <w:rsid w:val="009154F5"/>
    <w:rsid w:val="00924138"/>
    <w:rsid w:val="009269C3"/>
    <w:rsid w:val="00932D2E"/>
    <w:rsid w:val="00937478"/>
    <w:rsid w:val="00943CF4"/>
    <w:rsid w:val="00952BA7"/>
    <w:rsid w:val="00961E29"/>
    <w:rsid w:val="00970F92"/>
    <w:rsid w:val="00970FD6"/>
    <w:rsid w:val="00981286"/>
    <w:rsid w:val="009813AA"/>
    <w:rsid w:val="00983642"/>
    <w:rsid w:val="00984306"/>
    <w:rsid w:val="009B6496"/>
    <w:rsid w:val="009C7B54"/>
    <w:rsid w:val="009F16C9"/>
    <w:rsid w:val="00A043C2"/>
    <w:rsid w:val="00A07716"/>
    <w:rsid w:val="00A1041A"/>
    <w:rsid w:val="00A21E2F"/>
    <w:rsid w:val="00A26A9A"/>
    <w:rsid w:val="00A35412"/>
    <w:rsid w:val="00A531FE"/>
    <w:rsid w:val="00A60E2E"/>
    <w:rsid w:val="00A74A24"/>
    <w:rsid w:val="00AA29C4"/>
    <w:rsid w:val="00AA29F0"/>
    <w:rsid w:val="00AA3D39"/>
    <w:rsid w:val="00AA515E"/>
    <w:rsid w:val="00AC0D68"/>
    <w:rsid w:val="00AC58D1"/>
    <w:rsid w:val="00AC768E"/>
    <w:rsid w:val="00AD3383"/>
    <w:rsid w:val="00AE2B97"/>
    <w:rsid w:val="00AF1680"/>
    <w:rsid w:val="00AF28D2"/>
    <w:rsid w:val="00B00A26"/>
    <w:rsid w:val="00B01E1A"/>
    <w:rsid w:val="00B06421"/>
    <w:rsid w:val="00B20A7A"/>
    <w:rsid w:val="00B300C8"/>
    <w:rsid w:val="00B70383"/>
    <w:rsid w:val="00B85F1A"/>
    <w:rsid w:val="00B9397E"/>
    <w:rsid w:val="00BB3BAE"/>
    <w:rsid w:val="00BC23DA"/>
    <w:rsid w:val="00BD5D2A"/>
    <w:rsid w:val="00C04966"/>
    <w:rsid w:val="00C0760A"/>
    <w:rsid w:val="00C149E0"/>
    <w:rsid w:val="00C509A8"/>
    <w:rsid w:val="00C524D5"/>
    <w:rsid w:val="00C61C10"/>
    <w:rsid w:val="00C8739F"/>
    <w:rsid w:val="00C90267"/>
    <w:rsid w:val="00CA3807"/>
    <w:rsid w:val="00CA5704"/>
    <w:rsid w:val="00CB7B58"/>
    <w:rsid w:val="00CC29DD"/>
    <w:rsid w:val="00CC5FFF"/>
    <w:rsid w:val="00CD349A"/>
    <w:rsid w:val="00CE6EEF"/>
    <w:rsid w:val="00CF5C96"/>
    <w:rsid w:val="00CF7322"/>
    <w:rsid w:val="00D04F47"/>
    <w:rsid w:val="00D250C0"/>
    <w:rsid w:val="00D318B8"/>
    <w:rsid w:val="00D3465A"/>
    <w:rsid w:val="00D35D4E"/>
    <w:rsid w:val="00D35D64"/>
    <w:rsid w:val="00D36246"/>
    <w:rsid w:val="00D72F4F"/>
    <w:rsid w:val="00D73C0D"/>
    <w:rsid w:val="00D754FA"/>
    <w:rsid w:val="00D75F28"/>
    <w:rsid w:val="00D777EF"/>
    <w:rsid w:val="00D8785B"/>
    <w:rsid w:val="00D940F5"/>
    <w:rsid w:val="00D95FD6"/>
    <w:rsid w:val="00D97AF9"/>
    <w:rsid w:val="00DA262F"/>
    <w:rsid w:val="00DA2F68"/>
    <w:rsid w:val="00DB297F"/>
    <w:rsid w:val="00DC58DE"/>
    <w:rsid w:val="00DC63F7"/>
    <w:rsid w:val="00DC6701"/>
    <w:rsid w:val="00DD0FE5"/>
    <w:rsid w:val="00DE318F"/>
    <w:rsid w:val="00E021CD"/>
    <w:rsid w:val="00E028CD"/>
    <w:rsid w:val="00E11622"/>
    <w:rsid w:val="00E43EBC"/>
    <w:rsid w:val="00E45B3D"/>
    <w:rsid w:val="00E530D1"/>
    <w:rsid w:val="00E57D5C"/>
    <w:rsid w:val="00E91052"/>
    <w:rsid w:val="00EA37C0"/>
    <w:rsid w:val="00EA5092"/>
    <w:rsid w:val="00EA50FB"/>
    <w:rsid w:val="00EA6F5D"/>
    <w:rsid w:val="00EC3D9E"/>
    <w:rsid w:val="00EE0DF4"/>
    <w:rsid w:val="00EE50C4"/>
    <w:rsid w:val="00F0789A"/>
    <w:rsid w:val="00F3103A"/>
    <w:rsid w:val="00F31F15"/>
    <w:rsid w:val="00F363D8"/>
    <w:rsid w:val="00F672F2"/>
    <w:rsid w:val="00F72B87"/>
    <w:rsid w:val="00F77D7A"/>
    <w:rsid w:val="00F8026B"/>
    <w:rsid w:val="00FC0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B0711"/>
  <w15:docId w15:val="{2F5F4438-0C04-8440-A080-E4D52B5C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1A"/>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B3261E"/>
      </w:pBdr>
      <w:spacing w:before="320" w:after="200"/>
      <w:outlineLvl w:val="0"/>
    </w:pPr>
    <w:rPr>
      <w:b/>
      <w:bCs/>
      <w:color w:val="B3261E"/>
      <w:sz w:val="30"/>
      <w:szCs w:val="30"/>
    </w:rPr>
  </w:style>
  <w:style w:type="paragraph" w:styleId="Heading2">
    <w:name w:val="heading 2"/>
    <w:link w:val="Heading2Char"/>
    <w:uiPriority w:val="9"/>
    <w:unhideWhenUsed/>
    <w:qFormat/>
    <w:pPr>
      <w:spacing w:before="220" w:after="120"/>
      <w:outlineLvl w:val="1"/>
    </w:pPr>
    <w:rPr>
      <w:b/>
      <w:bCs/>
      <w:color w:val="2E2E2E"/>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8F183F"/>
    <w:rPr>
      <w:color w:val="605E5C"/>
      <w:shd w:val="clear" w:color="auto" w:fill="E1DFDD"/>
    </w:rPr>
  </w:style>
  <w:style w:type="character" w:customStyle="1" w:styleId="Heading2Char">
    <w:name w:val="Heading 2 Char"/>
    <w:basedOn w:val="DefaultParagraphFont"/>
    <w:link w:val="Heading2"/>
    <w:uiPriority w:val="9"/>
    <w:rsid w:val="0018389E"/>
    <w:rPr>
      <w:b/>
      <w:bCs/>
      <w:color w:val="2E2E2E"/>
      <w:sz w:val="24"/>
      <w:szCs w:val="24"/>
    </w:rPr>
  </w:style>
  <w:style w:type="paragraph" w:styleId="NormalWeb">
    <w:name w:val="Normal (Web)"/>
    <w:basedOn w:val="Normal"/>
    <w:uiPriority w:val="99"/>
    <w:semiHidden/>
    <w:unhideWhenUsed/>
    <w:rsid w:val="0018389E"/>
    <w:pPr>
      <w:spacing w:before="100" w:beforeAutospacing="1" w:after="100" w:afterAutospacing="1"/>
    </w:pPr>
    <w:rPr>
      <w:rFonts w:ascii="Times New Roman" w:eastAsiaTheme="minorEastAsia" w:hAnsi="Times New Roman" w:cs="Times New Roman"/>
      <w:color w:val="auto"/>
      <w:sz w:val="24"/>
      <w:szCs w:val="24"/>
    </w:rPr>
  </w:style>
  <w:style w:type="character" w:styleId="Emphasis">
    <w:name w:val="Emphasis"/>
    <w:basedOn w:val="DefaultParagraphFont"/>
    <w:uiPriority w:val="20"/>
    <w:qFormat/>
    <w:rsid w:val="0018389E"/>
    <w:rPr>
      <w:i/>
      <w:iCs/>
    </w:rPr>
  </w:style>
  <w:style w:type="paragraph" w:styleId="Header">
    <w:name w:val="header"/>
    <w:basedOn w:val="Normal"/>
    <w:link w:val="HeaderChar"/>
    <w:uiPriority w:val="99"/>
    <w:unhideWhenUsed/>
    <w:rsid w:val="00610637"/>
    <w:pPr>
      <w:tabs>
        <w:tab w:val="center" w:pos="4680"/>
        <w:tab w:val="right" w:pos="9360"/>
      </w:tabs>
    </w:pPr>
  </w:style>
  <w:style w:type="character" w:customStyle="1" w:styleId="HeaderChar">
    <w:name w:val="Header Char"/>
    <w:basedOn w:val="DefaultParagraphFont"/>
    <w:link w:val="Header"/>
    <w:uiPriority w:val="99"/>
    <w:rsid w:val="00610637"/>
  </w:style>
  <w:style w:type="paragraph" w:styleId="Footer">
    <w:name w:val="footer"/>
    <w:basedOn w:val="Normal"/>
    <w:link w:val="FooterChar"/>
    <w:uiPriority w:val="99"/>
    <w:unhideWhenUsed/>
    <w:rsid w:val="00610637"/>
    <w:pPr>
      <w:tabs>
        <w:tab w:val="center" w:pos="4680"/>
        <w:tab w:val="right" w:pos="9360"/>
      </w:tabs>
    </w:pPr>
  </w:style>
  <w:style w:type="character" w:customStyle="1" w:styleId="FooterChar">
    <w:name w:val="Footer Char"/>
    <w:basedOn w:val="DefaultParagraphFont"/>
    <w:link w:val="Footer"/>
    <w:uiPriority w:val="99"/>
    <w:rsid w:val="00610637"/>
  </w:style>
  <w:style w:type="character" w:styleId="PageNumber">
    <w:name w:val="page number"/>
    <w:basedOn w:val="DefaultParagraphFont"/>
    <w:uiPriority w:val="99"/>
    <w:semiHidden/>
    <w:unhideWhenUsed/>
    <w:rsid w:val="003D3B20"/>
  </w:style>
  <w:style w:type="character" w:customStyle="1" w:styleId="whitespace-normal">
    <w:name w:val="whitespace-normal"/>
    <w:basedOn w:val="DefaultParagraphFont"/>
    <w:rsid w:val="00AC0D68"/>
  </w:style>
  <w:style w:type="character" w:styleId="Strong">
    <w:name w:val="Strong"/>
    <w:basedOn w:val="DefaultParagraphFont"/>
    <w:uiPriority w:val="22"/>
    <w:qFormat/>
    <w:rsid w:val="00D35D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hyperlink" Target="https://doi.org/10.5888/pcd10.120112" TargetMode="External" /><Relationship Id="rId39" Type="http://schemas.openxmlformats.org/officeDocument/2006/relationships/hyperlink" Target="https://doi.org/10.1016/S0140-6736(02)11911-8" TargetMode="External" /><Relationship Id="rId21" Type="http://schemas.openxmlformats.org/officeDocument/2006/relationships/hyperlink" Target="https://doi.org/10.1161/CIR.0b013e3181e8edf1" TargetMode="External" /><Relationship Id="rId34" Type="http://schemas.openxmlformats.org/officeDocument/2006/relationships/hyperlink" Target="https://www.eshonline.org/guidelines/2023-guidelines/" TargetMode="External" /><Relationship Id="rId42" Type="http://schemas.openxmlformats.org/officeDocument/2006/relationships/hyperlink" Target="https://doi.org/10.1016/S0895-7061(03)00879-7" TargetMode="External" /><Relationship Id="rId47" Type="http://schemas.openxmlformats.org/officeDocument/2006/relationships/hyperlink" Target="https://doi.org/10.1007/s41999-023-00777-y" TargetMode="External" /><Relationship Id="rId50" Type="http://schemas.openxmlformats.org/officeDocument/2006/relationships/hyperlink" Target="https://doi.org/10.1371/journal.pmed.1002389" TargetMode="External" /><Relationship Id="rId55" Type="http://schemas.openxmlformats.org/officeDocument/2006/relationships/hyperlink" Target="https://doi.org/10.1377/hlthaff.20.6.64" TargetMode="External" /><Relationship Id="rId7" Type="http://schemas.openxmlformats.org/officeDocument/2006/relationships/image" Target="media/image1.jpeg"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hyperlink" Target="https://doi.org/10.1056/NEJM199704173361601" TargetMode="External" /><Relationship Id="rId29" Type="http://schemas.openxmlformats.org/officeDocument/2006/relationships/hyperlink" Target="https://www.bhf.org.uk/what-we-do/our-research/heart-statistics" TargetMode="External" /><Relationship Id="rId41" Type="http://schemas.openxmlformats.org/officeDocument/2006/relationships/hyperlink" Target="https://doi.org/10.1186/1471-2261-4-13" TargetMode="External" /><Relationship Id="rId54" Type="http://schemas.openxmlformats.org/officeDocument/2006/relationships/hyperlink" Target="https://doi.org/10.2307/3350391"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001/jama.288.15.1909" TargetMode="External" /><Relationship Id="rId32" Type="http://schemas.openxmlformats.org/officeDocument/2006/relationships/hyperlink" Target="https://doi.org/10.1016/j.jacc.2007.12.024" TargetMode="External" /><Relationship Id="rId37" Type="http://schemas.openxmlformats.org/officeDocument/2006/relationships/hyperlink" Target="https://doi.org/10.1136/bmj.38027.604490.7C" TargetMode="External" /><Relationship Id="rId40" Type="http://schemas.openxmlformats.org/officeDocument/2006/relationships/hyperlink" Target="https://doi.org/10.1207/S15324796ABM2601_01" TargetMode="External" /><Relationship Id="rId45" Type="http://schemas.openxmlformats.org/officeDocument/2006/relationships/hyperlink" Target="https://www.longtermplan.nhs.uk/" TargetMode="External" /><Relationship Id="rId53" Type="http://schemas.openxmlformats.org/officeDocument/2006/relationships/hyperlink" Target="https://vims.ac.in/vims-hospital/high-blood-pressure-hypertension-risk/" TargetMode="External" /><Relationship Id="rId58"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doi.org/10.1161/CIRCRESAHA.118.313236" TargetMode="External" /><Relationship Id="rId28" Type="http://schemas.openxmlformats.org/officeDocument/2006/relationships/hyperlink" Target="https://bihsoc.org/bp-monitors/" TargetMode="External" /><Relationship Id="rId36" Type="http://schemas.openxmlformats.org/officeDocument/2006/relationships/hyperlink" Target="https://doi.org/10.1136/bmj.m998" TargetMode="External" /><Relationship Id="rId49" Type="http://schemas.openxmlformats.org/officeDocument/2006/relationships/hyperlink" Target="https://doi.org/10.1371/journal.pone.0064914" TargetMode="External" /><Relationship Id="rId57" Type="http://schemas.openxmlformats.org/officeDocument/2006/relationships/hyperlink" Target="https://www.who.int/news-room/fact-sheets/detail/hypertension" TargetMode="External" /><Relationship Id="rId61" Type="http://schemas.openxmlformats.org/officeDocument/2006/relationships/theme" Target="theme/theme1.xml" /><Relationship Id="rId10" Type="http://schemas.openxmlformats.org/officeDocument/2006/relationships/image" Target="media/image4.jpeg" /><Relationship Id="rId19" Type="http://schemas.openxmlformats.org/officeDocument/2006/relationships/hyperlink" Target="https://www.heart.org/en/health-topics/high-blood-pressure/health-threats-from-high-blood-pressure" TargetMode="External" /><Relationship Id="rId31" Type="http://schemas.openxmlformats.org/officeDocument/2006/relationships/hyperlink" Target="https://doi.org/10.1111/j.1445-5994.2006.01150.x" TargetMode="External" /><Relationship Id="rId44" Type="http://schemas.openxmlformats.org/officeDocument/2006/relationships/hyperlink" Target="https://doi.org/10.1161/01.HYP.0000094221.86888.AE" TargetMode="External" /><Relationship Id="rId52" Type="http://schemas.openxmlformats.org/officeDocument/2006/relationships/hyperlink" Target="https://doi.org/10.3389/fphar.2017.00100" TargetMode="External" /><Relationship Id="rId6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tmp" /><Relationship Id="rId22" Type="http://schemas.openxmlformats.org/officeDocument/2006/relationships/hyperlink" Target="https://www.longwoods.com/content/16763/healthcare-quarterly/the-expanded-chronic-care-model-an-integration-of-concepts-and-strategies-from-population-health-pr" TargetMode="External" /><Relationship Id="rId27" Type="http://schemas.openxmlformats.org/officeDocument/2006/relationships/hyperlink" Target="https://doi.org/10.3109/07853890.2010.489567" TargetMode="External" /><Relationship Id="rId30" Type="http://schemas.openxmlformats.org/officeDocument/2006/relationships/hyperlink" Target="https://www.bhf.org.uk/informationsupport/support/person-centred-care" TargetMode="External" /><Relationship Id="rId35" Type="http://schemas.openxmlformats.org/officeDocument/2006/relationships/hyperlink" Target="https://doi.org/10.1038/s41588-018-0205-x" TargetMode="External" /><Relationship Id="rId43" Type="http://schemas.openxmlformats.org/officeDocument/2006/relationships/hyperlink" Target="https://www.nice.org.uk/guidance/ng136" TargetMode="External" /><Relationship Id="rId48" Type="http://schemas.openxmlformats.org/officeDocument/2006/relationships/hyperlink" Target="https://doi.org/10.1161/JAHA.117.008202" TargetMode="External" /><Relationship Id="rId56" Type="http://schemas.openxmlformats.org/officeDocument/2006/relationships/hyperlink" Target="https://doi.org/10.1093/eurheartj/ehy339" TargetMode="External" /><Relationship Id="rId8" Type="http://schemas.openxmlformats.org/officeDocument/2006/relationships/image" Target="media/image2.jpeg" /><Relationship Id="rId51" Type="http://schemas.openxmlformats.org/officeDocument/2006/relationships/hyperlink" Target="https://doi.org/10.18773/austprescr.2017.053" TargetMode="External" /><Relationship Id="rId3" Type="http://schemas.openxmlformats.org/officeDocument/2006/relationships/settings" Target="settings.xml"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hyperlink" Target="https://doi.org/10.7326/0003-4819-151-10-200911170-00148" TargetMode="External" /><Relationship Id="rId33" Type="http://schemas.openxmlformats.org/officeDocument/2006/relationships/hyperlink" Target="https://doi.org/10.1056/NEJMsa055505" TargetMode="External" /><Relationship Id="rId38" Type="http://schemas.openxmlformats.org/officeDocument/2006/relationships/hyperlink" Target="https://doi.org/10.1377/hlthaff.2012.1061" TargetMode="External" /><Relationship Id="rId46" Type="http://schemas.openxmlformats.org/officeDocument/2006/relationships/hyperlink" Target="https://www.eastbasildonpcn.nhs.uk/news/blood-pressure-measurement/" TargetMode="External" /><Relationship Id="rId5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5488</Words>
  <Characters>31286</Characters>
  <Application>Microsoft Office Word</Application>
  <DocSecurity>0</DocSecurity>
  <Lines>260</Lines>
  <Paragraphs>73</Paragraphs>
  <ScaleCrop>false</ScaleCrop>
  <Company/>
  <LinksUpToDate>false</LinksUpToDate>
  <CharactersWithSpaces>36701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Nazmin Malik (2242813)</cp:lastModifiedBy>
  <cp:revision>3</cp:revision>
  <dcterms:created xsi:type="dcterms:W3CDTF">2026-06-25T15:34:00Z</dcterms:created>
  <dcterms:modified xsi:type="dcterms:W3CDTF">2026-06-25T15:35:00Z</dcterms:modified>
</cp:coreProperties>
</file>