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D834FBE" w:rsidR="00986B43" w:rsidRPr="00680C3E"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680C3E">
              <w:rPr>
                <w:rFonts w:ascii="Times New Roman" w:hAnsi="Times New Roman" w:cs="Times New Roman"/>
                <w:b/>
                <w:color w:val="auto"/>
                <w:sz w:val="44"/>
                <w:szCs w:val="18"/>
              </w:rPr>
              <w:t>Learner’s name:</w:t>
            </w:r>
            <w:r w:rsidR="00247265" w:rsidRPr="00680C3E">
              <w:rPr>
                <w:rFonts w:ascii="Times New Roman" w:hAnsi="Times New Roman" w:cs="Times New Roman"/>
                <w:b/>
                <w:color w:val="auto"/>
                <w:sz w:val="44"/>
                <w:szCs w:val="18"/>
              </w:rPr>
              <w:t xml:space="preserve"> </w:t>
            </w:r>
            <w:r w:rsidR="00680C3E" w:rsidRPr="00680C3E">
              <w:rPr>
                <w:rFonts w:ascii="Times New Roman" w:hAnsi="Times New Roman" w:cs="Times New Roman"/>
                <w:b/>
                <w:color w:val="auto"/>
                <w:sz w:val="44"/>
                <w:szCs w:val="18"/>
              </w:rPr>
              <w:t>Rebecca Louise Shellard-Renna</w:t>
            </w:r>
          </w:p>
          <w:p w14:paraId="0B6CD0DB" w14:textId="689515B5" w:rsidR="009C337F" w:rsidRPr="00680C3E"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6BBA6B17" w:rsidR="009C337F" w:rsidRPr="00680C3E"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680C3E">
              <w:rPr>
                <w:rFonts w:ascii="Times New Roman" w:hAnsi="Times New Roman" w:cs="Times New Roman"/>
                <w:b/>
                <w:color w:val="auto"/>
                <w:sz w:val="44"/>
                <w:szCs w:val="18"/>
              </w:rPr>
              <w:t>Email address:</w:t>
            </w:r>
            <w:r w:rsidR="00680C3E" w:rsidRPr="00680C3E">
              <w:rPr>
                <w:rFonts w:ascii="Times New Roman" w:hAnsi="Times New Roman" w:cs="Times New Roman"/>
                <w:b/>
                <w:color w:val="auto"/>
                <w:sz w:val="44"/>
                <w:szCs w:val="18"/>
              </w:rPr>
              <w:t xml:space="preserve"> b.shellard@npt.gov.uk</w:t>
            </w:r>
          </w:p>
          <w:p w14:paraId="22E38809" w14:textId="77777777" w:rsidR="00986B43" w:rsidRPr="00680C3E"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27ADC6AC" w:rsidR="00F927A1" w:rsidRPr="00680C3E"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680C3E">
              <w:rPr>
                <w:rFonts w:ascii="Times New Roman" w:hAnsi="Times New Roman" w:cs="Times New Roman"/>
                <w:b/>
                <w:color w:val="auto"/>
                <w:sz w:val="44"/>
                <w:szCs w:val="18"/>
              </w:rPr>
              <w:t>Learner’s University Registration</w:t>
            </w:r>
            <w:r w:rsidR="00F927A1" w:rsidRPr="00680C3E">
              <w:rPr>
                <w:rFonts w:ascii="Times New Roman" w:hAnsi="Times New Roman" w:cs="Times New Roman"/>
                <w:b/>
                <w:color w:val="auto"/>
                <w:sz w:val="44"/>
                <w:szCs w:val="18"/>
              </w:rPr>
              <w:t xml:space="preserve"> Number:</w:t>
            </w:r>
            <w:r w:rsidR="00680C3E" w:rsidRPr="00680C3E">
              <w:rPr>
                <w:rFonts w:ascii="Times New Roman" w:hAnsi="Times New Roman" w:cs="Times New Roman"/>
                <w:b/>
                <w:color w:val="auto"/>
                <w:sz w:val="44"/>
                <w:szCs w:val="18"/>
              </w:rPr>
              <w:t xml:space="preserve"> 2332706</w:t>
            </w:r>
          </w:p>
          <w:p w14:paraId="622FD17A" w14:textId="77777777" w:rsidR="0085230E" w:rsidRPr="00680C3E"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7D4A8CB1"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680C3E">
              <w:rPr>
                <w:rFonts w:ascii="Times New Roman" w:hAnsi="Times New Roman" w:cs="Times New Roman"/>
                <w:b/>
                <w:color w:val="auto"/>
                <w:sz w:val="44"/>
                <w:szCs w:val="18"/>
              </w:rPr>
              <w:t xml:space="preserve">Cohort: </w:t>
            </w:r>
            <w:r w:rsidR="0049374F" w:rsidRPr="00680C3E">
              <w:rPr>
                <w:rFonts w:ascii="Times New Roman" w:hAnsi="Times New Roman" w:cs="Times New Roman"/>
                <w:b/>
                <w:color w:val="auto"/>
                <w:sz w:val="44"/>
                <w:szCs w:val="18"/>
              </w:rPr>
              <w:t>21</w:t>
            </w:r>
            <w:r w:rsidR="004042F0">
              <w:rPr>
                <w:rFonts w:ascii="Times New Roman" w:hAnsi="Times New Roman" w:cs="Times New Roman"/>
                <w:b/>
                <w:color w:val="auto"/>
                <w:sz w:val="44"/>
                <w:szCs w:val="18"/>
              </w:rPr>
              <w:t xml:space="preserve"> </w:t>
            </w:r>
            <w:r w:rsidR="00AE6231" w:rsidRPr="00680C3E">
              <w:rPr>
                <w:rFonts w:ascii="Times New Roman" w:hAnsi="Times New Roman" w:cs="Times New Roman"/>
                <w:b/>
                <w:color w:val="auto"/>
                <w:sz w:val="44"/>
                <w:szCs w:val="1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EA6C23">
        <w:rPr>
          <w:i/>
          <w:iCs/>
          <w:sz w:val="24"/>
          <w:szCs w:val="24"/>
        </w:rPr>
        <w:t>E</w:t>
      </w:r>
      <w:r w:rsidR="00337FEF" w:rsidRPr="00EA6C23">
        <w:rPr>
          <w:i/>
          <w:iCs/>
          <w:sz w:val="24"/>
          <w:szCs w:val="24"/>
        </w:rPr>
        <w:t xml:space="preserve">nsure you meet </w:t>
      </w:r>
      <w:r w:rsidR="00FC0334" w:rsidRPr="00EA6C23">
        <w:rPr>
          <w:i/>
          <w:iCs/>
          <w:sz w:val="24"/>
          <w:szCs w:val="24"/>
        </w:rPr>
        <w:t>the</w:t>
      </w:r>
      <w:r w:rsidR="00AA7960" w:rsidRPr="00EA6C23">
        <w:rPr>
          <w:i/>
          <w:iCs/>
          <w:sz w:val="24"/>
          <w:szCs w:val="24"/>
        </w:rPr>
        <w:t xml:space="preserve"> </w:t>
      </w:r>
      <w:r w:rsidR="00064063" w:rsidRPr="00EA6C23">
        <w:rPr>
          <w:i/>
          <w:iCs/>
          <w:sz w:val="24"/>
          <w:szCs w:val="24"/>
        </w:rPr>
        <w:t xml:space="preserve">learning out comes for this task </w:t>
      </w:r>
      <w:r w:rsidR="0079422A" w:rsidRPr="00EA6C23">
        <w:rPr>
          <w:i/>
          <w:iCs/>
          <w:sz w:val="24"/>
          <w:szCs w:val="24"/>
        </w:rPr>
        <w:t>(</w:t>
      </w:r>
      <w:r w:rsidR="00064063" w:rsidRPr="00EA6C23">
        <w:rPr>
          <w:i/>
          <w:iCs/>
          <w:sz w:val="24"/>
          <w:szCs w:val="24"/>
        </w:rPr>
        <w:t xml:space="preserve">see appendix </w:t>
      </w:r>
      <w:r w:rsidR="003D1BC0" w:rsidRPr="00EA6C23">
        <w:rPr>
          <w:i/>
          <w:iCs/>
          <w:sz w:val="24"/>
          <w:szCs w:val="24"/>
        </w:rPr>
        <w:t>5</w:t>
      </w:r>
      <w:r w:rsidR="00064063" w:rsidRPr="00EA6C23">
        <w:rPr>
          <w:i/>
          <w:iCs/>
          <w:sz w:val="24"/>
          <w:szCs w:val="24"/>
        </w:rPr>
        <w:t xml:space="preserve"> </w:t>
      </w:r>
      <w:r w:rsidR="00FC0334" w:rsidRPr="00EA6C23">
        <w:rPr>
          <w:i/>
          <w:iCs/>
          <w:sz w:val="24"/>
          <w:szCs w:val="24"/>
        </w:rPr>
        <w:t>of the</w:t>
      </w:r>
      <w:r w:rsidR="007A628F" w:rsidRPr="00EA6C23">
        <w:rPr>
          <w:i/>
          <w:iCs/>
          <w:sz w:val="24"/>
          <w:szCs w:val="24"/>
        </w:rPr>
        <w:t xml:space="preserve"> h</w:t>
      </w:r>
      <w:r w:rsidR="00FC0334" w:rsidRPr="00EA6C23">
        <w:rPr>
          <w:i/>
          <w:iCs/>
          <w:sz w:val="24"/>
          <w:szCs w:val="24"/>
        </w:rPr>
        <w:t>andbook</w:t>
      </w:r>
      <w:r w:rsidR="0079422A" w:rsidRPr="00EA6C23">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Pr="00E96B19" w:rsidRDefault="00BB7FD2" w:rsidP="00FF7EBB">
            <w:pPr>
              <w:jc w:val="both"/>
              <w:rPr>
                <w:b/>
                <w:bCs/>
                <w:sz w:val="24"/>
                <w:szCs w:val="24"/>
              </w:rPr>
            </w:pPr>
            <w:r w:rsidRPr="00E96B19">
              <w:rPr>
                <w:b/>
                <w:bCs/>
                <w:sz w:val="24"/>
                <w:szCs w:val="24"/>
              </w:rPr>
              <w:t xml:space="preserve">In an area that is not your main focus of work (see guidance above), </w:t>
            </w:r>
            <w:r w:rsidR="0002440E" w:rsidRPr="00E96B19">
              <w:rPr>
                <w:b/>
                <w:bCs/>
                <w:sz w:val="24"/>
                <w:szCs w:val="24"/>
              </w:rPr>
              <w:t>explain</w:t>
            </w:r>
            <w:r w:rsidR="008340BA" w:rsidRPr="00E96B19">
              <w:rPr>
                <w:b/>
                <w:bCs/>
                <w:sz w:val="24"/>
                <w:szCs w:val="24"/>
              </w:rPr>
              <w:t xml:space="preserve"> </w:t>
            </w:r>
            <w:r w:rsidR="00DA22EC" w:rsidRPr="00E96B19">
              <w:rPr>
                <w:b/>
                <w:bCs/>
                <w:sz w:val="24"/>
                <w:szCs w:val="24"/>
              </w:rPr>
              <w:t>the</w:t>
            </w:r>
            <w:r w:rsidR="005A545C" w:rsidRPr="00E96B19">
              <w:rPr>
                <w:b/>
                <w:bCs/>
                <w:sz w:val="24"/>
                <w:szCs w:val="24"/>
              </w:rPr>
              <w:t xml:space="preserve"> relevant </w:t>
            </w:r>
            <w:r w:rsidRPr="00E96B19">
              <w:rPr>
                <w:b/>
                <w:bCs/>
                <w:sz w:val="24"/>
                <w:szCs w:val="24"/>
              </w:rPr>
              <w:t xml:space="preserve">legislation, </w:t>
            </w:r>
            <w:r w:rsidR="0002440E" w:rsidRPr="00E96B19">
              <w:rPr>
                <w:b/>
                <w:bCs/>
                <w:sz w:val="24"/>
                <w:szCs w:val="24"/>
              </w:rPr>
              <w:t>and</w:t>
            </w:r>
            <w:r w:rsidR="008340BA" w:rsidRPr="00E96B19">
              <w:rPr>
                <w:b/>
                <w:bCs/>
                <w:sz w:val="24"/>
                <w:szCs w:val="24"/>
              </w:rPr>
              <w:t xml:space="preserve"> the </w:t>
            </w:r>
            <w:r w:rsidR="005A545C" w:rsidRPr="00E96B19">
              <w:rPr>
                <w:b/>
                <w:bCs/>
                <w:sz w:val="24"/>
                <w:szCs w:val="24"/>
              </w:rPr>
              <w:t>national, local and organisational policies and procedures</w:t>
            </w:r>
            <w:r w:rsidRPr="00E96B19">
              <w:rPr>
                <w:b/>
                <w:bCs/>
                <w:sz w:val="24"/>
                <w:szCs w:val="24"/>
              </w:rPr>
              <w:t xml:space="preserve"> for safeguarding. </w:t>
            </w:r>
          </w:p>
          <w:p w14:paraId="1FBBCFA0" w14:textId="77777777" w:rsidR="006108C9" w:rsidRDefault="006108C9" w:rsidP="00FF7EBB">
            <w:pPr>
              <w:jc w:val="both"/>
              <w:rPr>
                <w:sz w:val="24"/>
                <w:szCs w:val="24"/>
              </w:rPr>
            </w:pPr>
          </w:p>
          <w:p w14:paraId="14EB9B4A" w14:textId="77777777" w:rsidR="001762DD" w:rsidRPr="001762DD" w:rsidRDefault="001762DD" w:rsidP="001762DD">
            <w:pPr>
              <w:spacing w:line="360" w:lineRule="auto"/>
              <w:jc w:val="both"/>
              <w:rPr>
                <w:sz w:val="24"/>
                <w:szCs w:val="24"/>
              </w:rPr>
            </w:pPr>
            <w:r w:rsidRPr="001762DD">
              <w:rPr>
                <w:sz w:val="24"/>
                <w:szCs w:val="24"/>
              </w:rPr>
              <w:t>Given that I reflected on an assessment I completed in children’s services for Task 3, Task 4 will focus on legislation and policies pertaining to adults.</w:t>
            </w:r>
          </w:p>
          <w:p w14:paraId="27ABA634" w14:textId="77777777" w:rsidR="001762DD" w:rsidRDefault="001762DD" w:rsidP="001762DD">
            <w:pPr>
              <w:spacing w:line="360" w:lineRule="auto"/>
              <w:jc w:val="both"/>
              <w:rPr>
                <w:sz w:val="24"/>
                <w:szCs w:val="24"/>
              </w:rPr>
            </w:pPr>
          </w:p>
          <w:p w14:paraId="2DB11E75" w14:textId="5A2A6683" w:rsidR="001762DD" w:rsidRPr="001762DD" w:rsidRDefault="001762DD" w:rsidP="001762DD">
            <w:pPr>
              <w:spacing w:line="360" w:lineRule="auto"/>
              <w:jc w:val="both"/>
              <w:rPr>
                <w:sz w:val="24"/>
                <w:szCs w:val="24"/>
              </w:rPr>
            </w:pPr>
            <w:r w:rsidRPr="001762DD">
              <w:rPr>
                <w:sz w:val="24"/>
                <w:szCs w:val="24"/>
              </w:rPr>
              <w:t>The Social Services and Well-being (Wales) Act 2014 (SSWBA 2014) came into effect on 6 April 2016. This legislation is Wales-specific; the English equivalent is the Care Act 2014, which came into effect one year before the SSWBA 2014, on 1 April 2015.</w:t>
            </w:r>
          </w:p>
          <w:p w14:paraId="38AA8042" w14:textId="77777777" w:rsidR="001762DD" w:rsidRDefault="001762DD" w:rsidP="001762DD">
            <w:pPr>
              <w:spacing w:line="360" w:lineRule="auto"/>
              <w:jc w:val="both"/>
              <w:rPr>
                <w:sz w:val="24"/>
                <w:szCs w:val="24"/>
              </w:rPr>
            </w:pPr>
          </w:p>
          <w:p w14:paraId="2DB0B112" w14:textId="0F5CFC5F" w:rsidR="001762DD" w:rsidRDefault="001762DD" w:rsidP="001762DD">
            <w:pPr>
              <w:spacing w:line="360" w:lineRule="auto"/>
              <w:jc w:val="both"/>
              <w:rPr>
                <w:sz w:val="24"/>
                <w:szCs w:val="24"/>
              </w:rPr>
            </w:pPr>
            <w:r w:rsidRPr="001762DD">
              <w:rPr>
                <w:sz w:val="24"/>
                <w:szCs w:val="24"/>
              </w:rPr>
              <w:t>Part 7 of the SSWBA 2014 relates to the safeguarding of adults and children and lays out the framework for the Wales Safeguarding Procedures 2019 (Social Care Wales, 2019)</w:t>
            </w:r>
            <w:r w:rsidR="006F310F">
              <w:rPr>
                <w:sz w:val="24"/>
                <w:szCs w:val="24"/>
              </w:rPr>
              <w:t>.</w:t>
            </w:r>
            <w:r w:rsidRPr="001762DD">
              <w:rPr>
                <w:sz w:val="24"/>
                <w:szCs w:val="24"/>
              </w:rPr>
              <w:t xml:space="preserve"> </w:t>
            </w:r>
            <w:r w:rsidR="006F310F">
              <w:rPr>
                <w:sz w:val="24"/>
                <w:szCs w:val="24"/>
              </w:rPr>
              <w:t>They</w:t>
            </w:r>
            <w:r w:rsidR="006F310F" w:rsidRPr="001762DD">
              <w:rPr>
                <w:sz w:val="24"/>
                <w:szCs w:val="24"/>
              </w:rPr>
              <w:t xml:space="preserve"> </w:t>
            </w:r>
            <w:r w:rsidRPr="001762DD">
              <w:rPr>
                <w:sz w:val="24"/>
                <w:szCs w:val="24"/>
              </w:rPr>
              <w:t>support practitioners in the application of this Part of the Act and the related statutory guidance Working together to safeguard people (Welsh Government, 2022). The SSWBA 2014 defines an ‘adult at risk’ as an adult who is experiencing or is at risk of abuse or neglect, has needs for care and support (whether or not the authority is meeting any of those needs), and as a result of those needs is unable to protect themself against the abuse or neglect or the risk of it.</w:t>
            </w:r>
          </w:p>
          <w:p w14:paraId="77F282AC" w14:textId="343AD197" w:rsidR="001762DD" w:rsidRDefault="001762DD" w:rsidP="001762DD">
            <w:pPr>
              <w:spacing w:line="360" w:lineRule="auto"/>
              <w:jc w:val="both"/>
              <w:rPr>
                <w:sz w:val="24"/>
                <w:szCs w:val="24"/>
              </w:rPr>
            </w:pPr>
            <w:r w:rsidRPr="001762DD">
              <w:rPr>
                <w:sz w:val="24"/>
                <w:szCs w:val="24"/>
              </w:rPr>
              <w:t xml:space="preserve">The SSWBA 2014 links to another Wales-specific Act, the Wellbeing of Future Generations Act 2015, which sets out national wellbeing goals for Wales and </w:t>
            </w:r>
            <w:r w:rsidR="003E79CC" w:rsidRPr="003E79CC">
              <w:rPr>
                <w:sz w:val="24"/>
                <w:szCs w:val="24"/>
              </w:rPr>
              <w:t>which includes the requirement to establish safeguarding children boards in Wales (NSPCC 2022).</w:t>
            </w:r>
          </w:p>
          <w:p w14:paraId="3986CC1B" w14:textId="77777777" w:rsidR="00E96B19" w:rsidRPr="001762DD" w:rsidRDefault="00E96B19" w:rsidP="001762DD">
            <w:pPr>
              <w:spacing w:line="360" w:lineRule="auto"/>
              <w:jc w:val="both"/>
              <w:rPr>
                <w:sz w:val="24"/>
                <w:szCs w:val="24"/>
              </w:rPr>
            </w:pPr>
          </w:p>
          <w:p w14:paraId="2D8BE843" w14:textId="77777777" w:rsidR="001762DD" w:rsidRPr="001762DD" w:rsidRDefault="001762DD" w:rsidP="001762DD">
            <w:pPr>
              <w:spacing w:line="360" w:lineRule="auto"/>
              <w:jc w:val="both"/>
              <w:rPr>
                <w:sz w:val="24"/>
                <w:szCs w:val="24"/>
              </w:rPr>
            </w:pPr>
            <w:r w:rsidRPr="001762DD">
              <w:rPr>
                <w:sz w:val="24"/>
                <w:szCs w:val="24"/>
              </w:rPr>
              <w:t>Following the introduction of the SSWBA 2014, six regional safeguarding boards were established in Wales, whose primary purpose is to safeguard children and adults with care and support needs within their own regional areas, as well as evaluating the effectiveness of safeguarding work carried out by the local authorities and agencies within the same areas.</w:t>
            </w:r>
          </w:p>
          <w:p w14:paraId="1BCF6D24" w14:textId="77777777" w:rsidR="001762DD" w:rsidRDefault="001762DD" w:rsidP="001762DD">
            <w:pPr>
              <w:spacing w:line="360" w:lineRule="auto"/>
              <w:jc w:val="both"/>
              <w:rPr>
                <w:sz w:val="24"/>
                <w:szCs w:val="24"/>
              </w:rPr>
            </w:pPr>
          </w:p>
          <w:p w14:paraId="6B5A1BD8" w14:textId="6E85BDCE" w:rsidR="001762DD" w:rsidRPr="001762DD" w:rsidRDefault="001762DD" w:rsidP="001762DD">
            <w:pPr>
              <w:spacing w:line="360" w:lineRule="auto"/>
              <w:jc w:val="both"/>
              <w:rPr>
                <w:sz w:val="24"/>
                <w:szCs w:val="24"/>
              </w:rPr>
            </w:pPr>
            <w:r w:rsidRPr="001762DD">
              <w:rPr>
                <w:sz w:val="24"/>
                <w:szCs w:val="24"/>
              </w:rPr>
              <w:t>In addition to the national legislation and guidance relating to safeguarding, the organisation I work for has its own safeguarding policy covering its responsibilities to both children and adults living within the authority area.</w:t>
            </w:r>
          </w:p>
          <w:p w14:paraId="6FED3FFA" w14:textId="77777777" w:rsidR="001762DD" w:rsidRDefault="001762DD" w:rsidP="001762DD">
            <w:pPr>
              <w:spacing w:line="360" w:lineRule="auto"/>
              <w:jc w:val="both"/>
              <w:rPr>
                <w:sz w:val="24"/>
                <w:szCs w:val="24"/>
              </w:rPr>
            </w:pPr>
          </w:p>
          <w:p w14:paraId="7AEB0E93" w14:textId="779AE45E" w:rsidR="001762DD" w:rsidRPr="001762DD" w:rsidRDefault="001762DD" w:rsidP="001762DD">
            <w:pPr>
              <w:spacing w:line="360" w:lineRule="auto"/>
              <w:jc w:val="both"/>
              <w:rPr>
                <w:sz w:val="24"/>
                <w:szCs w:val="24"/>
              </w:rPr>
            </w:pPr>
            <w:r w:rsidRPr="001762DD">
              <w:rPr>
                <w:sz w:val="24"/>
                <w:szCs w:val="24"/>
              </w:rPr>
              <w:t>Other legislation relating specifically to adults include the Mental Health Act 1983 (MHA 1983) and the Mental Capacity Act 2005 (MCA 2005). The MHA 1983 is the main Act that covers the rights, assessment and treatment of individuals with a mental health disorder. It is most frequently used when individuals</w:t>
            </w:r>
            <w:r w:rsidR="00B077B2">
              <w:rPr>
                <w:sz w:val="24"/>
                <w:szCs w:val="24"/>
              </w:rPr>
              <w:t xml:space="preserve"> with a mental health disorder require</w:t>
            </w:r>
            <w:r w:rsidRPr="001762DD">
              <w:rPr>
                <w:sz w:val="24"/>
                <w:szCs w:val="24"/>
              </w:rPr>
              <w:t xml:space="preserve"> </w:t>
            </w:r>
            <w:r w:rsidR="002A0B12">
              <w:rPr>
                <w:sz w:val="24"/>
                <w:szCs w:val="24"/>
              </w:rPr>
              <w:t>medical treatment but</w:t>
            </w:r>
            <w:r w:rsidR="00773E8A">
              <w:rPr>
                <w:sz w:val="24"/>
                <w:szCs w:val="24"/>
              </w:rPr>
              <w:t xml:space="preserve"> due to this disorder,</w:t>
            </w:r>
            <w:r w:rsidR="002A0B12">
              <w:rPr>
                <w:sz w:val="24"/>
                <w:szCs w:val="24"/>
              </w:rPr>
              <w:t xml:space="preserve"> </w:t>
            </w:r>
            <w:r w:rsidRPr="001762DD">
              <w:rPr>
                <w:sz w:val="24"/>
                <w:szCs w:val="24"/>
              </w:rPr>
              <w:t xml:space="preserve">lack the capacity to make decisions about </w:t>
            </w:r>
            <w:r w:rsidR="00E278E9">
              <w:rPr>
                <w:sz w:val="24"/>
                <w:szCs w:val="24"/>
              </w:rPr>
              <w:t>treatment.</w:t>
            </w:r>
            <w:r w:rsidRPr="001762DD">
              <w:rPr>
                <w:sz w:val="24"/>
                <w:szCs w:val="24"/>
              </w:rPr>
              <w:t xml:space="preserve"> The MCA 2005 (which is applicable to anyone aged 16 and over) is the legislation which provides the framework for the protection of individuals who lack the capacity to make decisions for themselves, capacity being defined as ‘the ability to use and understand information to make a decision, and communicate any decision made’ (NHS, 2022). This could be due to a brain injury, a mental health condition or a learning disability. </w:t>
            </w:r>
          </w:p>
          <w:p w14:paraId="7F361F35" w14:textId="77777777" w:rsidR="001762DD" w:rsidRDefault="001762DD" w:rsidP="001762DD">
            <w:pPr>
              <w:jc w:val="both"/>
              <w:rPr>
                <w:sz w:val="24"/>
                <w:szCs w:val="24"/>
              </w:rPr>
            </w:pPr>
          </w:p>
          <w:p w14:paraId="269B06D4" w14:textId="01AF65B4" w:rsidR="001762DD" w:rsidRPr="001762DD" w:rsidRDefault="001762DD" w:rsidP="001762DD">
            <w:pPr>
              <w:spacing w:line="360" w:lineRule="auto"/>
              <w:jc w:val="both"/>
              <w:rPr>
                <w:sz w:val="24"/>
                <w:szCs w:val="24"/>
              </w:rPr>
            </w:pPr>
            <w:r w:rsidRPr="001762DD">
              <w:rPr>
                <w:sz w:val="24"/>
                <w:szCs w:val="24"/>
              </w:rPr>
              <w:t>The Deprivation of Liberty Safeguards (DoLS) are procedures contained in the MCA 2005 which provide a framework for allowing the deprivation of liberty of individuals who do not have the mental capacity to consent to necessary treatment; deprivation of liberty being defined by the Supreme Court as a situation wherein ‘the person is under continuous supervision and control and is not free to leave, and the person lacks capacity to consent to these arrangements</w:t>
            </w:r>
            <w:r w:rsidR="00F14BDE">
              <w:rPr>
                <w:sz w:val="24"/>
                <w:szCs w:val="24"/>
              </w:rPr>
              <w:t>’ (Care Quality Commission, 2022)</w:t>
            </w:r>
            <w:r w:rsidRPr="001762DD">
              <w:rPr>
                <w:sz w:val="24"/>
                <w:szCs w:val="24"/>
              </w:rPr>
              <w:t xml:space="preserve"> DoLS safeguard individuals against any deprivation of liberty which is not in their best interests. </w:t>
            </w:r>
          </w:p>
          <w:p w14:paraId="12C27D78" w14:textId="77777777" w:rsidR="001762DD" w:rsidRDefault="001762DD" w:rsidP="001762DD">
            <w:pPr>
              <w:jc w:val="both"/>
              <w:rPr>
                <w:sz w:val="24"/>
                <w:szCs w:val="24"/>
              </w:rPr>
            </w:pPr>
          </w:p>
          <w:p w14:paraId="49641ACD" w14:textId="0E55C148" w:rsidR="00FC0334" w:rsidRPr="001762DD" w:rsidRDefault="001762DD" w:rsidP="00FF7EBB">
            <w:pPr>
              <w:jc w:val="both"/>
              <w:rPr>
                <w:b/>
                <w:bCs/>
                <w:sz w:val="24"/>
                <w:szCs w:val="24"/>
              </w:rPr>
            </w:pPr>
            <w:r w:rsidRPr="001762DD">
              <w:rPr>
                <w:b/>
                <w:bCs/>
                <w:sz w:val="24"/>
                <w:szCs w:val="24"/>
              </w:rPr>
              <w:t>5</w:t>
            </w:r>
            <w:r w:rsidR="00726E98">
              <w:rPr>
                <w:b/>
                <w:bCs/>
                <w:sz w:val="24"/>
                <w:szCs w:val="24"/>
              </w:rPr>
              <w:t>4</w:t>
            </w:r>
            <w:r w:rsidR="006F3BB9">
              <w:rPr>
                <w:b/>
                <w:bCs/>
                <w:sz w:val="24"/>
                <w:szCs w:val="24"/>
              </w:rPr>
              <w:t>5</w:t>
            </w:r>
            <w:r w:rsidRPr="001762DD">
              <w:rPr>
                <w:b/>
                <w:bCs/>
                <w:sz w:val="24"/>
                <w:szCs w:val="24"/>
              </w:rPr>
              <w:t xml:space="preserve"> words</w:t>
            </w:r>
          </w:p>
          <w:p w14:paraId="03BD6D93" w14:textId="56AD433A" w:rsidR="007A628F" w:rsidRPr="008B28E7" w:rsidRDefault="007A628F" w:rsidP="004042F0">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C10B8C" w:rsidRDefault="00FC0334" w:rsidP="00FC0334">
            <w:pPr>
              <w:jc w:val="both"/>
              <w:rPr>
                <w:b/>
                <w:color w:val="auto"/>
                <w:sz w:val="24"/>
                <w:szCs w:val="24"/>
              </w:rPr>
            </w:pPr>
            <w:r w:rsidRPr="00C10B8C">
              <w:rPr>
                <w:b/>
                <w:color w:val="auto"/>
                <w:sz w:val="24"/>
                <w:szCs w:val="24"/>
              </w:rPr>
              <w:t>Question b:</w:t>
            </w:r>
          </w:p>
          <w:p w14:paraId="2ADF1EC3" w14:textId="58E4B8DE" w:rsidR="00FC0334" w:rsidRPr="00E96B19" w:rsidRDefault="00FC0334" w:rsidP="00FC0334">
            <w:pPr>
              <w:jc w:val="both"/>
              <w:rPr>
                <w:b/>
                <w:bCs/>
                <w:color w:val="auto"/>
                <w:sz w:val="24"/>
                <w:szCs w:val="24"/>
              </w:rPr>
            </w:pPr>
            <w:r w:rsidRPr="00E96B19">
              <w:rPr>
                <w:b/>
                <w:bCs/>
                <w:color w:val="auto"/>
                <w:sz w:val="24"/>
                <w:szCs w:val="24"/>
              </w:rPr>
              <w:t>Reflect on the difference between safeguarding in adult</w:t>
            </w:r>
            <w:r w:rsidR="00C63CAB" w:rsidRPr="00E96B19">
              <w:rPr>
                <w:b/>
                <w:bCs/>
                <w:color w:val="auto"/>
                <w:sz w:val="24"/>
                <w:szCs w:val="24"/>
              </w:rPr>
              <w:t>s’</w:t>
            </w:r>
            <w:r w:rsidRPr="00E96B19">
              <w:rPr>
                <w:b/>
                <w:bCs/>
                <w:color w:val="auto"/>
                <w:sz w:val="24"/>
                <w:szCs w:val="24"/>
              </w:rPr>
              <w:t xml:space="preserve"> and children</w:t>
            </w:r>
            <w:r w:rsidR="007A628F" w:rsidRPr="00E96B19">
              <w:rPr>
                <w:b/>
                <w:bCs/>
                <w:color w:val="auto"/>
                <w:sz w:val="24"/>
                <w:szCs w:val="24"/>
              </w:rPr>
              <w:t>’s</w:t>
            </w:r>
            <w:r w:rsidRPr="00E96B19">
              <w:rPr>
                <w:b/>
                <w:bCs/>
                <w:color w:val="auto"/>
                <w:sz w:val="24"/>
                <w:szCs w:val="24"/>
              </w:rPr>
              <w:t xml:space="preserve"> work</w:t>
            </w:r>
          </w:p>
          <w:p w14:paraId="4CABE426" w14:textId="77777777" w:rsidR="00FC0334" w:rsidRPr="0011598C" w:rsidRDefault="00FC0334" w:rsidP="00FC0334">
            <w:pPr>
              <w:jc w:val="both"/>
              <w:rPr>
                <w:color w:val="auto"/>
                <w:sz w:val="24"/>
                <w:szCs w:val="24"/>
              </w:rPr>
            </w:pPr>
          </w:p>
          <w:p w14:paraId="301EB8C3" w14:textId="3F9DA991" w:rsidR="0011598C" w:rsidRDefault="0011598C" w:rsidP="004042F0">
            <w:pPr>
              <w:spacing w:line="360" w:lineRule="auto"/>
              <w:jc w:val="both"/>
              <w:rPr>
                <w:color w:val="auto"/>
                <w:sz w:val="24"/>
                <w:szCs w:val="24"/>
              </w:rPr>
            </w:pPr>
            <w:r w:rsidRPr="0011598C">
              <w:rPr>
                <w:color w:val="auto"/>
                <w:sz w:val="24"/>
                <w:szCs w:val="24"/>
              </w:rPr>
              <w:t>Adults and children can experience and be at risk of the same type of harm</w:t>
            </w:r>
            <w:r w:rsidR="005121E5">
              <w:rPr>
                <w:color w:val="auto"/>
                <w:sz w:val="24"/>
                <w:szCs w:val="24"/>
              </w:rPr>
              <w:t xml:space="preserve"> (adults </w:t>
            </w:r>
            <w:r w:rsidR="00F85237">
              <w:rPr>
                <w:color w:val="auto"/>
                <w:sz w:val="24"/>
                <w:szCs w:val="24"/>
              </w:rPr>
              <w:t xml:space="preserve">also being </w:t>
            </w:r>
            <w:r w:rsidR="005121E5">
              <w:rPr>
                <w:color w:val="auto"/>
                <w:sz w:val="24"/>
                <w:szCs w:val="24"/>
              </w:rPr>
              <w:t>at risk of</w:t>
            </w:r>
            <w:r w:rsidR="00F85237">
              <w:rPr>
                <w:color w:val="auto"/>
                <w:sz w:val="24"/>
                <w:szCs w:val="24"/>
              </w:rPr>
              <w:t xml:space="preserve"> other types of </w:t>
            </w:r>
            <w:r w:rsidR="00A160B4">
              <w:rPr>
                <w:color w:val="auto"/>
                <w:sz w:val="24"/>
                <w:szCs w:val="24"/>
              </w:rPr>
              <w:t>harm</w:t>
            </w:r>
            <w:r w:rsidR="00F85237">
              <w:rPr>
                <w:color w:val="auto"/>
                <w:sz w:val="24"/>
                <w:szCs w:val="24"/>
              </w:rPr>
              <w:t>, such as financial</w:t>
            </w:r>
            <w:r w:rsidR="00A160B4">
              <w:rPr>
                <w:color w:val="auto"/>
                <w:sz w:val="24"/>
                <w:szCs w:val="24"/>
              </w:rPr>
              <w:t xml:space="preserve"> abuse</w:t>
            </w:r>
            <w:r w:rsidR="00F85237">
              <w:rPr>
                <w:color w:val="auto"/>
                <w:sz w:val="24"/>
                <w:szCs w:val="24"/>
              </w:rPr>
              <w:t>)</w:t>
            </w:r>
            <w:r w:rsidRPr="0011598C">
              <w:rPr>
                <w:color w:val="auto"/>
                <w:sz w:val="24"/>
                <w:szCs w:val="24"/>
              </w:rPr>
              <w:t xml:space="preserve"> and local authorities have the same duties to safeguard both groups, under the Social Services and Wellbeing (Wales) Act 2014. However, while the same duty is placed upon local authorities </w:t>
            </w:r>
            <w:r w:rsidR="004E0D76">
              <w:rPr>
                <w:color w:val="auto"/>
                <w:sz w:val="24"/>
                <w:szCs w:val="24"/>
              </w:rPr>
              <w:t xml:space="preserve">and partner agencies </w:t>
            </w:r>
            <w:r w:rsidRPr="0011598C">
              <w:rPr>
                <w:color w:val="auto"/>
                <w:sz w:val="24"/>
                <w:szCs w:val="24"/>
              </w:rPr>
              <w:t xml:space="preserve">to report when they have ‘reasonable cause to suspect’ a ‘child at risk’ or an ‘adult at risk’, there is significant variation in the powers that professionals can use following a referral.  </w:t>
            </w:r>
          </w:p>
          <w:p w14:paraId="46E483FB" w14:textId="77777777" w:rsidR="0011598C" w:rsidRPr="0011598C" w:rsidRDefault="0011598C" w:rsidP="004042F0">
            <w:pPr>
              <w:spacing w:line="360" w:lineRule="auto"/>
              <w:jc w:val="both"/>
              <w:rPr>
                <w:color w:val="auto"/>
                <w:sz w:val="24"/>
                <w:szCs w:val="24"/>
              </w:rPr>
            </w:pPr>
          </w:p>
          <w:p w14:paraId="25A2DE51" w14:textId="77777777" w:rsidR="0011598C" w:rsidRDefault="0011598C" w:rsidP="004042F0">
            <w:pPr>
              <w:spacing w:line="360" w:lineRule="auto"/>
              <w:jc w:val="both"/>
              <w:rPr>
                <w:color w:val="auto"/>
                <w:sz w:val="24"/>
                <w:szCs w:val="24"/>
              </w:rPr>
            </w:pPr>
            <w:r w:rsidRPr="0011598C">
              <w:rPr>
                <w:color w:val="auto"/>
                <w:sz w:val="24"/>
                <w:szCs w:val="24"/>
              </w:rPr>
              <w:t>The main difference between safeguarding adults and safeguarding children is the right of adults to make their own choices about their lives, known as self-determination. The legal framework for adults sets out their rights to autonomy and self-determination. Adult safeguarding law focuses on ensuring that individuals are protected from abuse and neglect and that their rights are not compromised while being provided with protection and support. Issues such as mental capacity are considered and adults are empowered to make their own decisions wherever possible.</w:t>
            </w:r>
          </w:p>
          <w:p w14:paraId="1573CAC0" w14:textId="77777777" w:rsidR="0011598C" w:rsidRPr="0011598C" w:rsidRDefault="0011598C" w:rsidP="004042F0">
            <w:pPr>
              <w:spacing w:line="360" w:lineRule="auto"/>
              <w:jc w:val="both"/>
              <w:rPr>
                <w:color w:val="auto"/>
                <w:sz w:val="24"/>
                <w:szCs w:val="24"/>
              </w:rPr>
            </w:pPr>
          </w:p>
          <w:p w14:paraId="74379C38" w14:textId="6D5D0A0D" w:rsidR="0011598C" w:rsidRDefault="0011598C" w:rsidP="004042F0">
            <w:pPr>
              <w:spacing w:line="360" w:lineRule="auto"/>
              <w:jc w:val="both"/>
              <w:rPr>
                <w:color w:val="auto"/>
                <w:sz w:val="24"/>
                <w:szCs w:val="24"/>
              </w:rPr>
            </w:pPr>
            <w:r w:rsidRPr="0011598C">
              <w:rPr>
                <w:color w:val="auto"/>
                <w:sz w:val="24"/>
                <w:szCs w:val="24"/>
              </w:rPr>
              <w:t>The Mental Capacity Act 2005 (MCA 2005) states that an individual must be assumed as having mental capacity to make choices for themselves unless proven otherwise and the MCA 2005 provides the legal framework for making decisions on behalf of individuals who have been assessed as lacking capacity. The MCA 2005 covers individuals aged 16 and 17 years old, although there are parts of the Act which do not apply to them. This includes the Deprivation of Liberty Safeguards (DoLS), the framework used to authorise deprivations of liberty, which can only be used with individuals over the age of 18.</w:t>
            </w:r>
          </w:p>
          <w:p w14:paraId="2D83B696" w14:textId="77777777" w:rsidR="0011598C" w:rsidRPr="0011598C" w:rsidRDefault="0011598C" w:rsidP="004042F0">
            <w:pPr>
              <w:spacing w:line="360" w:lineRule="auto"/>
              <w:jc w:val="both"/>
              <w:rPr>
                <w:color w:val="auto"/>
                <w:sz w:val="24"/>
                <w:szCs w:val="24"/>
              </w:rPr>
            </w:pPr>
          </w:p>
          <w:p w14:paraId="14710589" w14:textId="5BBC642A" w:rsidR="0011598C" w:rsidRPr="0011598C" w:rsidRDefault="0011598C" w:rsidP="004042F0">
            <w:pPr>
              <w:spacing w:line="360" w:lineRule="auto"/>
              <w:jc w:val="both"/>
              <w:rPr>
                <w:color w:val="auto"/>
                <w:sz w:val="24"/>
                <w:szCs w:val="24"/>
              </w:rPr>
            </w:pPr>
            <w:r w:rsidRPr="0011598C">
              <w:rPr>
                <w:color w:val="auto"/>
                <w:sz w:val="24"/>
                <w:szCs w:val="24"/>
              </w:rPr>
              <w:t xml:space="preserve">Article 8 of the Human Rights Act states that people have the right to a private family life, which means that adults can refuse assessment and any care and support offered to them. However, children are inherently more vulnerable than </w:t>
            </w:r>
            <w:r w:rsidR="003808A8">
              <w:rPr>
                <w:color w:val="auto"/>
                <w:sz w:val="24"/>
                <w:szCs w:val="24"/>
              </w:rPr>
              <w:t xml:space="preserve">the majority of </w:t>
            </w:r>
            <w:r w:rsidRPr="0011598C">
              <w:rPr>
                <w:color w:val="auto"/>
                <w:sz w:val="24"/>
                <w:szCs w:val="24"/>
              </w:rPr>
              <w:t>adults and the legal framework for safeguarding children is more prescriptive, given children’s lack of lega</w:t>
            </w:r>
            <w:r w:rsidR="00A1015F">
              <w:rPr>
                <w:color w:val="auto"/>
                <w:sz w:val="24"/>
                <w:szCs w:val="24"/>
              </w:rPr>
              <w:t>l</w:t>
            </w:r>
            <w:r w:rsidRPr="0011598C">
              <w:rPr>
                <w:color w:val="auto"/>
                <w:sz w:val="24"/>
                <w:szCs w:val="24"/>
              </w:rPr>
              <w:t xml:space="preserve"> capacity to make certain decisions. </w:t>
            </w:r>
          </w:p>
          <w:p w14:paraId="75E79E50" w14:textId="77777777" w:rsidR="0011598C" w:rsidRDefault="0011598C" w:rsidP="004042F0">
            <w:pPr>
              <w:spacing w:line="360" w:lineRule="auto"/>
              <w:jc w:val="both"/>
              <w:rPr>
                <w:color w:val="auto"/>
                <w:sz w:val="24"/>
                <w:szCs w:val="24"/>
              </w:rPr>
            </w:pPr>
          </w:p>
          <w:p w14:paraId="4EEE0F8B" w14:textId="31005C74" w:rsidR="0011598C" w:rsidRPr="0011598C" w:rsidRDefault="0011598C" w:rsidP="004042F0">
            <w:pPr>
              <w:spacing w:line="360" w:lineRule="auto"/>
              <w:jc w:val="both"/>
              <w:rPr>
                <w:color w:val="auto"/>
                <w:sz w:val="24"/>
                <w:szCs w:val="24"/>
              </w:rPr>
            </w:pPr>
            <w:r w:rsidRPr="0011598C">
              <w:rPr>
                <w:color w:val="auto"/>
                <w:sz w:val="24"/>
                <w:szCs w:val="24"/>
              </w:rPr>
              <w:t xml:space="preserve">The Children Act 1989 states that the person who has Parental Responsibility (PR) for a child should make decisions on the child’s behalf; however, there may be occasions where a child may want to make decisions for themselves. In this instance, the Gillick Competency guidance is used to determine whether a child under 16 has the capacity to consent to any treatment. </w:t>
            </w:r>
          </w:p>
          <w:p w14:paraId="7B7B4827" w14:textId="1DD718DF" w:rsidR="00FC0334" w:rsidRPr="0011598C" w:rsidRDefault="0011598C" w:rsidP="004042F0">
            <w:pPr>
              <w:spacing w:line="360" w:lineRule="auto"/>
              <w:jc w:val="both"/>
              <w:rPr>
                <w:color w:val="auto"/>
                <w:sz w:val="24"/>
                <w:szCs w:val="24"/>
              </w:rPr>
            </w:pPr>
            <w:r w:rsidRPr="0011598C">
              <w:rPr>
                <w:color w:val="auto"/>
                <w:sz w:val="24"/>
                <w:szCs w:val="24"/>
              </w:rPr>
              <w:t>In conclusion, while both children's and adults' safeguarding aim to protect individuals from harm, the strategies and legal frameworks differ due to the varying vulnerabilities and rights of each group.</w:t>
            </w:r>
          </w:p>
          <w:p w14:paraId="26348198" w14:textId="77777777" w:rsidR="0011598C" w:rsidRPr="0011598C" w:rsidRDefault="0011598C" w:rsidP="0011598C">
            <w:pPr>
              <w:jc w:val="both"/>
              <w:rPr>
                <w:color w:val="auto"/>
                <w:sz w:val="24"/>
                <w:szCs w:val="24"/>
              </w:rPr>
            </w:pPr>
          </w:p>
          <w:p w14:paraId="3DB10CEC" w14:textId="29165B28" w:rsidR="0011598C" w:rsidRPr="0011598C" w:rsidRDefault="0011598C" w:rsidP="0011598C">
            <w:pPr>
              <w:jc w:val="both"/>
              <w:rPr>
                <w:b/>
                <w:bCs/>
                <w:color w:val="auto"/>
                <w:sz w:val="24"/>
                <w:szCs w:val="24"/>
              </w:rPr>
            </w:pPr>
            <w:r w:rsidRPr="0011598C">
              <w:rPr>
                <w:b/>
                <w:bCs/>
                <w:color w:val="auto"/>
                <w:sz w:val="24"/>
                <w:szCs w:val="24"/>
              </w:rPr>
              <w:t>4</w:t>
            </w:r>
            <w:r w:rsidR="00A160B4">
              <w:rPr>
                <w:b/>
                <w:bCs/>
                <w:color w:val="auto"/>
                <w:sz w:val="24"/>
                <w:szCs w:val="24"/>
              </w:rPr>
              <w:t>3</w:t>
            </w:r>
            <w:r w:rsidR="005C1B0D">
              <w:rPr>
                <w:b/>
                <w:bCs/>
                <w:color w:val="auto"/>
                <w:sz w:val="24"/>
                <w:szCs w:val="24"/>
              </w:rPr>
              <w:t>4</w:t>
            </w:r>
            <w:r w:rsidRPr="0011598C">
              <w:rPr>
                <w:b/>
                <w:bCs/>
                <w:color w:val="auto"/>
                <w:sz w:val="24"/>
                <w:szCs w:val="24"/>
              </w:rPr>
              <w:t xml:space="preserve"> words</w:t>
            </w:r>
          </w:p>
          <w:p w14:paraId="08760B3D" w14:textId="77777777" w:rsidR="00FC0334" w:rsidRPr="00C10B8C" w:rsidRDefault="00FC0334" w:rsidP="004042F0">
            <w:pPr>
              <w:jc w:val="both"/>
              <w:rPr>
                <w:color w:val="FF0000"/>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7AEF1" w14:textId="77777777" w:rsidR="00DC7910" w:rsidRDefault="00DC7910">
      <w:r>
        <w:separator/>
      </w:r>
    </w:p>
  </w:endnote>
  <w:endnote w:type="continuationSeparator" w:id="0">
    <w:p w14:paraId="290C8984" w14:textId="77777777" w:rsidR="00DC7910" w:rsidRDefault="00DC7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5196719"/>
      <w:docPartObj>
        <w:docPartGallery w:val="Page Numbers (Bottom of Page)"/>
        <w:docPartUnique/>
      </w:docPartObj>
    </w:sdtPr>
    <w:sdtEndPr>
      <w:rPr>
        <w:noProof/>
      </w:rPr>
    </w:sdtEndPr>
    <w:sdtContent>
      <w:p w14:paraId="4A6DBE69" w14:textId="781923D6" w:rsidR="00062790" w:rsidRDefault="000627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3338B" w14:textId="77777777" w:rsidR="00DC7910" w:rsidRDefault="00DC7910">
      <w:r>
        <w:separator/>
      </w:r>
    </w:p>
  </w:footnote>
  <w:footnote w:type="continuationSeparator" w:id="0">
    <w:p w14:paraId="55E64F01" w14:textId="77777777" w:rsidR="00DC7910" w:rsidRDefault="00DC79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790"/>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39A7"/>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553E"/>
    <w:rsid w:val="0011598C"/>
    <w:rsid w:val="00130119"/>
    <w:rsid w:val="00132812"/>
    <w:rsid w:val="001347F8"/>
    <w:rsid w:val="001359EE"/>
    <w:rsid w:val="00137BB5"/>
    <w:rsid w:val="00137E05"/>
    <w:rsid w:val="001447F6"/>
    <w:rsid w:val="00147DE3"/>
    <w:rsid w:val="00150794"/>
    <w:rsid w:val="00151DA6"/>
    <w:rsid w:val="001608C4"/>
    <w:rsid w:val="00164832"/>
    <w:rsid w:val="00171418"/>
    <w:rsid w:val="001762DD"/>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66D"/>
    <w:rsid w:val="00291ADD"/>
    <w:rsid w:val="002920DF"/>
    <w:rsid w:val="00292F3D"/>
    <w:rsid w:val="00295CA1"/>
    <w:rsid w:val="002A0B12"/>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7228"/>
    <w:rsid w:val="0030017B"/>
    <w:rsid w:val="003015C3"/>
    <w:rsid w:val="003106DB"/>
    <w:rsid w:val="0031350A"/>
    <w:rsid w:val="00316815"/>
    <w:rsid w:val="003168CA"/>
    <w:rsid w:val="00321255"/>
    <w:rsid w:val="0032230D"/>
    <w:rsid w:val="00322A0B"/>
    <w:rsid w:val="0033082B"/>
    <w:rsid w:val="00330881"/>
    <w:rsid w:val="00331CD2"/>
    <w:rsid w:val="00332426"/>
    <w:rsid w:val="00335C41"/>
    <w:rsid w:val="00335FC5"/>
    <w:rsid w:val="0033771E"/>
    <w:rsid w:val="00337FEF"/>
    <w:rsid w:val="00354B6D"/>
    <w:rsid w:val="00355210"/>
    <w:rsid w:val="00355CFD"/>
    <w:rsid w:val="0036363F"/>
    <w:rsid w:val="00365DF9"/>
    <w:rsid w:val="0037066E"/>
    <w:rsid w:val="00372DB4"/>
    <w:rsid w:val="00373A36"/>
    <w:rsid w:val="0037419E"/>
    <w:rsid w:val="00375AF5"/>
    <w:rsid w:val="003761BD"/>
    <w:rsid w:val="00377448"/>
    <w:rsid w:val="00377884"/>
    <w:rsid w:val="003808A8"/>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79CC"/>
    <w:rsid w:val="003F1233"/>
    <w:rsid w:val="003F67A4"/>
    <w:rsid w:val="00400786"/>
    <w:rsid w:val="00401FDA"/>
    <w:rsid w:val="00403E52"/>
    <w:rsid w:val="004042F0"/>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0D76"/>
    <w:rsid w:val="004E44A4"/>
    <w:rsid w:val="004E7B8B"/>
    <w:rsid w:val="004E7BDD"/>
    <w:rsid w:val="004F1966"/>
    <w:rsid w:val="004F1E21"/>
    <w:rsid w:val="004F2542"/>
    <w:rsid w:val="004F2821"/>
    <w:rsid w:val="004F4E33"/>
    <w:rsid w:val="004F740D"/>
    <w:rsid w:val="004F7B8F"/>
    <w:rsid w:val="00500748"/>
    <w:rsid w:val="005011D6"/>
    <w:rsid w:val="00502A14"/>
    <w:rsid w:val="005042F1"/>
    <w:rsid w:val="0050481B"/>
    <w:rsid w:val="005113D4"/>
    <w:rsid w:val="005121E5"/>
    <w:rsid w:val="0051287D"/>
    <w:rsid w:val="00513C7D"/>
    <w:rsid w:val="00521123"/>
    <w:rsid w:val="00521221"/>
    <w:rsid w:val="0052250B"/>
    <w:rsid w:val="005305C6"/>
    <w:rsid w:val="00540EEC"/>
    <w:rsid w:val="005414F4"/>
    <w:rsid w:val="0054543D"/>
    <w:rsid w:val="00546187"/>
    <w:rsid w:val="00546363"/>
    <w:rsid w:val="00547B11"/>
    <w:rsid w:val="00547DD0"/>
    <w:rsid w:val="00557D77"/>
    <w:rsid w:val="00562EAA"/>
    <w:rsid w:val="00563B58"/>
    <w:rsid w:val="00563C4F"/>
    <w:rsid w:val="005640C4"/>
    <w:rsid w:val="0056684C"/>
    <w:rsid w:val="00574A0C"/>
    <w:rsid w:val="0057780F"/>
    <w:rsid w:val="005801C4"/>
    <w:rsid w:val="00581E0A"/>
    <w:rsid w:val="00586D89"/>
    <w:rsid w:val="005877C8"/>
    <w:rsid w:val="00587923"/>
    <w:rsid w:val="00594F9F"/>
    <w:rsid w:val="005A1B4C"/>
    <w:rsid w:val="005A545C"/>
    <w:rsid w:val="005A74DF"/>
    <w:rsid w:val="005B271A"/>
    <w:rsid w:val="005B3A2D"/>
    <w:rsid w:val="005C1567"/>
    <w:rsid w:val="005C1B0D"/>
    <w:rsid w:val="005C1FF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622F"/>
    <w:rsid w:val="006326D1"/>
    <w:rsid w:val="00632E0A"/>
    <w:rsid w:val="00633165"/>
    <w:rsid w:val="006447DE"/>
    <w:rsid w:val="00644889"/>
    <w:rsid w:val="0065276E"/>
    <w:rsid w:val="00653577"/>
    <w:rsid w:val="00654329"/>
    <w:rsid w:val="00654CEC"/>
    <w:rsid w:val="00655507"/>
    <w:rsid w:val="006579FD"/>
    <w:rsid w:val="006635E3"/>
    <w:rsid w:val="006669F3"/>
    <w:rsid w:val="006712A7"/>
    <w:rsid w:val="00672CED"/>
    <w:rsid w:val="00674FC2"/>
    <w:rsid w:val="00676E35"/>
    <w:rsid w:val="00677E42"/>
    <w:rsid w:val="00680C3E"/>
    <w:rsid w:val="00681D94"/>
    <w:rsid w:val="00682334"/>
    <w:rsid w:val="00684732"/>
    <w:rsid w:val="00684B16"/>
    <w:rsid w:val="00687016"/>
    <w:rsid w:val="006872A0"/>
    <w:rsid w:val="0069625A"/>
    <w:rsid w:val="00696A88"/>
    <w:rsid w:val="00696F65"/>
    <w:rsid w:val="00697572"/>
    <w:rsid w:val="006B4496"/>
    <w:rsid w:val="006B5E67"/>
    <w:rsid w:val="006B6612"/>
    <w:rsid w:val="006C28A5"/>
    <w:rsid w:val="006C2EB5"/>
    <w:rsid w:val="006D18A3"/>
    <w:rsid w:val="006D5970"/>
    <w:rsid w:val="006E481E"/>
    <w:rsid w:val="006E795F"/>
    <w:rsid w:val="006F0862"/>
    <w:rsid w:val="006F1438"/>
    <w:rsid w:val="006F2A9E"/>
    <w:rsid w:val="006F310F"/>
    <w:rsid w:val="006F3BB9"/>
    <w:rsid w:val="006F5ED3"/>
    <w:rsid w:val="00700249"/>
    <w:rsid w:val="007069CD"/>
    <w:rsid w:val="00706BB5"/>
    <w:rsid w:val="0071231A"/>
    <w:rsid w:val="00712E90"/>
    <w:rsid w:val="00713B7E"/>
    <w:rsid w:val="0072678F"/>
    <w:rsid w:val="00726E98"/>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3E8A"/>
    <w:rsid w:val="0078112D"/>
    <w:rsid w:val="007872F2"/>
    <w:rsid w:val="007873F9"/>
    <w:rsid w:val="00787CF2"/>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660F"/>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1CF5"/>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01D9"/>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0117"/>
    <w:rsid w:val="009E122F"/>
    <w:rsid w:val="009E1982"/>
    <w:rsid w:val="009E4D2C"/>
    <w:rsid w:val="009F0978"/>
    <w:rsid w:val="009F3AEC"/>
    <w:rsid w:val="009F6801"/>
    <w:rsid w:val="009F7A94"/>
    <w:rsid w:val="00A00081"/>
    <w:rsid w:val="00A06422"/>
    <w:rsid w:val="00A1015F"/>
    <w:rsid w:val="00A10D56"/>
    <w:rsid w:val="00A12AAE"/>
    <w:rsid w:val="00A12F22"/>
    <w:rsid w:val="00A1343F"/>
    <w:rsid w:val="00A160B4"/>
    <w:rsid w:val="00A16DD1"/>
    <w:rsid w:val="00A22441"/>
    <w:rsid w:val="00A23F3B"/>
    <w:rsid w:val="00A24406"/>
    <w:rsid w:val="00A25F64"/>
    <w:rsid w:val="00A275F6"/>
    <w:rsid w:val="00A303B9"/>
    <w:rsid w:val="00A31B2C"/>
    <w:rsid w:val="00A37416"/>
    <w:rsid w:val="00A40ED6"/>
    <w:rsid w:val="00A47621"/>
    <w:rsid w:val="00A479CD"/>
    <w:rsid w:val="00A50CFC"/>
    <w:rsid w:val="00A51E44"/>
    <w:rsid w:val="00A54D67"/>
    <w:rsid w:val="00A55A3F"/>
    <w:rsid w:val="00A5656A"/>
    <w:rsid w:val="00A60103"/>
    <w:rsid w:val="00A652F6"/>
    <w:rsid w:val="00A65861"/>
    <w:rsid w:val="00A732EA"/>
    <w:rsid w:val="00A7489E"/>
    <w:rsid w:val="00A8015F"/>
    <w:rsid w:val="00A85039"/>
    <w:rsid w:val="00A9007C"/>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7B2"/>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CE"/>
    <w:rsid w:val="00BB7FD2"/>
    <w:rsid w:val="00BC04FA"/>
    <w:rsid w:val="00BC1C22"/>
    <w:rsid w:val="00BC460B"/>
    <w:rsid w:val="00BC4ED3"/>
    <w:rsid w:val="00BC5725"/>
    <w:rsid w:val="00BD30B1"/>
    <w:rsid w:val="00BD6F19"/>
    <w:rsid w:val="00BE0F7B"/>
    <w:rsid w:val="00BE10C2"/>
    <w:rsid w:val="00BF0D6C"/>
    <w:rsid w:val="00C01D14"/>
    <w:rsid w:val="00C01D97"/>
    <w:rsid w:val="00C025B4"/>
    <w:rsid w:val="00C029EC"/>
    <w:rsid w:val="00C10B8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3A1B"/>
    <w:rsid w:val="00CC60D0"/>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C7910"/>
    <w:rsid w:val="00DD2CD1"/>
    <w:rsid w:val="00DD31C5"/>
    <w:rsid w:val="00DD5020"/>
    <w:rsid w:val="00DD63BE"/>
    <w:rsid w:val="00DE4296"/>
    <w:rsid w:val="00DF2469"/>
    <w:rsid w:val="00DF7899"/>
    <w:rsid w:val="00E0524C"/>
    <w:rsid w:val="00E15751"/>
    <w:rsid w:val="00E17160"/>
    <w:rsid w:val="00E17D41"/>
    <w:rsid w:val="00E231D1"/>
    <w:rsid w:val="00E278E9"/>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6B19"/>
    <w:rsid w:val="00E97171"/>
    <w:rsid w:val="00EA4D48"/>
    <w:rsid w:val="00EA6C23"/>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4BDE"/>
    <w:rsid w:val="00F15354"/>
    <w:rsid w:val="00F22AC5"/>
    <w:rsid w:val="00F254D1"/>
    <w:rsid w:val="00F32B82"/>
    <w:rsid w:val="00F34C86"/>
    <w:rsid w:val="00F4043E"/>
    <w:rsid w:val="00F41795"/>
    <w:rsid w:val="00F41BBC"/>
    <w:rsid w:val="00F444F0"/>
    <w:rsid w:val="00F446FF"/>
    <w:rsid w:val="00F45521"/>
    <w:rsid w:val="00F50847"/>
    <w:rsid w:val="00F51C70"/>
    <w:rsid w:val="00F53F27"/>
    <w:rsid w:val="00F546D1"/>
    <w:rsid w:val="00F60281"/>
    <w:rsid w:val="00F66272"/>
    <w:rsid w:val="00F709C0"/>
    <w:rsid w:val="00F81FEC"/>
    <w:rsid w:val="00F85237"/>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98D"/>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1155</Words>
  <Characters>6112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Becky Shellard</cp:lastModifiedBy>
  <cp:revision>41</cp:revision>
  <cp:lastPrinted>2020-02-11T19:20:00Z</cp:lastPrinted>
  <dcterms:created xsi:type="dcterms:W3CDTF">2024-11-12T15:37:00Z</dcterms:created>
  <dcterms:modified xsi:type="dcterms:W3CDTF">2025-02-18T18:19:00Z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