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E731C5" w:rsidRDefault="00E731C5">
      <w:pPr>
        <w:keepNext/>
        <w:keepLines/>
        <w:spacing w:before="360" w:after="80" w:line="360" w:lineRule="auto"/>
        <w:jc w:val="both"/>
        <w:rPr>
          <w:rFonts w:ascii="Arial" w:eastAsia="Arial" w:hAnsi="Arial" w:cs="Arial"/>
          <w:b/>
          <w:sz w:val="24"/>
          <w:szCs w:val="24"/>
        </w:rPr>
      </w:pPr>
    </w:p>
    <w:p w14:paraId="00000002" w14:textId="4CE23D3D" w:rsidR="00E731C5" w:rsidRDefault="00000000">
      <w:pPr>
        <w:shd w:val="clear" w:color="auto" w:fill="FFFFFF"/>
        <w:rPr>
          <w:rFonts w:ascii="Arial" w:eastAsia="Arial" w:hAnsi="Arial" w:cs="Arial"/>
          <w:sz w:val="32"/>
          <w:szCs w:val="32"/>
        </w:rPr>
      </w:pPr>
      <w:r>
        <w:rPr>
          <w:rFonts w:ascii="Arial" w:eastAsia="Arial" w:hAnsi="Arial" w:cs="Arial"/>
          <w:b/>
          <w:sz w:val="36"/>
          <w:szCs w:val="36"/>
        </w:rPr>
        <w:t>Subject:</w:t>
      </w:r>
      <w:r>
        <w:rPr>
          <w:rFonts w:ascii="Arial" w:eastAsia="Arial" w:hAnsi="Arial" w:cs="Arial"/>
          <w:b/>
          <w:sz w:val="32"/>
          <w:szCs w:val="32"/>
        </w:rPr>
        <w:t xml:space="preserve"> </w:t>
      </w:r>
      <w:r>
        <w:rPr>
          <w:rFonts w:ascii="Arial" w:eastAsia="Arial" w:hAnsi="Arial" w:cs="Arial"/>
          <w:sz w:val="32"/>
          <w:szCs w:val="32"/>
        </w:rPr>
        <w:t xml:space="preserve"> </w:t>
      </w:r>
      <w:r w:rsidR="009B4C39">
        <w:rPr>
          <w:rFonts w:ascii="Arial" w:eastAsia="Arial" w:hAnsi="Arial" w:cs="Arial"/>
          <w:sz w:val="32"/>
          <w:szCs w:val="32"/>
        </w:rPr>
        <w:t>Independent Project</w:t>
      </w:r>
    </w:p>
    <w:p w14:paraId="00000003" w14:textId="77777777" w:rsidR="00E731C5" w:rsidRDefault="00E731C5">
      <w:pPr>
        <w:keepNext/>
        <w:keepLines/>
        <w:spacing w:after="80"/>
        <w:rPr>
          <w:rFonts w:ascii="Arial" w:eastAsia="Arial" w:hAnsi="Arial" w:cs="Arial"/>
          <w:b/>
          <w:sz w:val="40"/>
          <w:szCs w:val="40"/>
        </w:rPr>
      </w:pPr>
    </w:p>
    <w:p w14:paraId="00000004" w14:textId="6A45A276" w:rsidR="00E731C5" w:rsidRDefault="00000000">
      <w:pPr>
        <w:keepNext/>
        <w:keepLines/>
        <w:spacing w:after="80"/>
        <w:rPr>
          <w:rFonts w:ascii="Quattrocento Sans" w:eastAsia="Quattrocento Sans" w:hAnsi="Quattrocento Sans" w:cs="Quattrocento Sans"/>
          <w:b/>
          <w:sz w:val="32"/>
          <w:szCs w:val="32"/>
        </w:rPr>
      </w:pPr>
      <w:bookmarkStart w:id="0" w:name="_gjdgxs" w:colFirst="0" w:colLast="0"/>
      <w:bookmarkEnd w:id="0"/>
      <w:r>
        <w:rPr>
          <w:rFonts w:ascii="Play" w:eastAsia="Play" w:hAnsi="Play" w:cs="Play"/>
          <w:b/>
          <w:sz w:val="36"/>
          <w:szCs w:val="36"/>
        </w:rPr>
        <w:t>MODULE CODE:</w:t>
      </w:r>
      <w:r>
        <w:rPr>
          <w:rFonts w:ascii="Play" w:eastAsia="Play" w:hAnsi="Play" w:cs="Play"/>
          <w:sz w:val="36"/>
          <w:szCs w:val="36"/>
        </w:rPr>
        <w:t xml:space="preserve"> </w:t>
      </w:r>
      <w:r>
        <w:rPr>
          <w:rFonts w:ascii="Quattrocento Sans" w:eastAsia="Quattrocento Sans" w:hAnsi="Quattrocento Sans" w:cs="Quattrocento Sans"/>
          <w:b/>
          <w:sz w:val="32"/>
          <w:szCs w:val="32"/>
        </w:rPr>
        <w:t>BMHP60</w:t>
      </w:r>
      <w:r w:rsidR="009B4C39">
        <w:rPr>
          <w:rFonts w:ascii="Quattrocento Sans" w:eastAsia="Quattrocento Sans" w:hAnsi="Quattrocento Sans" w:cs="Quattrocento Sans"/>
          <w:b/>
          <w:sz w:val="32"/>
          <w:szCs w:val="32"/>
        </w:rPr>
        <w:t>20</w:t>
      </w:r>
    </w:p>
    <w:p w14:paraId="00000005" w14:textId="77777777" w:rsidR="00E731C5" w:rsidRDefault="00E731C5">
      <w:pPr>
        <w:keepNext/>
        <w:keepLines/>
        <w:spacing w:before="360" w:after="80" w:line="360" w:lineRule="auto"/>
        <w:jc w:val="both"/>
      </w:pPr>
    </w:p>
    <w:p w14:paraId="00000006" w14:textId="77777777" w:rsidR="00E731C5" w:rsidRDefault="00000000">
      <w:pPr>
        <w:keepNext/>
        <w:keepLines/>
        <w:spacing w:before="360" w:after="80" w:line="360" w:lineRule="auto"/>
        <w:jc w:val="both"/>
        <w:rPr>
          <w:rFonts w:ascii="Arial" w:eastAsia="Arial" w:hAnsi="Arial" w:cs="Arial"/>
          <w:sz w:val="24"/>
          <w:szCs w:val="24"/>
        </w:rPr>
      </w:pPr>
      <w:r>
        <w:rPr>
          <w:rFonts w:ascii="Arial" w:eastAsia="Arial" w:hAnsi="Arial" w:cs="Arial"/>
          <w:b/>
          <w:sz w:val="28"/>
          <w:szCs w:val="28"/>
        </w:rPr>
        <w:t>Project Title:</w:t>
      </w:r>
      <w:r>
        <w:rPr>
          <w:rFonts w:ascii="Arial" w:eastAsia="Arial" w:hAnsi="Arial" w:cs="Arial"/>
          <w:sz w:val="24"/>
          <w:szCs w:val="24"/>
        </w:rPr>
        <w:t xml:space="preserve"> </w:t>
      </w:r>
      <w:r>
        <w:rPr>
          <w:rFonts w:ascii="Arial" w:eastAsia="Arial" w:hAnsi="Arial" w:cs="Arial"/>
          <w:b/>
          <w:i/>
          <w:sz w:val="24"/>
          <w:szCs w:val="24"/>
        </w:rPr>
        <w:t>Understanding NHS Workforce Pressures: Staff Perceptions of Burnout, Morale, and Retention – A Secondary Research Study.</w:t>
      </w:r>
    </w:p>
    <w:p w14:paraId="00000007" w14:textId="77777777" w:rsidR="00E731C5" w:rsidRDefault="00E731C5">
      <w:pPr>
        <w:keepNext/>
        <w:keepLines/>
        <w:spacing w:before="360" w:after="80" w:line="360" w:lineRule="auto"/>
        <w:jc w:val="both"/>
        <w:rPr>
          <w:rFonts w:ascii="Arial" w:eastAsia="Arial" w:hAnsi="Arial" w:cs="Arial"/>
          <w:b/>
          <w:sz w:val="24"/>
          <w:szCs w:val="24"/>
        </w:rPr>
      </w:pPr>
    </w:p>
    <w:p w14:paraId="00000008" w14:textId="74AB74F6" w:rsidR="00E731C5" w:rsidRDefault="00000000">
      <w:pPr>
        <w:jc w:val="both"/>
        <w:rPr>
          <w:rFonts w:ascii="Play" w:eastAsia="Play" w:hAnsi="Play" w:cs="Play"/>
          <w:b/>
          <w:sz w:val="36"/>
          <w:szCs w:val="36"/>
        </w:rPr>
      </w:pPr>
      <w:r>
        <w:rPr>
          <w:rFonts w:ascii="Play" w:eastAsia="Play" w:hAnsi="Play" w:cs="Play"/>
          <w:b/>
          <w:sz w:val="36"/>
          <w:szCs w:val="36"/>
        </w:rPr>
        <w:t xml:space="preserve">Submitted </w:t>
      </w:r>
      <w:proofErr w:type="gramStart"/>
      <w:r w:rsidR="009B4C39">
        <w:rPr>
          <w:rFonts w:ascii="Play" w:eastAsia="Play" w:hAnsi="Play" w:cs="Play"/>
          <w:b/>
          <w:sz w:val="36"/>
          <w:szCs w:val="36"/>
        </w:rPr>
        <w:t>by :</w:t>
      </w:r>
      <w:proofErr w:type="gramEnd"/>
      <w:r>
        <w:rPr>
          <w:rFonts w:ascii="Play" w:eastAsia="Play" w:hAnsi="Play" w:cs="Play"/>
          <w:b/>
          <w:sz w:val="36"/>
          <w:szCs w:val="36"/>
        </w:rPr>
        <w:t xml:space="preserve">                                                     Submitted to</w:t>
      </w:r>
      <w:r w:rsidR="009B4C39">
        <w:rPr>
          <w:rFonts w:ascii="Play" w:eastAsia="Play" w:hAnsi="Play" w:cs="Play"/>
          <w:b/>
          <w:sz w:val="36"/>
          <w:szCs w:val="36"/>
        </w:rPr>
        <w:t>:</w:t>
      </w:r>
    </w:p>
    <w:p w14:paraId="00000009" w14:textId="30A62ADB" w:rsidR="00E731C5" w:rsidRDefault="00000000">
      <w:pPr>
        <w:jc w:val="both"/>
        <w:rPr>
          <w:rFonts w:ascii="Play" w:eastAsia="Play" w:hAnsi="Play" w:cs="Play"/>
          <w:b/>
          <w:sz w:val="36"/>
          <w:szCs w:val="36"/>
        </w:rPr>
      </w:pPr>
      <w:r>
        <w:rPr>
          <w:rFonts w:ascii="Play" w:eastAsia="Play" w:hAnsi="Play" w:cs="Play"/>
          <w:b/>
          <w:sz w:val="36"/>
          <w:szCs w:val="36"/>
        </w:rPr>
        <w:t xml:space="preserve">Fahmida Rahman   </w:t>
      </w:r>
      <w:r w:rsidR="009B4C39">
        <w:rPr>
          <w:rFonts w:ascii="Play" w:eastAsia="Play" w:hAnsi="Play" w:cs="Play"/>
          <w:b/>
          <w:sz w:val="36"/>
          <w:szCs w:val="36"/>
        </w:rPr>
        <w:tab/>
      </w:r>
      <w:r w:rsidR="009B4C39">
        <w:rPr>
          <w:rFonts w:ascii="Play" w:eastAsia="Play" w:hAnsi="Play" w:cs="Play"/>
          <w:b/>
          <w:sz w:val="36"/>
          <w:szCs w:val="36"/>
        </w:rPr>
        <w:tab/>
      </w:r>
      <w:r w:rsidR="009B4C39">
        <w:rPr>
          <w:rFonts w:ascii="Play" w:eastAsia="Play" w:hAnsi="Play" w:cs="Play"/>
          <w:b/>
          <w:sz w:val="36"/>
          <w:szCs w:val="36"/>
        </w:rPr>
        <w:tab/>
      </w:r>
      <w:r w:rsidR="009B4C39">
        <w:rPr>
          <w:rFonts w:ascii="Play" w:eastAsia="Play" w:hAnsi="Play" w:cs="Play"/>
          <w:b/>
          <w:sz w:val="36"/>
          <w:szCs w:val="36"/>
        </w:rPr>
        <w:tab/>
      </w:r>
      <w:r w:rsidR="009B4C39">
        <w:rPr>
          <w:rFonts w:ascii="Play" w:eastAsia="Play" w:hAnsi="Play" w:cs="Play"/>
          <w:b/>
          <w:sz w:val="36"/>
          <w:szCs w:val="36"/>
        </w:rPr>
        <w:tab/>
      </w:r>
      <w:r w:rsidR="009B4C39">
        <w:rPr>
          <w:rFonts w:ascii="Play" w:eastAsia="Play" w:hAnsi="Play" w:cs="Play"/>
          <w:b/>
          <w:sz w:val="36"/>
          <w:szCs w:val="36"/>
        </w:rPr>
        <w:tab/>
        <w:t xml:space="preserve"> Chloe Harris</w:t>
      </w:r>
      <w:r>
        <w:rPr>
          <w:rFonts w:ascii="Play" w:eastAsia="Play" w:hAnsi="Play" w:cs="Play"/>
          <w:b/>
          <w:sz w:val="36"/>
          <w:szCs w:val="36"/>
        </w:rPr>
        <w:t xml:space="preserve">                                                                     </w:t>
      </w:r>
    </w:p>
    <w:p w14:paraId="0000000A" w14:textId="77777777" w:rsidR="00E731C5" w:rsidRDefault="00000000">
      <w:pPr>
        <w:jc w:val="both"/>
        <w:rPr>
          <w:rFonts w:ascii="Play" w:eastAsia="Play" w:hAnsi="Play" w:cs="Play"/>
          <w:b/>
          <w:sz w:val="36"/>
          <w:szCs w:val="36"/>
        </w:rPr>
      </w:pPr>
      <w:r>
        <w:rPr>
          <w:rFonts w:ascii="Play" w:eastAsia="Play" w:hAnsi="Play" w:cs="Play"/>
          <w:b/>
          <w:sz w:val="36"/>
          <w:szCs w:val="36"/>
        </w:rPr>
        <w:t>Student ID: 2235619</w:t>
      </w:r>
    </w:p>
    <w:p w14:paraId="0000000B" w14:textId="77777777" w:rsidR="00E731C5" w:rsidRDefault="00E731C5">
      <w:pPr>
        <w:jc w:val="both"/>
        <w:rPr>
          <w:rFonts w:ascii="Play" w:eastAsia="Play" w:hAnsi="Play" w:cs="Play"/>
          <w:b/>
          <w:sz w:val="36"/>
          <w:szCs w:val="36"/>
        </w:rPr>
      </w:pPr>
    </w:p>
    <w:p w14:paraId="0000000C" w14:textId="77777777" w:rsidR="00E731C5" w:rsidRDefault="00E731C5">
      <w:pPr>
        <w:jc w:val="both"/>
        <w:rPr>
          <w:rFonts w:ascii="Play" w:eastAsia="Play" w:hAnsi="Play" w:cs="Play"/>
          <w:b/>
          <w:sz w:val="36"/>
          <w:szCs w:val="36"/>
        </w:rPr>
      </w:pPr>
    </w:p>
    <w:p w14:paraId="0000000D" w14:textId="77777777" w:rsidR="00E731C5" w:rsidRDefault="00E731C5">
      <w:pPr>
        <w:jc w:val="both"/>
        <w:rPr>
          <w:rFonts w:ascii="Play" w:eastAsia="Play" w:hAnsi="Play" w:cs="Play"/>
          <w:b/>
          <w:sz w:val="36"/>
          <w:szCs w:val="36"/>
        </w:rPr>
      </w:pPr>
    </w:p>
    <w:p w14:paraId="0000000E" w14:textId="77777777" w:rsidR="00E731C5" w:rsidRDefault="00E731C5">
      <w:pPr>
        <w:jc w:val="both"/>
        <w:rPr>
          <w:rFonts w:ascii="Play" w:eastAsia="Play" w:hAnsi="Play" w:cs="Play"/>
          <w:b/>
          <w:sz w:val="36"/>
          <w:szCs w:val="36"/>
        </w:rPr>
      </w:pPr>
    </w:p>
    <w:p w14:paraId="0000000F" w14:textId="77777777" w:rsidR="00E731C5" w:rsidRDefault="00E731C5">
      <w:pPr>
        <w:jc w:val="both"/>
        <w:rPr>
          <w:rFonts w:ascii="Play" w:eastAsia="Play" w:hAnsi="Play" w:cs="Play"/>
          <w:b/>
          <w:sz w:val="36"/>
          <w:szCs w:val="36"/>
        </w:rPr>
      </w:pPr>
    </w:p>
    <w:p w14:paraId="00000010" w14:textId="77777777" w:rsidR="00E731C5" w:rsidRDefault="00E731C5">
      <w:pPr>
        <w:jc w:val="both"/>
        <w:rPr>
          <w:rFonts w:ascii="Play" w:eastAsia="Play" w:hAnsi="Play" w:cs="Play"/>
          <w:b/>
          <w:sz w:val="36"/>
          <w:szCs w:val="36"/>
        </w:rPr>
      </w:pPr>
    </w:p>
    <w:p w14:paraId="00000011" w14:textId="77777777" w:rsidR="00E731C5" w:rsidRDefault="00E731C5">
      <w:pPr>
        <w:jc w:val="both"/>
        <w:rPr>
          <w:rFonts w:ascii="Play" w:eastAsia="Play" w:hAnsi="Play" w:cs="Play"/>
          <w:b/>
          <w:sz w:val="36"/>
          <w:szCs w:val="36"/>
        </w:rPr>
      </w:pPr>
    </w:p>
    <w:p w14:paraId="00000012" w14:textId="77777777" w:rsidR="00E731C5" w:rsidRDefault="00E731C5">
      <w:pPr>
        <w:jc w:val="both"/>
        <w:rPr>
          <w:rFonts w:ascii="Play" w:eastAsia="Play" w:hAnsi="Play" w:cs="Play"/>
          <w:b/>
          <w:sz w:val="36"/>
          <w:szCs w:val="36"/>
        </w:rPr>
      </w:pPr>
    </w:p>
    <w:p w14:paraId="00000013" w14:textId="77777777" w:rsidR="00E731C5" w:rsidRDefault="00E731C5">
      <w:pPr>
        <w:jc w:val="both"/>
        <w:rPr>
          <w:rFonts w:ascii="Play" w:eastAsia="Play" w:hAnsi="Play" w:cs="Play"/>
          <w:b/>
          <w:sz w:val="36"/>
          <w:szCs w:val="36"/>
        </w:rPr>
      </w:pPr>
    </w:p>
    <w:p w14:paraId="00000014" w14:textId="77777777" w:rsidR="00E731C5" w:rsidRDefault="00E731C5">
      <w:pPr>
        <w:jc w:val="both"/>
        <w:rPr>
          <w:rFonts w:ascii="Play" w:eastAsia="Play" w:hAnsi="Play" w:cs="Play"/>
          <w:b/>
          <w:sz w:val="36"/>
          <w:szCs w:val="36"/>
        </w:rPr>
      </w:pPr>
    </w:p>
    <w:p w14:paraId="00000015" w14:textId="77777777" w:rsidR="00E731C5" w:rsidRDefault="00000000">
      <w:pPr>
        <w:jc w:val="both"/>
        <w:rPr>
          <w:rFonts w:ascii="Play" w:eastAsia="Play" w:hAnsi="Play" w:cs="Play"/>
          <w:b/>
          <w:sz w:val="36"/>
          <w:szCs w:val="36"/>
        </w:rPr>
      </w:pPr>
      <w:r>
        <w:rPr>
          <w:rFonts w:ascii="Arial" w:eastAsia="Arial" w:hAnsi="Arial" w:cs="Arial"/>
          <w:b/>
          <w:sz w:val="24"/>
          <w:szCs w:val="24"/>
        </w:rPr>
        <w:lastRenderedPageBreak/>
        <w:t>Project Title:</w:t>
      </w:r>
      <w:r>
        <w:rPr>
          <w:rFonts w:ascii="Arial" w:eastAsia="Arial" w:hAnsi="Arial" w:cs="Arial"/>
          <w:sz w:val="24"/>
          <w:szCs w:val="24"/>
        </w:rPr>
        <w:t xml:space="preserve"> </w:t>
      </w:r>
      <w:r>
        <w:rPr>
          <w:rFonts w:ascii="Arial" w:eastAsia="Arial" w:hAnsi="Arial" w:cs="Arial"/>
          <w:b/>
          <w:i/>
          <w:sz w:val="24"/>
          <w:szCs w:val="24"/>
        </w:rPr>
        <w:t>Understanding NHS Workforce Pressures: Staff Perceptions of Burnout, Morale, and Retention – A Secondary Research Study.</w:t>
      </w:r>
    </w:p>
    <w:p w14:paraId="00000016" w14:textId="77777777" w:rsidR="00E731C5" w:rsidRDefault="00000000">
      <w:pPr>
        <w:keepNext/>
        <w:keepLines/>
        <w:spacing w:before="360" w:after="80" w:line="360" w:lineRule="auto"/>
        <w:jc w:val="both"/>
        <w:rPr>
          <w:rFonts w:ascii="Arial" w:eastAsia="Arial" w:hAnsi="Arial" w:cs="Arial"/>
          <w:sz w:val="40"/>
          <w:szCs w:val="40"/>
        </w:rPr>
      </w:pPr>
      <w:r>
        <w:rPr>
          <w:rFonts w:ascii="Arial" w:eastAsia="Arial" w:hAnsi="Arial" w:cs="Arial"/>
          <w:b/>
          <w:sz w:val="40"/>
          <w:szCs w:val="40"/>
        </w:rPr>
        <w:t>Chapter 1: Introduction</w:t>
      </w:r>
    </w:p>
    <w:p w14:paraId="00000017" w14:textId="77777777" w:rsidR="00E731C5" w:rsidRDefault="00000000">
      <w:pPr>
        <w:keepNext/>
        <w:keepLines/>
        <w:spacing w:before="360" w:after="80" w:line="360" w:lineRule="auto"/>
        <w:jc w:val="both"/>
        <w:rPr>
          <w:rFonts w:ascii="Arial" w:eastAsia="Arial" w:hAnsi="Arial" w:cs="Arial"/>
          <w:sz w:val="24"/>
          <w:szCs w:val="24"/>
        </w:rPr>
      </w:pPr>
      <w:r>
        <w:rPr>
          <w:rFonts w:ascii="Arial" w:eastAsia="Arial" w:hAnsi="Arial" w:cs="Arial"/>
          <w:b/>
          <w:sz w:val="24"/>
          <w:szCs w:val="24"/>
        </w:rPr>
        <w:t>1.1 Introduction:</w:t>
      </w:r>
    </w:p>
    <w:p w14:paraId="00000018"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workforce within the National Health Service (NHS) is experiencing increasing pressures due to chronic staff shortages, rising service demands and sustained financial constraints (NHS England, 2023). The COVID-19 pandemic further intensified these issues, leading to increased workloads, heightened emotional distress and declining morale among healthcare staff (The King’s Fund, 2023; NHS Staff Survey, 2023). As a result, many NHS employees report high levels of burnout, low morale, and intentions to leave their roles, threatening both staff retention and quality of patient care (NHS Employers, 2023).</w:t>
      </w:r>
    </w:p>
    <w:p w14:paraId="00000019"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This dissertation aims to conduct a secondary research study analysing existing evidence on NHS workforce pressures, with a specific focus on staff perceptions of burnout, morale, and retention. The study seeks to identify the main challenges and gaps in the current understanding of workforce wellbeing while providing recommendations for sustainable improvements.</w:t>
      </w:r>
    </w:p>
    <w:p w14:paraId="0000001A"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topic is highly relevant to the UK healthcare system, as a motivated and healthy workforce is crucial for maintaining high standards of care delivery. By synthesising academic studies, national surveys and policy reports, this dissertation contributes to the evidence base on staff wellbeing and retention. The structure of this dissertation is as follows: Chapter 1 introduces the research topic, defines key terminology, outlines the background, rationale, and aims; Chapter 2 provides a detailed background analysis, including historical, theoretical, and contextual perspectives; Chapter 3 outlines the research methodology; Chapter 4 presents findings; and Chapter 5 provides discussion, conclusions, and recommendations.</w:t>
      </w:r>
    </w:p>
    <w:p w14:paraId="0000001B" w14:textId="77777777" w:rsidR="00E731C5" w:rsidRDefault="00E731C5">
      <w:pPr>
        <w:spacing w:before="280" w:after="280" w:line="360" w:lineRule="auto"/>
        <w:jc w:val="both"/>
        <w:rPr>
          <w:rFonts w:ascii="Arial" w:eastAsia="Arial" w:hAnsi="Arial" w:cs="Arial"/>
          <w:sz w:val="24"/>
          <w:szCs w:val="24"/>
        </w:rPr>
      </w:pPr>
    </w:p>
    <w:p w14:paraId="0000001C" w14:textId="77777777" w:rsidR="00E731C5" w:rsidRDefault="00E731C5">
      <w:pPr>
        <w:spacing w:after="0" w:line="360" w:lineRule="auto"/>
        <w:jc w:val="both"/>
        <w:rPr>
          <w:rFonts w:ascii="Arial" w:eastAsia="Arial" w:hAnsi="Arial" w:cs="Arial"/>
          <w:sz w:val="24"/>
          <w:szCs w:val="24"/>
        </w:rPr>
      </w:pPr>
    </w:p>
    <w:p w14:paraId="0000001D" w14:textId="77777777" w:rsidR="00E731C5"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lastRenderedPageBreak/>
        <w:t>1.2 Definitions and Terminology:</w:t>
      </w:r>
    </w:p>
    <w:p w14:paraId="0000001E"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following definitions clarify key concepts used in this dissertation:</w:t>
      </w:r>
    </w:p>
    <w:p w14:paraId="0000001F" w14:textId="77777777" w:rsidR="00E731C5" w:rsidRDefault="00000000">
      <w:pPr>
        <w:numPr>
          <w:ilvl w:val="0"/>
          <w:numId w:val="1"/>
        </w:numPr>
        <w:spacing w:before="280" w:after="0" w:line="360" w:lineRule="auto"/>
        <w:jc w:val="both"/>
      </w:pPr>
      <w:r>
        <w:rPr>
          <w:rFonts w:ascii="Arial" w:eastAsia="Arial" w:hAnsi="Arial" w:cs="Arial"/>
          <w:b/>
          <w:sz w:val="24"/>
          <w:szCs w:val="24"/>
        </w:rPr>
        <w:t>Burnout</w:t>
      </w:r>
      <w:r>
        <w:rPr>
          <w:rFonts w:ascii="Arial" w:eastAsia="Arial" w:hAnsi="Arial" w:cs="Arial"/>
          <w:sz w:val="24"/>
          <w:szCs w:val="24"/>
        </w:rPr>
        <w:t xml:space="preserve"> – a psychological condition characterised by emotional exhaustion, depersonalisation, and a reduced sense of personal accomplishment, typically resulting from chronic workplace stress (Maslach and Leiter, 2016).</w:t>
      </w:r>
    </w:p>
    <w:p w14:paraId="00000020" w14:textId="77777777" w:rsidR="00E731C5" w:rsidRDefault="00000000">
      <w:pPr>
        <w:numPr>
          <w:ilvl w:val="0"/>
          <w:numId w:val="1"/>
        </w:numPr>
        <w:spacing w:after="0" w:line="360" w:lineRule="auto"/>
        <w:jc w:val="both"/>
      </w:pPr>
      <w:r>
        <w:rPr>
          <w:rFonts w:ascii="Arial" w:eastAsia="Arial" w:hAnsi="Arial" w:cs="Arial"/>
          <w:b/>
          <w:sz w:val="24"/>
          <w:szCs w:val="24"/>
        </w:rPr>
        <w:t>Morale</w:t>
      </w:r>
      <w:r>
        <w:rPr>
          <w:rFonts w:ascii="Arial" w:eastAsia="Arial" w:hAnsi="Arial" w:cs="Arial"/>
          <w:sz w:val="24"/>
          <w:szCs w:val="24"/>
        </w:rPr>
        <w:t xml:space="preserve"> – the overall sense of confidence, motivation and satisfaction employees feel in their work environment, influencing engagement and productivity (West et al., 2020).</w:t>
      </w:r>
    </w:p>
    <w:p w14:paraId="00000021" w14:textId="77777777" w:rsidR="00E731C5" w:rsidRDefault="00000000">
      <w:pPr>
        <w:numPr>
          <w:ilvl w:val="0"/>
          <w:numId w:val="1"/>
        </w:numPr>
        <w:spacing w:after="0" w:line="360" w:lineRule="auto"/>
        <w:jc w:val="both"/>
      </w:pPr>
      <w:r>
        <w:rPr>
          <w:rFonts w:ascii="Arial" w:eastAsia="Arial" w:hAnsi="Arial" w:cs="Arial"/>
          <w:b/>
          <w:sz w:val="24"/>
          <w:szCs w:val="24"/>
        </w:rPr>
        <w:t>Retention</w:t>
      </w:r>
      <w:r>
        <w:rPr>
          <w:rFonts w:ascii="Arial" w:eastAsia="Arial" w:hAnsi="Arial" w:cs="Arial"/>
          <w:sz w:val="24"/>
          <w:szCs w:val="24"/>
        </w:rPr>
        <w:t xml:space="preserve"> – the ability of an organisation to maintain its workforce over time, reducing turnover and loss of skilled professionals (NHS Digital, 2023).</w:t>
      </w:r>
    </w:p>
    <w:p w14:paraId="00000022" w14:textId="77777777" w:rsidR="00E731C5" w:rsidRDefault="00000000">
      <w:pPr>
        <w:numPr>
          <w:ilvl w:val="0"/>
          <w:numId w:val="1"/>
        </w:numPr>
        <w:spacing w:after="0" w:line="360" w:lineRule="auto"/>
        <w:jc w:val="both"/>
      </w:pPr>
      <w:r>
        <w:rPr>
          <w:rFonts w:ascii="Arial" w:eastAsia="Arial" w:hAnsi="Arial" w:cs="Arial"/>
          <w:b/>
          <w:sz w:val="24"/>
          <w:szCs w:val="24"/>
        </w:rPr>
        <w:t>Workforce Pressures</w:t>
      </w:r>
      <w:r>
        <w:rPr>
          <w:rFonts w:ascii="Arial" w:eastAsia="Arial" w:hAnsi="Arial" w:cs="Arial"/>
          <w:sz w:val="24"/>
          <w:szCs w:val="24"/>
        </w:rPr>
        <w:t xml:space="preserve"> – systemic and organisational factors such as staffing shortages, workload intensity, limited resources, and work-life imbalance that negatively affect staff wellbeing (NHS England, 2023).</w:t>
      </w:r>
    </w:p>
    <w:p w14:paraId="00000023" w14:textId="77777777" w:rsidR="00E731C5" w:rsidRDefault="00000000">
      <w:pPr>
        <w:numPr>
          <w:ilvl w:val="0"/>
          <w:numId w:val="1"/>
        </w:numPr>
        <w:spacing w:after="0" w:line="360" w:lineRule="auto"/>
        <w:jc w:val="both"/>
      </w:pPr>
      <w:r>
        <w:rPr>
          <w:rFonts w:ascii="Arial" w:eastAsia="Arial" w:hAnsi="Arial" w:cs="Arial"/>
          <w:b/>
          <w:sz w:val="24"/>
          <w:szCs w:val="24"/>
        </w:rPr>
        <w:t>National Health Service (NHS)</w:t>
      </w:r>
      <w:r>
        <w:rPr>
          <w:rFonts w:ascii="Arial" w:eastAsia="Arial" w:hAnsi="Arial" w:cs="Arial"/>
          <w:sz w:val="24"/>
          <w:szCs w:val="24"/>
        </w:rPr>
        <w:t xml:space="preserve"> – the publicly funded health system in the United Kingdom, responsible for providing comprehensive healthcare services free at the point of delivery.</w:t>
      </w:r>
    </w:p>
    <w:p w14:paraId="00000024" w14:textId="77777777" w:rsidR="00E731C5" w:rsidRDefault="00000000">
      <w:pPr>
        <w:numPr>
          <w:ilvl w:val="0"/>
          <w:numId w:val="1"/>
        </w:numPr>
        <w:spacing w:after="280" w:line="360" w:lineRule="auto"/>
        <w:jc w:val="both"/>
      </w:pPr>
      <w:r>
        <w:rPr>
          <w:rFonts w:ascii="Arial" w:eastAsia="Arial" w:hAnsi="Arial" w:cs="Arial"/>
          <w:b/>
          <w:sz w:val="24"/>
          <w:szCs w:val="24"/>
        </w:rPr>
        <w:t>Secondary Research</w:t>
      </w:r>
      <w:r>
        <w:rPr>
          <w:rFonts w:ascii="Arial" w:eastAsia="Arial" w:hAnsi="Arial" w:cs="Arial"/>
          <w:sz w:val="24"/>
          <w:szCs w:val="24"/>
        </w:rPr>
        <w:t xml:space="preserve"> – a research method involving the analysis of existing literature, surveys, and policy documents rather than primary data collection (Thomas and Harden, 2008).</w:t>
      </w:r>
    </w:p>
    <w:p w14:paraId="00000025" w14:textId="77777777" w:rsidR="00E731C5" w:rsidRDefault="00E731C5">
      <w:pPr>
        <w:spacing w:after="0" w:line="360" w:lineRule="auto"/>
        <w:jc w:val="both"/>
        <w:rPr>
          <w:rFonts w:ascii="Arial" w:eastAsia="Arial" w:hAnsi="Arial" w:cs="Arial"/>
          <w:sz w:val="24"/>
          <w:szCs w:val="24"/>
        </w:rPr>
      </w:pPr>
    </w:p>
    <w:p w14:paraId="00000026" w14:textId="77777777" w:rsidR="00E731C5"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1.3 Background and Current Context:</w:t>
      </w:r>
    </w:p>
    <w:p w14:paraId="00000027" w14:textId="77777777" w:rsidR="00E731C5"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1.3.1 Background:</w:t>
      </w:r>
    </w:p>
    <w:p w14:paraId="00000028"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Since its establishment in 1948, the NHS has faced recurring challenges in workforce planning, resource allocation, and staff wellbeing. Over the decades, increasing patient complexity, technological innovation, and financial austerity have compounded staffing pressures. By the early 2000s, research began to highlight the psychological burden experienced by healthcare professionals, particularly nurses, with burnout becoming recognised as a major occupational hazard (</w:t>
      </w:r>
      <w:proofErr w:type="spellStart"/>
      <w:r>
        <w:rPr>
          <w:rFonts w:ascii="Arial" w:eastAsia="Arial" w:hAnsi="Arial" w:cs="Arial"/>
          <w:sz w:val="24"/>
          <w:szCs w:val="24"/>
        </w:rPr>
        <w:t>Dall’Ora</w:t>
      </w:r>
      <w:proofErr w:type="spellEnd"/>
      <w:r>
        <w:rPr>
          <w:rFonts w:ascii="Arial" w:eastAsia="Arial" w:hAnsi="Arial" w:cs="Arial"/>
          <w:sz w:val="24"/>
          <w:szCs w:val="24"/>
        </w:rPr>
        <w:t>, 2020).</w:t>
      </w:r>
    </w:p>
    <w:p w14:paraId="00000029"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lastRenderedPageBreak/>
        <w:t>The COVID-19 pandemic further exposed weaknesses in the NHS workforce infrastructure. Frontline staff experienced long working hours, redeployment, and exposure to infection risks, resulting in high levels of emotional exhaustion and moral injury (Nagle et al., 2024). These pressures accelerated discussions about the sustainability of the NHS workforce and the urgent need to address staff wellbeing and retention through systemic reform (West and Coia, 2019).</w:t>
      </w:r>
    </w:p>
    <w:p w14:paraId="0000002A" w14:textId="77777777" w:rsidR="00E731C5"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1.3.2 Current Context:</w:t>
      </w:r>
    </w:p>
    <w:p w14:paraId="0000002B"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Currently, the NHS faces an unprecedented staffing crisis. The NHS Long Term Workforce Plan (NHS England, 2023) warns that without intervention, workforce shortages could exceed 260,000 to 360,000 staff by 2036/37. The 2023 NHS Staff Survey revealed that over half of staff reported feeling burnt out due to work demands, while only 31 per cent were satisfied with staffing levels. These findings align with independent analyses by The King’s Fund (2023), which identify declining morale and high attrition rates, particularly among nurses and allied health professionals. NHS Employers (2023) further report that emotional exhaustion and low morale are leading contributors to staff turnover and early retirement.</w:t>
      </w:r>
    </w:p>
    <w:p w14:paraId="0000002C"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This combination of burnout, low morale, and retention challenges demonstrates a cycle that threatens service delivery, staff wellbeing and organisational sustainability. Addressing these pressures is therefore essential to the long-term stability of the NHS and the quality of patient care outcomes.</w:t>
      </w:r>
    </w:p>
    <w:p w14:paraId="0000002D" w14:textId="77777777" w:rsidR="00E731C5" w:rsidRDefault="00E731C5">
      <w:pPr>
        <w:spacing w:after="0" w:line="360" w:lineRule="auto"/>
        <w:jc w:val="both"/>
        <w:rPr>
          <w:rFonts w:ascii="Arial" w:eastAsia="Arial" w:hAnsi="Arial" w:cs="Arial"/>
          <w:sz w:val="24"/>
          <w:szCs w:val="24"/>
        </w:rPr>
      </w:pPr>
    </w:p>
    <w:p w14:paraId="0000002E" w14:textId="77777777" w:rsidR="00E731C5"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1.4 Rationale for Research:</w:t>
      </w:r>
    </w:p>
    <w:p w14:paraId="0000002F"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rationale for this dissertation lies in the growing recognition that NHS workforce wellbeing directly impacts healthcare quality and patient safety. While various studies and government reports have examined aspects of workforce pressure, the evidence remains fragmented, with insufficient integration across themes of burnout, morale, and retention (The King’s Fund, 2022).</w:t>
      </w:r>
    </w:p>
    <w:p w14:paraId="00000030"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 xml:space="preserve">A review of recent literature reveals several gaps. First, there is limited synthesis of staff perceptions across diverse NHS roles, despite differences in workload, support </w:t>
      </w:r>
      <w:r>
        <w:rPr>
          <w:rFonts w:ascii="Arial" w:eastAsia="Arial" w:hAnsi="Arial" w:cs="Arial"/>
          <w:sz w:val="24"/>
          <w:szCs w:val="24"/>
        </w:rPr>
        <w:lastRenderedPageBreak/>
        <w:t>structures and exposure to stressors (Nagle et al., 2024). Second, although policy initiatives such as the NHS People Plan aim to improve staff wellbeing, evaluation of their effectiveness is inconsistent (NHS Employers, 2023). Third, existing research often focuses on clinical burnout but gives less attention to organisational culture and leadership factors influencing morale and retention (West et al., 2020).</w:t>
      </w:r>
    </w:p>
    <w:p w14:paraId="00000031"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This dissertation contributes by consolidating secondary data from multiple credible sources to produce a holistic analysis of staff perceptions. The outcomes will be relevant for policymakers, NHS leaders, and academics seeking to design interventions that promote workforce wellbeing and sustainability.</w:t>
      </w:r>
    </w:p>
    <w:p w14:paraId="00000032" w14:textId="77777777" w:rsidR="00E731C5" w:rsidRDefault="00E731C5">
      <w:pPr>
        <w:spacing w:after="0" w:line="360" w:lineRule="auto"/>
        <w:jc w:val="both"/>
        <w:rPr>
          <w:rFonts w:ascii="Arial" w:eastAsia="Arial" w:hAnsi="Arial" w:cs="Arial"/>
          <w:sz w:val="24"/>
          <w:szCs w:val="24"/>
        </w:rPr>
      </w:pPr>
    </w:p>
    <w:p w14:paraId="00000033" w14:textId="77777777" w:rsidR="00E731C5"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1.5 Aim and Objectives:</w:t>
      </w:r>
    </w:p>
    <w:p w14:paraId="00000034" w14:textId="77777777" w:rsidR="00E731C5"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1.5.1 Research Aim:</w:t>
      </w:r>
    </w:p>
    <w:p w14:paraId="00000035"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To critically analyse secondary evidence on NHS workforce pressures, focusing on staff perceptions of burnout, morale, and retention, and to identify factors affecting workforce wellbeing and sustainability.</w:t>
      </w:r>
    </w:p>
    <w:p w14:paraId="00000036" w14:textId="77777777" w:rsidR="00E731C5"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1.5.2 Research Objectives:</w:t>
      </w:r>
    </w:p>
    <w:p w14:paraId="00000037" w14:textId="77777777" w:rsidR="00E731C5" w:rsidRDefault="00000000">
      <w:pPr>
        <w:numPr>
          <w:ilvl w:val="0"/>
          <w:numId w:val="2"/>
        </w:numPr>
        <w:spacing w:before="280" w:after="0" w:line="360" w:lineRule="auto"/>
        <w:jc w:val="both"/>
      </w:pPr>
      <w:r>
        <w:rPr>
          <w:rFonts w:ascii="Arial" w:eastAsia="Arial" w:hAnsi="Arial" w:cs="Arial"/>
          <w:sz w:val="24"/>
          <w:szCs w:val="24"/>
        </w:rPr>
        <w:t>To define and examine the nature and causes of NHS workforce pressures as identified in secondary research.</w:t>
      </w:r>
    </w:p>
    <w:p w14:paraId="00000038" w14:textId="77777777" w:rsidR="00E731C5" w:rsidRDefault="00000000">
      <w:pPr>
        <w:numPr>
          <w:ilvl w:val="0"/>
          <w:numId w:val="2"/>
        </w:numPr>
        <w:spacing w:after="0" w:line="360" w:lineRule="auto"/>
        <w:jc w:val="both"/>
      </w:pPr>
      <w:r>
        <w:rPr>
          <w:rFonts w:ascii="Arial" w:eastAsia="Arial" w:hAnsi="Arial" w:cs="Arial"/>
          <w:sz w:val="24"/>
          <w:szCs w:val="24"/>
        </w:rPr>
        <w:t>To analyse how staff perceptions of burnout and its impacts are reported in surveys, reports, and academic studies.</w:t>
      </w:r>
    </w:p>
    <w:p w14:paraId="00000039" w14:textId="77777777" w:rsidR="00E731C5" w:rsidRDefault="00000000">
      <w:pPr>
        <w:numPr>
          <w:ilvl w:val="0"/>
          <w:numId w:val="2"/>
        </w:numPr>
        <w:spacing w:after="0" w:line="360" w:lineRule="auto"/>
        <w:jc w:val="both"/>
      </w:pPr>
      <w:r>
        <w:rPr>
          <w:rFonts w:ascii="Arial" w:eastAsia="Arial" w:hAnsi="Arial" w:cs="Arial"/>
          <w:sz w:val="24"/>
          <w:szCs w:val="24"/>
        </w:rPr>
        <w:t>To evaluate evidence on morale, organisational culture, and their relationship with staff retention and performance.</w:t>
      </w:r>
    </w:p>
    <w:p w14:paraId="0000003A" w14:textId="77777777" w:rsidR="00E731C5" w:rsidRDefault="00000000">
      <w:pPr>
        <w:numPr>
          <w:ilvl w:val="0"/>
          <w:numId w:val="2"/>
        </w:numPr>
        <w:spacing w:after="280" w:line="360" w:lineRule="auto"/>
        <w:jc w:val="both"/>
      </w:pPr>
      <w:r>
        <w:rPr>
          <w:rFonts w:ascii="Arial" w:eastAsia="Arial" w:hAnsi="Arial" w:cs="Arial"/>
          <w:sz w:val="24"/>
          <w:szCs w:val="24"/>
        </w:rPr>
        <w:t>To provide recommendations for improving staff wellbeing, morale, and retention strategies within the NHS, based on identified research gaps.</w:t>
      </w:r>
    </w:p>
    <w:p w14:paraId="0000003B" w14:textId="77777777" w:rsidR="00E731C5" w:rsidRDefault="00E731C5">
      <w:pPr>
        <w:spacing w:before="280" w:after="280" w:line="360" w:lineRule="auto"/>
        <w:jc w:val="both"/>
        <w:rPr>
          <w:rFonts w:ascii="Arial" w:eastAsia="Arial" w:hAnsi="Arial" w:cs="Arial"/>
          <w:sz w:val="24"/>
          <w:szCs w:val="24"/>
        </w:rPr>
      </w:pPr>
    </w:p>
    <w:p w14:paraId="0000003C" w14:textId="77777777" w:rsidR="00E731C5" w:rsidRDefault="00E731C5">
      <w:pPr>
        <w:spacing w:before="280" w:after="280" w:line="360" w:lineRule="auto"/>
        <w:jc w:val="both"/>
        <w:rPr>
          <w:rFonts w:ascii="Arial" w:eastAsia="Arial" w:hAnsi="Arial" w:cs="Arial"/>
          <w:sz w:val="24"/>
          <w:szCs w:val="24"/>
        </w:rPr>
      </w:pPr>
    </w:p>
    <w:p w14:paraId="0000003D" w14:textId="77777777" w:rsidR="00E731C5" w:rsidRDefault="00E731C5">
      <w:pPr>
        <w:spacing w:after="0" w:line="360" w:lineRule="auto"/>
        <w:jc w:val="both"/>
        <w:rPr>
          <w:rFonts w:ascii="Arial" w:eastAsia="Arial" w:hAnsi="Arial" w:cs="Arial"/>
          <w:sz w:val="24"/>
          <w:szCs w:val="24"/>
        </w:rPr>
      </w:pPr>
    </w:p>
    <w:p w14:paraId="0000003E" w14:textId="77777777" w:rsidR="00E731C5"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lastRenderedPageBreak/>
        <w:t>1.6 Conclusion</w:t>
      </w:r>
    </w:p>
    <w:p w14:paraId="0000003F"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Chapter 1 has introduced the context and significance of the study, explained key terminology, outlined the historical and current workforce situation, justified the research rationale, and stated the research aim and objectives. The NHS workforce crisis, characterised by high burnout and poor morale, underscores the importance of this study. The next chapter will provide a detailed analysis of the historical, theoretical, and contextual foundations of workforce pressures, offering insight into how these have evolved globally and within the UK.</w:t>
      </w:r>
    </w:p>
    <w:p w14:paraId="00000040" w14:textId="77777777" w:rsidR="00E731C5" w:rsidRDefault="00E731C5">
      <w:pPr>
        <w:spacing w:before="280" w:after="280" w:line="360" w:lineRule="auto"/>
        <w:jc w:val="both"/>
        <w:rPr>
          <w:rFonts w:ascii="Arial" w:eastAsia="Arial" w:hAnsi="Arial" w:cs="Arial"/>
          <w:sz w:val="24"/>
          <w:szCs w:val="24"/>
        </w:rPr>
      </w:pPr>
    </w:p>
    <w:p w14:paraId="00000041" w14:textId="77777777" w:rsidR="00E731C5" w:rsidRDefault="00E731C5">
      <w:pPr>
        <w:spacing w:before="280" w:after="280" w:line="360" w:lineRule="auto"/>
        <w:jc w:val="both"/>
        <w:rPr>
          <w:rFonts w:ascii="Arial" w:eastAsia="Arial" w:hAnsi="Arial" w:cs="Arial"/>
          <w:sz w:val="24"/>
          <w:szCs w:val="24"/>
        </w:rPr>
      </w:pPr>
    </w:p>
    <w:p w14:paraId="00000042" w14:textId="77777777" w:rsidR="00E731C5" w:rsidRDefault="00E731C5">
      <w:pPr>
        <w:spacing w:before="280" w:after="280" w:line="360" w:lineRule="auto"/>
        <w:jc w:val="both"/>
        <w:rPr>
          <w:rFonts w:ascii="Arial" w:eastAsia="Arial" w:hAnsi="Arial" w:cs="Arial"/>
          <w:sz w:val="24"/>
          <w:szCs w:val="24"/>
        </w:rPr>
      </w:pPr>
    </w:p>
    <w:p w14:paraId="00000043" w14:textId="77777777" w:rsidR="00E731C5" w:rsidRDefault="00E731C5">
      <w:pPr>
        <w:spacing w:before="280" w:after="280" w:line="360" w:lineRule="auto"/>
        <w:jc w:val="both"/>
        <w:rPr>
          <w:rFonts w:ascii="Arial" w:eastAsia="Arial" w:hAnsi="Arial" w:cs="Arial"/>
          <w:sz w:val="24"/>
          <w:szCs w:val="24"/>
        </w:rPr>
      </w:pPr>
    </w:p>
    <w:p w14:paraId="00000044" w14:textId="77777777" w:rsidR="00E731C5" w:rsidRDefault="00E731C5">
      <w:pPr>
        <w:spacing w:before="280" w:after="280" w:line="360" w:lineRule="auto"/>
        <w:jc w:val="both"/>
        <w:rPr>
          <w:rFonts w:ascii="Arial" w:eastAsia="Arial" w:hAnsi="Arial" w:cs="Arial"/>
          <w:sz w:val="24"/>
          <w:szCs w:val="24"/>
        </w:rPr>
      </w:pPr>
    </w:p>
    <w:p w14:paraId="00000045" w14:textId="77777777" w:rsidR="00E731C5" w:rsidRDefault="00E731C5">
      <w:pPr>
        <w:spacing w:before="280" w:after="280" w:line="360" w:lineRule="auto"/>
        <w:jc w:val="both"/>
        <w:rPr>
          <w:rFonts w:ascii="Arial" w:eastAsia="Arial" w:hAnsi="Arial" w:cs="Arial"/>
          <w:sz w:val="24"/>
          <w:szCs w:val="24"/>
        </w:rPr>
      </w:pPr>
    </w:p>
    <w:p w14:paraId="00000046" w14:textId="77777777" w:rsidR="00E731C5" w:rsidRDefault="00E731C5">
      <w:pPr>
        <w:spacing w:before="280" w:after="280" w:line="360" w:lineRule="auto"/>
        <w:jc w:val="both"/>
        <w:rPr>
          <w:rFonts w:ascii="Arial" w:eastAsia="Arial" w:hAnsi="Arial" w:cs="Arial"/>
          <w:sz w:val="24"/>
          <w:szCs w:val="24"/>
        </w:rPr>
      </w:pPr>
    </w:p>
    <w:p w14:paraId="00000047" w14:textId="77777777" w:rsidR="00E731C5" w:rsidRDefault="00E731C5">
      <w:pPr>
        <w:spacing w:before="280" w:after="280" w:line="360" w:lineRule="auto"/>
        <w:jc w:val="both"/>
        <w:rPr>
          <w:rFonts w:ascii="Arial" w:eastAsia="Arial" w:hAnsi="Arial" w:cs="Arial"/>
          <w:sz w:val="24"/>
          <w:szCs w:val="24"/>
        </w:rPr>
      </w:pPr>
    </w:p>
    <w:p w14:paraId="00000048" w14:textId="77777777" w:rsidR="00E731C5" w:rsidRDefault="00E731C5">
      <w:pPr>
        <w:spacing w:before="280" w:after="280" w:line="360" w:lineRule="auto"/>
        <w:jc w:val="both"/>
        <w:rPr>
          <w:rFonts w:ascii="Arial" w:eastAsia="Arial" w:hAnsi="Arial" w:cs="Arial"/>
          <w:sz w:val="24"/>
          <w:szCs w:val="24"/>
        </w:rPr>
      </w:pPr>
    </w:p>
    <w:p w14:paraId="00000049" w14:textId="77777777" w:rsidR="00E731C5" w:rsidRDefault="00E731C5">
      <w:pPr>
        <w:spacing w:before="280" w:after="280" w:line="360" w:lineRule="auto"/>
        <w:jc w:val="both"/>
        <w:rPr>
          <w:rFonts w:ascii="Arial" w:eastAsia="Arial" w:hAnsi="Arial" w:cs="Arial"/>
          <w:sz w:val="24"/>
          <w:szCs w:val="24"/>
        </w:rPr>
      </w:pPr>
    </w:p>
    <w:p w14:paraId="0000004A" w14:textId="77777777" w:rsidR="00E731C5" w:rsidRDefault="00E731C5">
      <w:pPr>
        <w:spacing w:before="280" w:after="280" w:line="360" w:lineRule="auto"/>
        <w:jc w:val="both"/>
        <w:rPr>
          <w:rFonts w:ascii="Arial" w:eastAsia="Arial" w:hAnsi="Arial" w:cs="Arial"/>
          <w:sz w:val="24"/>
          <w:szCs w:val="24"/>
        </w:rPr>
      </w:pPr>
    </w:p>
    <w:p w14:paraId="0000004B" w14:textId="77777777" w:rsidR="00E731C5" w:rsidRDefault="00E731C5">
      <w:pPr>
        <w:spacing w:before="280" w:after="280" w:line="360" w:lineRule="auto"/>
        <w:jc w:val="both"/>
        <w:rPr>
          <w:rFonts w:ascii="Arial" w:eastAsia="Arial" w:hAnsi="Arial" w:cs="Arial"/>
          <w:sz w:val="24"/>
          <w:szCs w:val="24"/>
        </w:rPr>
      </w:pPr>
    </w:p>
    <w:p w14:paraId="0000004C" w14:textId="77777777" w:rsidR="00E731C5" w:rsidRDefault="00E731C5">
      <w:pPr>
        <w:spacing w:before="280" w:after="280" w:line="360" w:lineRule="auto"/>
        <w:jc w:val="both"/>
        <w:rPr>
          <w:rFonts w:ascii="Arial" w:eastAsia="Arial" w:hAnsi="Arial" w:cs="Arial"/>
          <w:sz w:val="24"/>
          <w:szCs w:val="24"/>
        </w:rPr>
      </w:pPr>
    </w:p>
    <w:p w14:paraId="0000004D" w14:textId="77777777" w:rsidR="00E731C5" w:rsidRDefault="00E731C5">
      <w:pPr>
        <w:spacing w:before="280" w:after="280" w:line="360" w:lineRule="auto"/>
        <w:jc w:val="both"/>
        <w:rPr>
          <w:rFonts w:ascii="Arial" w:eastAsia="Arial" w:hAnsi="Arial" w:cs="Arial"/>
          <w:sz w:val="24"/>
          <w:szCs w:val="24"/>
        </w:rPr>
      </w:pPr>
    </w:p>
    <w:p w14:paraId="0000004E" w14:textId="77777777" w:rsidR="00E731C5" w:rsidRDefault="00E731C5">
      <w:pPr>
        <w:spacing w:after="0" w:line="360" w:lineRule="auto"/>
        <w:jc w:val="both"/>
        <w:rPr>
          <w:rFonts w:ascii="Arial" w:eastAsia="Arial" w:hAnsi="Arial" w:cs="Arial"/>
          <w:sz w:val="24"/>
          <w:szCs w:val="24"/>
        </w:rPr>
      </w:pPr>
    </w:p>
    <w:p w14:paraId="0000004F" w14:textId="77777777" w:rsidR="00E731C5" w:rsidRDefault="00000000">
      <w:pPr>
        <w:spacing w:before="280" w:after="280" w:line="240" w:lineRule="auto"/>
        <w:rPr>
          <w:rFonts w:ascii="Times New Roman" w:eastAsia="Times New Roman" w:hAnsi="Times New Roman" w:cs="Times New Roman"/>
          <w:b/>
          <w:sz w:val="36"/>
          <w:szCs w:val="36"/>
        </w:rPr>
      </w:pPr>
      <w:r>
        <w:rPr>
          <w:rFonts w:ascii="Times New Roman" w:eastAsia="Times New Roman" w:hAnsi="Times New Roman" w:cs="Times New Roman"/>
          <w:b/>
          <w:sz w:val="36"/>
          <w:szCs w:val="36"/>
        </w:rPr>
        <w:lastRenderedPageBreak/>
        <w:t>Chapter 2 – Background Information and Analysis</w:t>
      </w:r>
    </w:p>
    <w:p w14:paraId="00000050" w14:textId="77777777" w:rsidR="00E731C5" w:rsidRDefault="00000000">
      <w:pPr>
        <w:spacing w:before="280" w:after="280" w:line="240" w:lineRule="auto"/>
        <w:jc w:val="both"/>
        <w:rPr>
          <w:rFonts w:ascii="Arial" w:eastAsia="Arial" w:hAnsi="Arial" w:cs="Arial"/>
          <w:b/>
          <w:sz w:val="24"/>
          <w:szCs w:val="24"/>
        </w:rPr>
      </w:pPr>
      <w:r>
        <w:rPr>
          <w:rFonts w:ascii="Arial" w:eastAsia="Arial" w:hAnsi="Arial" w:cs="Arial"/>
          <w:b/>
          <w:sz w:val="24"/>
          <w:szCs w:val="24"/>
        </w:rPr>
        <w:t>2.1 Introduction:</w:t>
      </w:r>
    </w:p>
    <w:p w14:paraId="00000051"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purpose of this chapter is to establish the background and contextual foundation for exploring NHS workforce pressures, focusing specifically on staff perceptions of burnout, morale, and retention. A clear understanding of how these concepts have evolved historically, theoretically, and contextually is essential to appreciating their impact on the NHS workforce. This chapter presents a review of the historical development of workforce issues in the NHS, the theoretical frameworks underpinning our understanding of burnout and morale, and the wider international and national context influencing staff wellbeing.</w:t>
      </w:r>
    </w:p>
    <w:p w14:paraId="00000052"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By providing a thorough background analysis, this chapter sets the stage for the methodological and analytical components of the research in subsequent chapters. While the focus remains on secondary research, the insights gained here will critically inform the later analysis of staff survey data, policy reports, and academic literature. Themes emerging from this context will be explored more deeply in Chapter 4, where data findings are analysed and interpreted.</w:t>
      </w:r>
    </w:p>
    <w:p w14:paraId="00000053" w14:textId="77777777" w:rsidR="00E731C5" w:rsidRDefault="00E731C5">
      <w:pPr>
        <w:spacing w:after="0" w:line="240" w:lineRule="auto"/>
        <w:jc w:val="both"/>
        <w:rPr>
          <w:rFonts w:ascii="Arial" w:eastAsia="Arial" w:hAnsi="Arial" w:cs="Arial"/>
          <w:sz w:val="24"/>
          <w:szCs w:val="24"/>
        </w:rPr>
      </w:pPr>
    </w:p>
    <w:p w14:paraId="00000054" w14:textId="77777777" w:rsidR="00E731C5" w:rsidRDefault="00000000">
      <w:pPr>
        <w:spacing w:before="280" w:after="280" w:line="240" w:lineRule="auto"/>
        <w:rPr>
          <w:rFonts w:ascii="Times New Roman" w:eastAsia="Times New Roman" w:hAnsi="Times New Roman" w:cs="Times New Roman"/>
          <w:b/>
          <w:sz w:val="27"/>
          <w:szCs w:val="27"/>
        </w:rPr>
      </w:pPr>
      <w:r>
        <w:rPr>
          <w:rFonts w:ascii="Times New Roman" w:eastAsia="Times New Roman" w:hAnsi="Times New Roman" w:cs="Times New Roman"/>
          <w:b/>
          <w:sz w:val="27"/>
          <w:szCs w:val="27"/>
        </w:rPr>
        <w:t>2.2 Historical Background:</w:t>
      </w:r>
    </w:p>
    <w:p w14:paraId="00000055" w14:textId="77777777" w:rsidR="00E731C5"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Since its creation in 1948, the NHS has experienced persistent workforce challenges in recruitment, retention, and planning. However, in the last six years, these issues have intensified due to rising patient demand, an ageing population, and continued underinvestment in staffing (NHS England, 2023; NHS Digital, 2024). The growing complexity of healthcare needs—particularly in mental health, emergency, and long-term care—has placed a heavy burden on frontline workers.</w:t>
      </w:r>
    </w:p>
    <w:p w14:paraId="00000056" w14:textId="77777777" w:rsidR="00E731C5"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In response to these pressures, NHS leaders and researchers have increasingly focused on the link between workforce wellbeing and care quality. Performance-driven policies, designed to increase efficiency, have unintentionally increased administrative workload, decreased autonomy, and contributed to low morale—especially among nurses, junior doctors, and allied health professionals (NHS Employers, 2023; </w:t>
      </w:r>
      <w:proofErr w:type="spellStart"/>
      <w:r>
        <w:rPr>
          <w:rFonts w:ascii="Arial" w:eastAsia="Arial" w:hAnsi="Arial" w:cs="Arial"/>
          <w:color w:val="000000"/>
          <w:sz w:val="24"/>
          <w:szCs w:val="24"/>
        </w:rPr>
        <w:lastRenderedPageBreak/>
        <w:t>RCPsych</w:t>
      </w:r>
      <w:proofErr w:type="spellEnd"/>
      <w:r>
        <w:rPr>
          <w:rFonts w:ascii="Arial" w:eastAsia="Arial" w:hAnsi="Arial" w:cs="Arial"/>
          <w:color w:val="000000"/>
          <w:sz w:val="24"/>
          <w:szCs w:val="24"/>
        </w:rPr>
        <w:t>, 2024). Staff in these roles are frequently exposed to emotional labour and high expectations with limited organisational support.</w:t>
      </w:r>
    </w:p>
    <w:p w14:paraId="00000057" w14:textId="77777777" w:rsidR="00E731C5"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Recent surveys confirm the deteriorating state of staff wellbeing. The NHS Staff Survey 2024 reported that nearly half of NHS workers experienced work-related stress, while burnout was particularly high in mental health, emergency care, and community services (NHS Staff Surveys, 2024). Myles Wellbeing (2024) also highlighted that burnout is disproportionately affecting younger and early-career staff, contributing to higher turnover and workforce instability. Meredith (2025) noted that a lack of emotional and professional support has left many considering career changes or early retirement.</w:t>
      </w:r>
    </w:p>
    <w:p w14:paraId="00000058" w14:textId="77777777" w:rsidR="00E731C5"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Although the Francis Report (2013) falls outside the six-year range, its findings are still relevant to contemporary workforce issues. The report exposed how poor staffing levels, inadequate leadership, and organisational neglect led to unsafe care and staff distress. Recent national reviews reaffirm that compassionate leadership, psychological safety, and inclusive workplace cultures are essential for quality care and sustainable staffing (NHS England, 2023; </w:t>
      </w:r>
      <w:proofErr w:type="spellStart"/>
      <w:r>
        <w:rPr>
          <w:rFonts w:ascii="Arial" w:eastAsia="Arial" w:hAnsi="Arial" w:cs="Arial"/>
          <w:color w:val="000000"/>
          <w:sz w:val="24"/>
          <w:szCs w:val="24"/>
        </w:rPr>
        <w:t>RCPsych</w:t>
      </w:r>
      <w:proofErr w:type="spellEnd"/>
      <w:r>
        <w:rPr>
          <w:rFonts w:ascii="Arial" w:eastAsia="Arial" w:hAnsi="Arial" w:cs="Arial"/>
          <w:color w:val="000000"/>
          <w:sz w:val="24"/>
          <w:szCs w:val="24"/>
        </w:rPr>
        <w:t>, 2024).</w:t>
      </w:r>
    </w:p>
    <w:p w14:paraId="00000059" w14:textId="77777777" w:rsidR="00E731C5"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The COVID-19 pandemic (2020–2022) significantly deepened these issues. NHS staff faced unprecedented working conditions—including extended hours, redeployment, moral injury, and infection risk—which led to a substantial rise in burnout and psychological strain (Nagle et al., 2024). According to UNISON (2024), almost one-third of NHS staff took mental health-related leave during the previous year, highlighting the prolonged emotional toll.</w:t>
      </w:r>
    </w:p>
    <w:p w14:paraId="0000005A" w14:textId="77777777" w:rsidR="00E731C5"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In response, NHS England introduced the </w:t>
      </w:r>
      <w:r>
        <w:rPr>
          <w:rFonts w:ascii="Arial" w:eastAsia="Arial" w:hAnsi="Arial" w:cs="Arial"/>
          <w:i/>
          <w:color w:val="000000"/>
          <w:sz w:val="24"/>
          <w:szCs w:val="24"/>
        </w:rPr>
        <w:t>People Plan</w:t>
      </w:r>
      <w:r>
        <w:rPr>
          <w:rFonts w:ascii="Arial" w:eastAsia="Arial" w:hAnsi="Arial" w:cs="Arial"/>
          <w:color w:val="000000"/>
          <w:sz w:val="24"/>
          <w:szCs w:val="24"/>
        </w:rPr>
        <w:t xml:space="preserve"> (2020), which emphasised immediate staff support through wellbeing resources and inclusive leadership. Its successor, the </w:t>
      </w:r>
      <w:r>
        <w:rPr>
          <w:rFonts w:ascii="Arial" w:eastAsia="Arial" w:hAnsi="Arial" w:cs="Arial"/>
          <w:i/>
          <w:color w:val="000000"/>
          <w:sz w:val="24"/>
          <w:szCs w:val="24"/>
        </w:rPr>
        <w:t>NHS Long Term Workforce Plan</w:t>
      </w:r>
      <w:r>
        <w:rPr>
          <w:rFonts w:ascii="Arial" w:eastAsia="Arial" w:hAnsi="Arial" w:cs="Arial"/>
          <w:color w:val="000000"/>
          <w:sz w:val="24"/>
          <w:szCs w:val="24"/>
        </w:rPr>
        <w:t xml:space="preserve"> (2023), focuses on sustainable workforce development. The plan prioritises recruitment, retention, flexible working, and creating positive work environments (NHS Employers, 2024; Meredith, 2025).</w:t>
      </w:r>
    </w:p>
    <w:p w14:paraId="0000005B" w14:textId="47737F64" w:rsidR="00E731C5"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In conclusion, NHS workforce pressures are not recent </w:t>
      </w:r>
      <w:r w:rsidR="00FE19A4">
        <w:rPr>
          <w:rFonts w:ascii="Arial" w:eastAsia="Arial" w:hAnsi="Arial" w:cs="Arial"/>
          <w:color w:val="000000"/>
          <w:sz w:val="24"/>
          <w:szCs w:val="24"/>
        </w:rPr>
        <w:t>anomalies,</w:t>
      </w:r>
      <w:r>
        <w:rPr>
          <w:rFonts w:ascii="Arial" w:eastAsia="Arial" w:hAnsi="Arial" w:cs="Arial"/>
          <w:color w:val="000000"/>
          <w:sz w:val="24"/>
          <w:szCs w:val="24"/>
        </w:rPr>
        <w:t xml:space="preserve"> but long-standing and systemic challenges exacerbated by crises like COVID-19. The past six years have brought renewed urgency and attention to the importance of valuing, supporting, </w:t>
      </w:r>
      <w:r>
        <w:rPr>
          <w:rFonts w:ascii="Arial" w:eastAsia="Arial" w:hAnsi="Arial" w:cs="Arial"/>
          <w:color w:val="000000"/>
          <w:sz w:val="24"/>
          <w:szCs w:val="24"/>
        </w:rPr>
        <w:lastRenderedPageBreak/>
        <w:t xml:space="preserve">and sustaining the workforce through structural reform and cultural change (NHS England, 2023; </w:t>
      </w:r>
      <w:proofErr w:type="spellStart"/>
      <w:r>
        <w:rPr>
          <w:rFonts w:ascii="Arial" w:eastAsia="Arial" w:hAnsi="Arial" w:cs="Arial"/>
          <w:color w:val="000000"/>
          <w:sz w:val="24"/>
          <w:szCs w:val="24"/>
        </w:rPr>
        <w:t>RCPsych</w:t>
      </w:r>
      <w:proofErr w:type="spellEnd"/>
      <w:r>
        <w:rPr>
          <w:rFonts w:ascii="Arial" w:eastAsia="Arial" w:hAnsi="Arial" w:cs="Arial"/>
          <w:color w:val="000000"/>
          <w:sz w:val="24"/>
          <w:szCs w:val="24"/>
        </w:rPr>
        <w:t>, 2024).</w:t>
      </w:r>
    </w:p>
    <w:p w14:paraId="0000005C" w14:textId="77777777" w:rsidR="00E731C5" w:rsidRDefault="00E731C5">
      <w:pPr>
        <w:pBdr>
          <w:top w:val="nil"/>
          <w:left w:val="nil"/>
          <w:bottom w:val="nil"/>
          <w:right w:val="nil"/>
          <w:between w:val="nil"/>
        </w:pBdr>
        <w:spacing w:before="280" w:after="280" w:line="360" w:lineRule="auto"/>
        <w:jc w:val="both"/>
        <w:rPr>
          <w:rFonts w:ascii="Arial" w:eastAsia="Arial" w:hAnsi="Arial" w:cs="Arial"/>
          <w:color w:val="000000"/>
          <w:sz w:val="24"/>
          <w:szCs w:val="24"/>
        </w:rPr>
      </w:pPr>
    </w:p>
    <w:p w14:paraId="0000005D" w14:textId="77777777" w:rsidR="00E731C5" w:rsidRDefault="00000000">
      <w:pPr>
        <w:spacing w:after="0" w:line="240" w:lineRule="auto"/>
        <w:jc w:val="both"/>
        <w:rPr>
          <w:rFonts w:ascii="Arial" w:eastAsia="Arial" w:hAnsi="Arial" w:cs="Arial"/>
          <w:b/>
          <w:sz w:val="28"/>
          <w:szCs w:val="28"/>
        </w:rPr>
      </w:pPr>
      <w:r>
        <w:rPr>
          <w:rFonts w:ascii="Arial" w:eastAsia="Arial" w:hAnsi="Arial" w:cs="Arial"/>
          <w:b/>
          <w:sz w:val="28"/>
          <w:szCs w:val="28"/>
        </w:rPr>
        <w:t>2.3 Theoretical Background:</w:t>
      </w:r>
    </w:p>
    <w:p w14:paraId="0000005E" w14:textId="77777777" w:rsidR="00E731C5"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Understanding the experiences of NHS staff facing burnout, low morale, and retention challenges requires the application of robust psychological and organisational theories. Three key frameworks—</w:t>
      </w:r>
      <w:r>
        <w:rPr>
          <w:rFonts w:ascii="Arial" w:eastAsia="Arial" w:hAnsi="Arial" w:cs="Arial"/>
          <w:b/>
          <w:color w:val="000000"/>
          <w:sz w:val="24"/>
          <w:szCs w:val="24"/>
        </w:rPr>
        <w:t>Job Demands–Resources (JD-R) Model</w:t>
      </w:r>
      <w:r>
        <w:rPr>
          <w:rFonts w:ascii="Arial" w:eastAsia="Arial" w:hAnsi="Arial" w:cs="Arial"/>
          <w:color w:val="000000"/>
          <w:sz w:val="24"/>
          <w:szCs w:val="24"/>
        </w:rPr>
        <w:t xml:space="preserve">, </w:t>
      </w:r>
      <w:r>
        <w:rPr>
          <w:rFonts w:ascii="Arial" w:eastAsia="Arial" w:hAnsi="Arial" w:cs="Arial"/>
          <w:b/>
          <w:color w:val="000000"/>
          <w:sz w:val="24"/>
          <w:szCs w:val="24"/>
        </w:rPr>
        <w:t>Self-Determination Theory (SDT)</w:t>
      </w:r>
      <w:r>
        <w:rPr>
          <w:rFonts w:ascii="Arial" w:eastAsia="Arial" w:hAnsi="Arial" w:cs="Arial"/>
          <w:color w:val="000000"/>
          <w:sz w:val="24"/>
          <w:szCs w:val="24"/>
        </w:rPr>
        <w:t xml:space="preserve">, and </w:t>
      </w:r>
      <w:r>
        <w:rPr>
          <w:rFonts w:ascii="Arial" w:eastAsia="Arial" w:hAnsi="Arial" w:cs="Arial"/>
          <w:b/>
          <w:color w:val="000000"/>
          <w:sz w:val="24"/>
          <w:szCs w:val="24"/>
        </w:rPr>
        <w:t>Social Exchange Theory (SET)</w:t>
      </w:r>
      <w:r>
        <w:rPr>
          <w:rFonts w:ascii="Arial" w:eastAsia="Arial" w:hAnsi="Arial" w:cs="Arial"/>
          <w:color w:val="000000"/>
          <w:sz w:val="24"/>
          <w:szCs w:val="24"/>
        </w:rPr>
        <w:t>—offer valuable lenses through which to explore staff wellbeing and workplace dynamics.</w:t>
      </w:r>
    </w:p>
    <w:p w14:paraId="0000005F" w14:textId="77777777" w:rsidR="00E731C5"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2.3.1 Key Theories and Concepts:</w:t>
      </w:r>
    </w:p>
    <w:p w14:paraId="00000060"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 xml:space="preserve">The </w:t>
      </w:r>
      <w:r>
        <w:rPr>
          <w:rFonts w:ascii="Arial" w:eastAsia="Arial" w:hAnsi="Arial" w:cs="Arial"/>
          <w:b/>
          <w:sz w:val="24"/>
          <w:szCs w:val="24"/>
        </w:rPr>
        <w:t>JD-R Model</w:t>
      </w:r>
      <w:r>
        <w:rPr>
          <w:rFonts w:ascii="Arial" w:eastAsia="Arial" w:hAnsi="Arial" w:cs="Arial"/>
          <w:sz w:val="24"/>
          <w:szCs w:val="24"/>
        </w:rPr>
        <w:t>, proposed by Bakker and Demerouti (2017), suggests that burnout arises when job demands (e.g., workload, time pressure, emotional labour) exceed available resources (e.g., support, autonomy, recognition). When job resources are adequate, they can mitigate the effects of high demands, increasing engagement and job satisfaction. The model’s adaptability to various work environments has made it particularly relevant to the NHS, where healthcare workers face fluctuating demands and resource limitations (</w:t>
      </w:r>
      <w:proofErr w:type="spellStart"/>
      <w:r>
        <w:rPr>
          <w:rFonts w:ascii="Arial" w:eastAsia="Arial" w:hAnsi="Arial" w:cs="Arial"/>
          <w:sz w:val="24"/>
          <w:szCs w:val="24"/>
        </w:rPr>
        <w:t>Dall’Ora</w:t>
      </w:r>
      <w:proofErr w:type="spellEnd"/>
      <w:r>
        <w:rPr>
          <w:rFonts w:ascii="Arial" w:eastAsia="Arial" w:hAnsi="Arial" w:cs="Arial"/>
          <w:sz w:val="24"/>
          <w:szCs w:val="24"/>
        </w:rPr>
        <w:t>, 2020).</w:t>
      </w:r>
    </w:p>
    <w:p w14:paraId="00000061"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b/>
          <w:sz w:val="24"/>
          <w:szCs w:val="24"/>
        </w:rPr>
        <w:t>Self-Determination Theory (SDT)</w:t>
      </w:r>
      <w:r>
        <w:rPr>
          <w:rFonts w:ascii="Arial" w:eastAsia="Arial" w:hAnsi="Arial" w:cs="Arial"/>
          <w:sz w:val="24"/>
          <w:szCs w:val="24"/>
        </w:rPr>
        <w:t>, developed by Deci and Ryan (2008), posits that motivation and psychological wellbeing depend on satisfying three core needs: autonomy, competence, and relatedness. When these needs are met, individuals are more likely to be motivated, resilient, and committed. In contrast, unmet needs lead to stress, low morale, and reduced engagement.</w:t>
      </w:r>
    </w:p>
    <w:p w14:paraId="00000062"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b/>
          <w:sz w:val="24"/>
          <w:szCs w:val="24"/>
        </w:rPr>
        <w:t>Social Exchange Theory (SET)</w:t>
      </w:r>
      <w:r>
        <w:rPr>
          <w:rFonts w:ascii="Arial" w:eastAsia="Arial" w:hAnsi="Arial" w:cs="Arial"/>
          <w:sz w:val="24"/>
          <w:szCs w:val="24"/>
        </w:rPr>
        <w:t xml:space="preserve">, as articulated by </w:t>
      </w:r>
      <w:proofErr w:type="spellStart"/>
      <w:r>
        <w:rPr>
          <w:rFonts w:ascii="Arial" w:eastAsia="Arial" w:hAnsi="Arial" w:cs="Arial"/>
          <w:sz w:val="24"/>
          <w:szCs w:val="24"/>
        </w:rPr>
        <w:t>Cropanzano</w:t>
      </w:r>
      <w:proofErr w:type="spellEnd"/>
      <w:r>
        <w:rPr>
          <w:rFonts w:ascii="Arial" w:eastAsia="Arial" w:hAnsi="Arial" w:cs="Arial"/>
          <w:sz w:val="24"/>
          <w:szCs w:val="24"/>
        </w:rPr>
        <w:t xml:space="preserve"> and Mitchell (2005), focuses on the reciprocal relationship between employees and employers. Staff who perceive organisational support, fairness, and investment in their development tend to respond with loyalty and discretionary effort. However, perceived neglect or inequity can lead to disengagement and increased turnover intentions.</w:t>
      </w:r>
    </w:p>
    <w:p w14:paraId="00000063" w14:textId="77777777" w:rsidR="00E731C5" w:rsidRDefault="00E731C5">
      <w:pPr>
        <w:spacing w:before="280" w:after="280" w:line="360" w:lineRule="auto"/>
        <w:jc w:val="both"/>
        <w:rPr>
          <w:rFonts w:ascii="Arial" w:eastAsia="Arial" w:hAnsi="Arial" w:cs="Arial"/>
          <w:sz w:val="24"/>
          <w:szCs w:val="24"/>
        </w:rPr>
      </w:pPr>
    </w:p>
    <w:p w14:paraId="00000064" w14:textId="77777777" w:rsidR="00E731C5"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lastRenderedPageBreak/>
        <w:t>2.3.2 Application in NHS Context:</w:t>
      </w:r>
    </w:p>
    <w:p w14:paraId="00000065"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 xml:space="preserve">These theories have been applied in numerous NHS workforce studies. For example, </w:t>
      </w:r>
      <w:proofErr w:type="spellStart"/>
      <w:r>
        <w:rPr>
          <w:rFonts w:ascii="Arial" w:eastAsia="Arial" w:hAnsi="Arial" w:cs="Arial"/>
          <w:sz w:val="24"/>
          <w:szCs w:val="24"/>
        </w:rPr>
        <w:t>Dall’Ora</w:t>
      </w:r>
      <w:proofErr w:type="spellEnd"/>
      <w:r>
        <w:rPr>
          <w:rFonts w:ascii="Arial" w:eastAsia="Arial" w:hAnsi="Arial" w:cs="Arial"/>
          <w:sz w:val="24"/>
          <w:szCs w:val="24"/>
        </w:rPr>
        <w:t xml:space="preserve"> (2020) applied the JD-R model to explore predictors of burnout among nurses, identifying lack of staffing, support, and role clarity as key drivers. Ghasemi </w:t>
      </w:r>
      <w:proofErr w:type="spellStart"/>
      <w:r>
        <w:rPr>
          <w:rFonts w:ascii="Arial" w:eastAsia="Arial" w:hAnsi="Arial" w:cs="Arial"/>
          <w:sz w:val="24"/>
          <w:szCs w:val="24"/>
        </w:rPr>
        <w:t>Kooktapeh</w:t>
      </w:r>
      <w:proofErr w:type="spellEnd"/>
      <w:r>
        <w:rPr>
          <w:rFonts w:ascii="Arial" w:eastAsia="Arial" w:hAnsi="Arial" w:cs="Arial"/>
          <w:sz w:val="24"/>
          <w:szCs w:val="24"/>
        </w:rPr>
        <w:t xml:space="preserve"> et al. (2023) extended this analysis, linking nurse burnout to insufficient institutional support and persistent emotional demands.</w:t>
      </w:r>
    </w:p>
    <w:p w14:paraId="00000066"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SDT has been used to analyse junior doctors’ morale, showing that poor supervision, lack of autonomy, and limited feedback contribute to disengagement (Spencer et al., 2019). In similar research, West et al. (2020) applied SET to assess morale across NHS trusts, concluding that organisational fairness and inclusive leadership were essential to building a resilient workforce.</w:t>
      </w:r>
    </w:p>
    <w:p w14:paraId="00000067"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Post-pandemic studies have further highlighted the relevance of these frameworks. Chan et al. (2025) developed a predictive model using JD-R principles to monitor clinician burnout in real-time. Their study found that burnout peaks during periods of high patient volume and low perceived support—validating the model’s predictive accuracy in NHS environments.</w:t>
      </w:r>
    </w:p>
    <w:p w14:paraId="00000068" w14:textId="77777777" w:rsidR="00E731C5"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2.3.3 Critical Evaluation:</w:t>
      </w:r>
    </w:p>
    <w:p w14:paraId="00000069"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Despite their strengths, these models have limitations. The JD-R model, while flexible, can overemphasise individual coping strategies and underplay systemic or structural drivers of burnout such as policy constraints or chronic underfunding (Schaufeli and Taris, 2014). SDT, though effective in explaining intrinsic motivation, does not always account for social inequalities or organisational hierarchies, which can undermine its assumptions (Kline, 2022).</w:t>
      </w:r>
    </w:p>
    <w:p w14:paraId="0000006A"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Similarly, SET assumes a degree of equity in staff-employer relations that may not reflect real power dynamics in large institutions like the NHS. It also presumes that reciprocal exchanges are the primary driver of motivation, which may overlook intrinsic values or cultural influences.</w:t>
      </w:r>
    </w:p>
    <w:p w14:paraId="0000006B"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 xml:space="preserve">Nevertheless, when combined, these theories provide a comprehensive, multi-level framework for understanding NHS workforce challenges. They underscore the </w:t>
      </w:r>
      <w:r>
        <w:rPr>
          <w:rFonts w:ascii="Arial" w:eastAsia="Arial" w:hAnsi="Arial" w:cs="Arial"/>
          <w:sz w:val="24"/>
          <w:szCs w:val="24"/>
        </w:rPr>
        <w:lastRenderedPageBreak/>
        <w:t>importance of investing in supportive leadership, recognising staff contributions, and creating psychologically safe environments to improve morale and retain a skilled and motivated workforce.</w:t>
      </w:r>
    </w:p>
    <w:p w14:paraId="0000006C" w14:textId="77777777" w:rsidR="00E731C5" w:rsidRDefault="00E731C5">
      <w:pPr>
        <w:spacing w:before="280" w:after="280" w:line="360" w:lineRule="auto"/>
        <w:jc w:val="both"/>
        <w:rPr>
          <w:rFonts w:ascii="Arial" w:eastAsia="Arial" w:hAnsi="Arial" w:cs="Arial"/>
          <w:sz w:val="24"/>
          <w:szCs w:val="24"/>
        </w:rPr>
      </w:pPr>
    </w:p>
    <w:p w14:paraId="0000006D" w14:textId="77777777" w:rsidR="00E731C5"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2.4 International Context:</w:t>
      </w:r>
    </w:p>
    <w:p w14:paraId="0000006E" w14:textId="77777777" w:rsidR="00E731C5"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2.4.1 Global Workforce Pressures:</w:t>
      </w:r>
    </w:p>
    <w:p w14:paraId="0000006F"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Workforce pressures in healthcare are a global issue and not confined to the NHS. According to the World Health Organization (2023), there is a projected global shortfall of 10 million health workers, posing a significant threat to the sustainability of health systems worldwide. Even in high-income countries, staff burnout, high turnover rates, and insufficient wellbeing support are widespread (Ghasemi </w:t>
      </w:r>
      <w:proofErr w:type="spellStart"/>
      <w:r>
        <w:rPr>
          <w:rFonts w:ascii="Arial" w:eastAsia="Arial" w:hAnsi="Arial" w:cs="Arial"/>
          <w:sz w:val="24"/>
          <w:szCs w:val="24"/>
        </w:rPr>
        <w:t>Kooktapeh</w:t>
      </w:r>
      <w:proofErr w:type="spellEnd"/>
      <w:r>
        <w:rPr>
          <w:rFonts w:ascii="Arial" w:eastAsia="Arial" w:hAnsi="Arial" w:cs="Arial"/>
          <w:sz w:val="24"/>
          <w:szCs w:val="24"/>
        </w:rPr>
        <w:t xml:space="preserve"> et al., 2023). These issues have become more acute in the post-COVID landscape, with many healthcare systems struggling to recover and rebuild resilient workforces.</w:t>
      </w:r>
    </w:p>
    <w:p w14:paraId="00000070"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 xml:space="preserve">The World Health Organization's </w:t>
      </w:r>
      <w:r>
        <w:rPr>
          <w:rFonts w:ascii="Arial" w:eastAsia="Arial" w:hAnsi="Arial" w:cs="Arial"/>
          <w:i/>
          <w:sz w:val="24"/>
          <w:szCs w:val="24"/>
        </w:rPr>
        <w:t>Global Strategy on Human Resources for Health: Workforce 2030</w:t>
      </w:r>
      <w:r>
        <w:rPr>
          <w:rFonts w:ascii="Arial" w:eastAsia="Arial" w:hAnsi="Arial" w:cs="Arial"/>
          <w:sz w:val="24"/>
          <w:szCs w:val="24"/>
        </w:rPr>
        <w:t xml:space="preserve"> emphasises the importance of equitable workforce distribution, better working conditions, and investment in staff wellbeing to achieve universal health coverage (WHO, 2023). These global challenges mirror many of the concerns seen in the NHS, offering both cautionary tales and models of best practice for reform.</w:t>
      </w:r>
    </w:p>
    <w:p w14:paraId="00000071" w14:textId="77777777" w:rsidR="00E731C5" w:rsidRDefault="00E731C5">
      <w:pPr>
        <w:spacing w:before="280" w:after="280" w:line="360" w:lineRule="auto"/>
        <w:jc w:val="both"/>
        <w:rPr>
          <w:rFonts w:ascii="Arial" w:eastAsia="Arial" w:hAnsi="Arial" w:cs="Arial"/>
          <w:sz w:val="24"/>
          <w:szCs w:val="24"/>
        </w:rPr>
      </w:pPr>
    </w:p>
    <w:p w14:paraId="00000072" w14:textId="77777777" w:rsidR="00E731C5"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2.4.2 Comparative Analysis:</w:t>
      </w:r>
    </w:p>
    <w:p w14:paraId="00000073"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In the Netherlands, shared governance models that involve nurses and frontline staff in decision-making have been associated with lower burnout levels and higher job satisfaction. These participatory structures help improve morale and reduce turnover by giving staff more control over their practice environments (van Bogaert et al., 2017).</w:t>
      </w:r>
    </w:p>
    <w:p w14:paraId="00000074"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 xml:space="preserve">Australia’s </w:t>
      </w:r>
      <w:r>
        <w:rPr>
          <w:rFonts w:ascii="Arial" w:eastAsia="Arial" w:hAnsi="Arial" w:cs="Arial"/>
          <w:i/>
          <w:sz w:val="24"/>
          <w:szCs w:val="24"/>
        </w:rPr>
        <w:t>National Health Workforce Strategy 2022–2032</w:t>
      </w:r>
      <w:r>
        <w:rPr>
          <w:rFonts w:ascii="Arial" w:eastAsia="Arial" w:hAnsi="Arial" w:cs="Arial"/>
          <w:sz w:val="24"/>
          <w:szCs w:val="24"/>
        </w:rPr>
        <w:t xml:space="preserve"> focuses on workforce sustainability through rural workforce incentives, digital training platforms, and culturally safe work environments (Department of Health Australia, 2022). Additionally, </w:t>
      </w:r>
      <w:r>
        <w:rPr>
          <w:rFonts w:ascii="Arial" w:eastAsia="Arial" w:hAnsi="Arial" w:cs="Arial"/>
          <w:sz w:val="24"/>
          <w:szCs w:val="24"/>
        </w:rPr>
        <w:lastRenderedPageBreak/>
        <w:t>flexible working policies and investment in early-career health professionals have contributed to greater job satisfaction and retention.</w:t>
      </w:r>
    </w:p>
    <w:p w14:paraId="00000075"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In Scandinavia, healthcare workers consistently report high levels of workplace satisfaction. Sweden and Norway</w:t>
      </w:r>
      <w:proofErr w:type="gramStart"/>
      <w:r>
        <w:rPr>
          <w:rFonts w:ascii="Arial" w:eastAsia="Arial" w:hAnsi="Arial" w:cs="Arial"/>
          <w:sz w:val="24"/>
          <w:szCs w:val="24"/>
        </w:rPr>
        <w:t>, in particular, are</w:t>
      </w:r>
      <w:proofErr w:type="gramEnd"/>
      <w:r>
        <w:rPr>
          <w:rFonts w:ascii="Arial" w:eastAsia="Arial" w:hAnsi="Arial" w:cs="Arial"/>
          <w:sz w:val="24"/>
          <w:szCs w:val="24"/>
        </w:rPr>
        <w:t xml:space="preserve"> noted for their emphasis on psychological safety, shorter working hours, and a balanced work-life culture (Lundqvist and Sandström, 2023). These countries have invested in leadership development and employee voice mechanisms that foster open communication and reduce hierarchical barriers—contributing to healthier organisational climates.</w:t>
      </w:r>
    </w:p>
    <w:p w14:paraId="00000076"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In contrast, the United States faces severe burnout and turnover rates, particularly among physicians and nurses. This is largely attributed to a profit-driven healthcare model, administrative overload, and inconsistent access to mental health resources (Shanafelt et al., 2019). However, some US healthcare systems have implemented resilience training programmes and peer-support initiatives to reduce psychological strain and promote emotional wellbeing.</w:t>
      </w:r>
    </w:p>
    <w:p w14:paraId="00000077" w14:textId="77777777" w:rsidR="00E731C5"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2.4.3 Case Studies and Global Initiatives:</w:t>
      </w:r>
    </w:p>
    <w:p w14:paraId="00000078"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A notable case study from New Zealand’s Waikato District Health Board involved a post-COVID stress debriefing programme. This intervention led to a 35% reduction in sickness absence within six months and was later scaled across multiple regions (Ministry of Health NZ, 2023). It demonstrates how targeted mental health initiatives can produce measurable workforce improvements.</w:t>
      </w:r>
    </w:p>
    <w:p w14:paraId="00000079"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 xml:space="preserve">On a broader scale, WHO-led global initiatives such as the </w:t>
      </w:r>
      <w:r>
        <w:rPr>
          <w:rFonts w:ascii="Arial" w:eastAsia="Arial" w:hAnsi="Arial" w:cs="Arial"/>
          <w:i/>
          <w:sz w:val="24"/>
          <w:szCs w:val="24"/>
        </w:rPr>
        <w:t>Workforce 2030 Strategy</w:t>
      </w:r>
      <w:r>
        <w:rPr>
          <w:rFonts w:ascii="Arial" w:eastAsia="Arial" w:hAnsi="Arial" w:cs="Arial"/>
          <w:sz w:val="24"/>
          <w:szCs w:val="24"/>
        </w:rPr>
        <w:t xml:space="preserve"> advocate for national governments to integrate mental health, gender equality, and decent work principles into their health workforce policies (WHO, 2023). The strategy highlights the importance of international collaboration, especially </w:t>
      </w:r>
      <w:proofErr w:type="gramStart"/>
      <w:r>
        <w:rPr>
          <w:rFonts w:ascii="Arial" w:eastAsia="Arial" w:hAnsi="Arial" w:cs="Arial"/>
          <w:sz w:val="24"/>
          <w:szCs w:val="24"/>
        </w:rPr>
        <w:t>in light of</w:t>
      </w:r>
      <w:proofErr w:type="gramEnd"/>
      <w:r>
        <w:rPr>
          <w:rFonts w:ascii="Arial" w:eastAsia="Arial" w:hAnsi="Arial" w:cs="Arial"/>
          <w:sz w:val="24"/>
          <w:szCs w:val="24"/>
        </w:rPr>
        <w:t xml:space="preserve"> cross-border recruitment and migration trends that impact workforce stability globally.</w:t>
      </w:r>
    </w:p>
    <w:p w14:paraId="0000007A"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 xml:space="preserve">The global context reveals that while healthcare systems vary in structure and resources, many </w:t>
      </w:r>
      <w:proofErr w:type="gramStart"/>
      <w:r>
        <w:rPr>
          <w:rFonts w:ascii="Arial" w:eastAsia="Arial" w:hAnsi="Arial" w:cs="Arial"/>
          <w:sz w:val="24"/>
          <w:szCs w:val="24"/>
        </w:rPr>
        <w:t>face</w:t>
      </w:r>
      <w:proofErr w:type="gramEnd"/>
      <w:r>
        <w:rPr>
          <w:rFonts w:ascii="Arial" w:eastAsia="Arial" w:hAnsi="Arial" w:cs="Arial"/>
          <w:sz w:val="24"/>
          <w:szCs w:val="24"/>
        </w:rPr>
        <w:t xml:space="preserve"> similar challenges in supporting and retaining their staff. Countries that prioritise flexible working, leadership development, and psychological wellbeing show better workforce outcomes. These international insights provide a </w:t>
      </w:r>
      <w:r>
        <w:rPr>
          <w:rFonts w:ascii="Arial" w:eastAsia="Arial" w:hAnsi="Arial" w:cs="Arial"/>
          <w:sz w:val="24"/>
          <w:szCs w:val="24"/>
        </w:rPr>
        <w:lastRenderedPageBreak/>
        <w:t>valuable comparative framework for informing NHS workforce reforms and promoting sustainable staff wellbeing.</w:t>
      </w:r>
    </w:p>
    <w:p w14:paraId="0000007B" w14:textId="77777777" w:rsidR="00E731C5" w:rsidRDefault="00E731C5">
      <w:pPr>
        <w:spacing w:before="280" w:after="280" w:line="360" w:lineRule="auto"/>
        <w:jc w:val="both"/>
        <w:rPr>
          <w:rFonts w:ascii="Arial" w:eastAsia="Arial" w:hAnsi="Arial" w:cs="Arial"/>
          <w:sz w:val="24"/>
          <w:szCs w:val="24"/>
        </w:rPr>
      </w:pPr>
    </w:p>
    <w:p w14:paraId="0000007C" w14:textId="77777777" w:rsidR="00E731C5" w:rsidRDefault="00000000">
      <w:pPr>
        <w:spacing w:before="280" w:after="280" w:line="240" w:lineRule="auto"/>
        <w:jc w:val="both"/>
        <w:rPr>
          <w:rFonts w:ascii="Arial" w:eastAsia="Arial" w:hAnsi="Arial" w:cs="Arial"/>
          <w:b/>
          <w:sz w:val="24"/>
          <w:szCs w:val="24"/>
        </w:rPr>
      </w:pPr>
      <w:r>
        <w:rPr>
          <w:rFonts w:ascii="Arial" w:eastAsia="Arial" w:hAnsi="Arial" w:cs="Arial"/>
          <w:b/>
          <w:sz w:val="24"/>
          <w:szCs w:val="24"/>
        </w:rPr>
        <w:t>2.5 National/Local UK Context:</w:t>
      </w:r>
    </w:p>
    <w:p w14:paraId="0000007D" w14:textId="77777777" w:rsidR="00E731C5"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2.5.1 UK National Workforce Trends:</w:t>
      </w:r>
    </w:p>
    <w:p w14:paraId="0000007E"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NHS is facing an unprecedented workforce crisis, with a projected shortfall of between 260,000 and 360,000 staff by 2036 if corrective action is not taken (NHS England, 2023). The current staffing gap affects nearly every healthcare profession, with particularly severe shortages among nurses, mental health workers, and general practitioners. Contributing factors include an ageing workforce, insufficient domestic training capacity, and high attrition rates across clinical roles.</w:t>
      </w:r>
    </w:p>
    <w:p w14:paraId="0000007F"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 2024 NHS Staff Survey reported that more than half of NHS employees experience burnout, with workload intensity, poor leadership quality, and chronic understaffing cited as the most significant stressors (NHS Staff Surveys, 2024). Meredith (2025) further notes that feelings of being undervalued, unsupported, or overburdened are leading to an increase in staff considering career exits or early retirement.</w:t>
      </w:r>
    </w:p>
    <w:p w14:paraId="00000080"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These challenges have been exacerbated by the residual effects of the COVID-19 pandemic, which increased emotional fatigue and left many staff without adequate recovery time. Healthcare organisations now face a dual challenge: meeting rising service demand while supporting a workforce that is physically and emotionally stretched.</w:t>
      </w:r>
    </w:p>
    <w:p w14:paraId="00000081" w14:textId="77777777" w:rsidR="00E731C5"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2.5.2 Policy and Regulation:</w:t>
      </w:r>
    </w:p>
    <w:p w14:paraId="00000082"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 xml:space="preserve">In response, several national strategies have been introduced. The </w:t>
      </w:r>
      <w:r>
        <w:rPr>
          <w:rFonts w:ascii="Arial" w:eastAsia="Arial" w:hAnsi="Arial" w:cs="Arial"/>
          <w:i/>
          <w:sz w:val="24"/>
          <w:szCs w:val="24"/>
        </w:rPr>
        <w:t>NHS People Plan</w:t>
      </w:r>
      <w:r>
        <w:rPr>
          <w:rFonts w:ascii="Arial" w:eastAsia="Arial" w:hAnsi="Arial" w:cs="Arial"/>
          <w:sz w:val="24"/>
          <w:szCs w:val="24"/>
        </w:rPr>
        <w:t xml:space="preserve"> (2020) set out immediate actions to support staff through wellbeing initiatives, flexible working, and compassionate leadership. This was followed by the </w:t>
      </w:r>
      <w:r>
        <w:rPr>
          <w:rFonts w:ascii="Arial" w:eastAsia="Arial" w:hAnsi="Arial" w:cs="Arial"/>
          <w:i/>
          <w:sz w:val="24"/>
          <w:szCs w:val="24"/>
        </w:rPr>
        <w:t>NHS Long Term Workforce Plan</w:t>
      </w:r>
      <w:r>
        <w:rPr>
          <w:rFonts w:ascii="Arial" w:eastAsia="Arial" w:hAnsi="Arial" w:cs="Arial"/>
          <w:sz w:val="24"/>
          <w:szCs w:val="24"/>
        </w:rPr>
        <w:t xml:space="preserve"> (2023), which provides a strategic roadmap for training, recruitment, </w:t>
      </w:r>
      <w:r>
        <w:rPr>
          <w:rFonts w:ascii="Arial" w:eastAsia="Arial" w:hAnsi="Arial" w:cs="Arial"/>
          <w:sz w:val="24"/>
          <w:szCs w:val="24"/>
        </w:rPr>
        <w:lastRenderedPageBreak/>
        <w:t>and retention, including investment in digital innovation and education reform (NHS England, 2023).</w:t>
      </w:r>
    </w:p>
    <w:p w14:paraId="00000083"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 xml:space="preserve">These strategies are supported by legislative frameworks such as the </w:t>
      </w:r>
      <w:r>
        <w:rPr>
          <w:rFonts w:ascii="Arial" w:eastAsia="Arial" w:hAnsi="Arial" w:cs="Arial"/>
          <w:i/>
          <w:sz w:val="24"/>
          <w:szCs w:val="24"/>
        </w:rPr>
        <w:t>Care Act 2014</w:t>
      </w:r>
      <w:r>
        <w:rPr>
          <w:rFonts w:ascii="Arial" w:eastAsia="Arial" w:hAnsi="Arial" w:cs="Arial"/>
          <w:sz w:val="24"/>
          <w:szCs w:val="24"/>
        </w:rPr>
        <w:t xml:space="preserve">, the </w:t>
      </w:r>
      <w:r>
        <w:rPr>
          <w:rFonts w:ascii="Arial" w:eastAsia="Arial" w:hAnsi="Arial" w:cs="Arial"/>
          <w:i/>
          <w:sz w:val="24"/>
          <w:szCs w:val="24"/>
        </w:rPr>
        <w:t>Equality Act 2010</w:t>
      </w:r>
      <w:r>
        <w:rPr>
          <w:rFonts w:ascii="Arial" w:eastAsia="Arial" w:hAnsi="Arial" w:cs="Arial"/>
          <w:sz w:val="24"/>
          <w:szCs w:val="24"/>
        </w:rPr>
        <w:t xml:space="preserve">, and the </w:t>
      </w:r>
      <w:r>
        <w:rPr>
          <w:rFonts w:ascii="Arial" w:eastAsia="Arial" w:hAnsi="Arial" w:cs="Arial"/>
          <w:i/>
          <w:sz w:val="24"/>
          <w:szCs w:val="24"/>
        </w:rPr>
        <w:t>Health and Care Act 2022</w:t>
      </w:r>
      <w:r>
        <w:rPr>
          <w:rFonts w:ascii="Arial" w:eastAsia="Arial" w:hAnsi="Arial" w:cs="Arial"/>
          <w:sz w:val="24"/>
          <w:szCs w:val="24"/>
        </w:rPr>
        <w:t>, which collectively mandate fair treatment, workforce equity, and safe staffing standards. Despite these policies, however, there remains a substantial implementation gap between national ambition and local reality (NHS Employers, 2024).</w:t>
      </w:r>
    </w:p>
    <w:p w14:paraId="00000084"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A 2024 NHS Employers report found significant variation in the rollout of staff wellbeing initiatives. While some NHS trusts have embedded resilience training, peer support, and wellbeing infrastructure into their organisational culture, others continue to rely on ad hoc or minimal provisions—especially in areas with high patient demand and limited funding.</w:t>
      </w:r>
    </w:p>
    <w:p w14:paraId="00000085" w14:textId="77777777" w:rsidR="00E731C5" w:rsidRDefault="00000000">
      <w:pPr>
        <w:spacing w:before="280" w:after="280" w:line="360" w:lineRule="auto"/>
        <w:jc w:val="both"/>
        <w:rPr>
          <w:rFonts w:ascii="Arial" w:eastAsia="Arial" w:hAnsi="Arial" w:cs="Arial"/>
          <w:b/>
          <w:sz w:val="24"/>
          <w:szCs w:val="24"/>
        </w:rPr>
      </w:pPr>
      <w:r>
        <w:rPr>
          <w:rFonts w:ascii="Arial" w:eastAsia="Arial" w:hAnsi="Arial" w:cs="Arial"/>
          <w:b/>
          <w:sz w:val="24"/>
          <w:szCs w:val="24"/>
        </w:rPr>
        <w:t>2.5.3 Local Initiatives:</w:t>
      </w:r>
    </w:p>
    <w:p w14:paraId="00000086"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 xml:space="preserve">At the local level, individual NHS trusts have adopted innovative practices to address workforce pressures. For example, Guy’s and St Thomas’ NHS Foundation Trust introduced a “Wellbeing Guardian” role to advocate for staff wellbeing at the executive level. Similarly, </w:t>
      </w:r>
      <w:proofErr w:type="spellStart"/>
      <w:r>
        <w:rPr>
          <w:rFonts w:ascii="Arial" w:eastAsia="Arial" w:hAnsi="Arial" w:cs="Arial"/>
          <w:sz w:val="24"/>
          <w:szCs w:val="24"/>
        </w:rPr>
        <w:t>Oxleas</w:t>
      </w:r>
      <w:proofErr w:type="spellEnd"/>
      <w:r>
        <w:rPr>
          <w:rFonts w:ascii="Arial" w:eastAsia="Arial" w:hAnsi="Arial" w:cs="Arial"/>
          <w:sz w:val="24"/>
          <w:szCs w:val="24"/>
        </w:rPr>
        <w:t xml:space="preserve"> NHS Foundation Trust has piloted flexible rotas, staff listening sessions, and peer support groups, all of which have been positively received (Picker Institute and NHS England, 2024).</w:t>
      </w:r>
    </w:p>
    <w:p w14:paraId="00000087"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However, rural and coastal areas such as North Cumbria continue to face recruitment and retention challenges due to geographic isolation, fewer career progression opportunities, and limited access to amenities (Myles Wellbeing, 2024). These factors contribute to a cycle of workforce instability in underserved regions.</w:t>
      </w:r>
    </w:p>
    <w:p w14:paraId="00000088"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Demographic disparities persist nationally. Research by Kline (2022) highlights that ethnic minority NHS staff report lower morale, higher rates of bullying, and less access to promotion, despite the presence of equality and diversity policies. These inequities indicate a need for deeper structural reform that goes beyond policy rhetoric.</w:t>
      </w:r>
    </w:p>
    <w:p w14:paraId="00000089" w14:textId="77777777" w:rsidR="00E731C5" w:rsidRDefault="00000000">
      <w:pPr>
        <w:spacing w:before="280" w:after="280" w:line="360" w:lineRule="auto"/>
        <w:jc w:val="both"/>
        <w:rPr>
          <w:rFonts w:ascii="Arial" w:eastAsia="Arial" w:hAnsi="Arial" w:cs="Arial"/>
          <w:sz w:val="24"/>
          <w:szCs w:val="24"/>
        </w:rPr>
      </w:pPr>
      <w:r>
        <w:rPr>
          <w:rFonts w:ascii="Arial" w:eastAsia="Arial" w:hAnsi="Arial" w:cs="Arial"/>
          <w:sz w:val="24"/>
          <w:szCs w:val="24"/>
        </w:rPr>
        <w:t xml:space="preserve">To achieve a sustainable and equitable workforce, the NHS must bridge the gap between national policy and local implementation. A cohesive, system-wide </w:t>
      </w:r>
      <w:r>
        <w:rPr>
          <w:rFonts w:ascii="Arial" w:eastAsia="Arial" w:hAnsi="Arial" w:cs="Arial"/>
          <w:sz w:val="24"/>
          <w:szCs w:val="24"/>
        </w:rPr>
        <w:lastRenderedPageBreak/>
        <w:t>approach—tailored to local contexts yet aligned with national priorities—is essential for improving staff morale, retention, and overall service delivery across the UK.</w:t>
      </w:r>
    </w:p>
    <w:p w14:paraId="0000008A" w14:textId="77777777" w:rsidR="00E731C5" w:rsidRDefault="00E731C5">
      <w:pPr>
        <w:spacing w:after="0" w:line="240" w:lineRule="auto"/>
        <w:jc w:val="both"/>
        <w:rPr>
          <w:rFonts w:ascii="Arial" w:eastAsia="Arial" w:hAnsi="Arial" w:cs="Arial"/>
          <w:sz w:val="24"/>
          <w:szCs w:val="24"/>
        </w:rPr>
      </w:pPr>
    </w:p>
    <w:p w14:paraId="0000008B" w14:textId="77777777" w:rsidR="00E731C5" w:rsidRDefault="00000000">
      <w:pPr>
        <w:spacing w:before="280" w:after="280" w:line="240" w:lineRule="auto"/>
        <w:jc w:val="both"/>
        <w:rPr>
          <w:rFonts w:ascii="Arial" w:eastAsia="Arial" w:hAnsi="Arial" w:cs="Arial"/>
          <w:b/>
          <w:sz w:val="24"/>
          <w:szCs w:val="24"/>
        </w:rPr>
      </w:pPr>
      <w:r>
        <w:rPr>
          <w:rFonts w:ascii="Arial" w:eastAsia="Arial" w:hAnsi="Arial" w:cs="Arial"/>
          <w:b/>
          <w:sz w:val="24"/>
          <w:szCs w:val="24"/>
        </w:rPr>
        <w:t>2.6 Conclusion:</w:t>
      </w:r>
    </w:p>
    <w:p w14:paraId="0000008C" w14:textId="77777777" w:rsidR="00E731C5"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This chapter has explored the multifaceted background to NHS workforce pressures by examining their historical development, theoretical foundations, international trends, and national and local contexts. From the introduction of performance-driven reforms in the late 20th century to the unprecedented stressors of the COVID-19 pandemic, the NHS has encountered long-standing and evolving challenges related to burnout, morale, and staff retention.</w:t>
      </w:r>
    </w:p>
    <w:p w14:paraId="0000008D" w14:textId="77777777" w:rsidR="00E731C5"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Theoretical frameworks such as the Job Demands–Resources (JD-R) model, Self-Determination Theory (SDT), and Social Exchange Theory (SET) offer critical insights into the psychological and organisational factors affecting staff wellbeing. However, these must be understood within broader structural and systemic contexts.</w:t>
      </w:r>
    </w:p>
    <w:p w14:paraId="0000008E" w14:textId="77777777" w:rsidR="00E731C5"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International comparisons demonstrate that sustained investment in staff wellbeing, flexible working, and inclusive leadership can yield positive outcomes. Yet in the UK, a disconnect often exists between national policy ambitions and local implementation.</w:t>
      </w:r>
    </w:p>
    <w:p w14:paraId="0000008F" w14:textId="77777777" w:rsidR="00E731C5" w:rsidRDefault="00000000">
      <w:pPr>
        <w:pBdr>
          <w:top w:val="nil"/>
          <w:left w:val="nil"/>
          <w:bottom w:val="nil"/>
          <w:right w:val="nil"/>
          <w:between w:val="nil"/>
        </w:pBdr>
        <w:spacing w:before="280" w:after="280" w:line="360" w:lineRule="auto"/>
        <w:jc w:val="both"/>
        <w:rPr>
          <w:rFonts w:ascii="Arial" w:eastAsia="Arial" w:hAnsi="Arial" w:cs="Arial"/>
          <w:color w:val="000000"/>
          <w:sz w:val="24"/>
          <w:szCs w:val="24"/>
        </w:rPr>
      </w:pPr>
      <w:r>
        <w:rPr>
          <w:rFonts w:ascii="Arial" w:eastAsia="Arial" w:hAnsi="Arial" w:cs="Arial"/>
          <w:color w:val="000000"/>
          <w:sz w:val="24"/>
          <w:szCs w:val="24"/>
        </w:rPr>
        <w:t>This background lays the foundation for Chapter 3, which will outline the methodology of this secondary research, including the literature selection process, analytical approach, and ethical considerations.</w:t>
      </w:r>
    </w:p>
    <w:p w14:paraId="00000090" w14:textId="77777777" w:rsidR="00E731C5" w:rsidRDefault="00E731C5"/>
    <w:sectPr w:rsidR="00E731C5">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Quattrocento Sans">
    <w:charset w:val="00"/>
    <w:family w:val="swiss"/>
    <w:pitch w:val="variable"/>
    <w:sig w:usb0="800000BF" w:usb1="4000005B" w:usb2="00000000" w:usb3="00000000" w:csb0="00000001" w:csb1="00000000"/>
  </w:font>
  <w:font w:name="Play">
    <w:altName w:val="Calibri"/>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A691031"/>
    <w:multiLevelType w:val="multilevel"/>
    <w:tmpl w:val="9BF0BB8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75AD2E85"/>
    <w:multiLevelType w:val="multilevel"/>
    <w:tmpl w:val="A336E33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703431303">
    <w:abstractNumId w:val="1"/>
  </w:num>
  <w:num w:numId="2" w16cid:durableId="6275120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31C5"/>
    <w:rsid w:val="009B4C39"/>
    <w:rsid w:val="00E731C5"/>
    <w:rsid w:val="00FE19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A75C2"/>
  <w15:docId w15:val="{9B9F2B29-F76D-4860-BC11-BFC0730F92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color w:val="2F5496"/>
      <w:sz w:val="40"/>
      <w:szCs w:val="40"/>
    </w:rPr>
  </w:style>
  <w:style w:type="paragraph" w:styleId="Heading2">
    <w:name w:val="heading 2"/>
    <w:basedOn w:val="Normal"/>
    <w:next w:val="Normal"/>
    <w:uiPriority w:val="9"/>
    <w:semiHidden/>
    <w:unhideWhenUsed/>
    <w:qFormat/>
    <w:pPr>
      <w:keepNext/>
      <w:keepLines/>
      <w:spacing w:before="160" w:after="80"/>
      <w:outlineLvl w:val="1"/>
    </w:pPr>
    <w:rPr>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line="240" w:lineRule="auto"/>
    </w:pPr>
    <w:rPr>
      <w:sz w:val="56"/>
      <w:szCs w:val="56"/>
    </w:rPr>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Pages>
  <Words>3875</Words>
  <Characters>22090</Characters>
  <Application>Microsoft Office Word</Application>
  <DocSecurity>0</DocSecurity>
  <Lines>184</Lines>
  <Paragraphs>51</Paragraphs>
  <ScaleCrop>false</ScaleCrop>
  <Company/>
  <LinksUpToDate>false</LinksUpToDate>
  <CharactersWithSpaces>25914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Piya Rahman Piya</cp:lastModifiedBy>
  <cp:revision>4</cp:revision>
  <dcterms:created xsi:type="dcterms:W3CDTF">2025-12-10T23:29:00Z</dcterms:created>
  <dcterms:modified xsi:type="dcterms:W3CDTF">2025-12-10T23:34:00Z</dcterms:modified>
</cp:coreProperties>
</file>