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4AEAA" w14:textId="77777777" w:rsidR="009F64C5" w:rsidRDefault="009F64C5">
      <w:pPr>
        <w:spacing w:after="158"/>
        <w:ind w:left="49"/>
        <w:jc w:val="center"/>
      </w:pPr>
      <w:r>
        <w:rPr>
          <w:rFonts w:ascii="Calibri" w:eastAsia="Calibri" w:hAnsi="Calibri" w:cs="Calibri"/>
        </w:rPr>
        <w:t xml:space="preserve"> </w:t>
      </w:r>
    </w:p>
    <w:p w14:paraId="6D3D663A" w14:textId="77777777" w:rsidR="009F64C5" w:rsidRDefault="009F64C5">
      <w:pPr>
        <w:ind w:left="49"/>
        <w:jc w:val="center"/>
      </w:pPr>
      <w:r>
        <w:rPr>
          <w:rFonts w:ascii="Calibri" w:eastAsia="Calibri" w:hAnsi="Calibri" w:cs="Calibri"/>
        </w:rPr>
        <w:t xml:space="preserve"> </w:t>
      </w:r>
    </w:p>
    <w:p w14:paraId="6787C14B" w14:textId="578E474B" w:rsidR="009F64C5" w:rsidRDefault="009F64C5">
      <w:pPr>
        <w:spacing w:after="158"/>
        <w:ind w:left="49"/>
        <w:jc w:val="center"/>
      </w:pPr>
      <w:r>
        <w:rPr>
          <w:noProof/>
        </w:rPr>
        <w:drawing>
          <wp:inline distT="0" distB="0" distL="0" distR="0" wp14:anchorId="0851FAE4" wp14:editId="4D7657D7">
            <wp:extent cx="2502976" cy="9093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7049" cy="914433"/>
                    </a:xfrm>
                    <a:prstGeom prst="rect">
                      <a:avLst/>
                    </a:prstGeom>
                    <a:noFill/>
                  </pic:spPr>
                </pic:pic>
              </a:graphicData>
            </a:graphic>
          </wp:inline>
        </w:drawing>
      </w:r>
      <w:r>
        <w:rPr>
          <w:rFonts w:ascii="Calibri" w:eastAsia="Calibri" w:hAnsi="Calibri" w:cs="Calibri"/>
        </w:rPr>
        <w:t xml:space="preserve"> </w:t>
      </w:r>
    </w:p>
    <w:p w14:paraId="5E0F4EC2" w14:textId="77777777" w:rsidR="009F64C5" w:rsidRDefault="009F64C5">
      <w:pPr>
        <w:ind w:left="49"/>
        <w:jc w:val="center"/>
      </w:pPr>
      <w:r>
        <w:rPr>
          <w:rFonts w:ascii="Calibri" w:eastAsia="Calibri" w:hAnsi="Calibri" w:cs="Calibri"/>
        </w:rPr>
        <w:t xml:space="preserve"> </w:t>
      </w:r>
    </w:p>
    <w:p w14:paraId="0C4D53A1" w14:textId="77777777" w:rsidR="009F64C5" w:rsidRDefault="009F64C5">
      <w:pPr>
        <w:spacing w:after="287"/>
        <w:ind w:left="49"/>
        <w:jc w:val="center"/>
      </w:pPr>
      <w:r>
        <w:rPr>
          <w:rFonts w:ascii="Calibri" w:eastAsia="Calibri" w:hAnsi="Calibri" w:cs="Calibri"/>
        </w:rPr>
        <w:t xml:space="preserve"> </w:t>
      </w:r>
    </w:p>
    <w:p w14:paraId="196BF838" w14:textId="42C4D842" w:rsidR="009F64C5" w:rsidRDefault="009F64C5" w:rsidP="009F64C5">
      <w:pPr>
        <w:spacing w:after="157"/>
        <w:ind w:left="89"/>
        <w:jc w:val="center"/>
        <w:rPr>
          <w:rFonts w:asciiTheme="minorBidi" w:hAnsiTheme="minorBidi"/>
          <w:sz w:val="36"/>
        </w:rPr>
      </w:pPr>
      <w:r w:rsidRPr="007F3292">
        <w:rPr>
          <w:rFonts w:asciiTheme="minorBidi" w:hAnsiTheme="minorBidi"/>
          <w:sz w:val="36"/>
        </w:rPr>
        <w:t xml:space="preserve"> DISSERTATION TITLE: </w:t>
      </w:r>
    </w:p>
    <w:p w14:paraId="69C0F1CC" w14:textId="37AC2B10" w:rsidR="00407507" w:rsidRPr="00CE7E69" w:rsidRDefault="00407507" w:rsidP="00CE7E69">
      <w:pPr>
        <w:spacing w:after="157" w:line="360" w:lineRule="auto"/>
        <w:ind w:left="89"/>
        <w:jc w:val="center"/>
        <w:rPr>
          <w:rFonts w:ascii="Arial" w:hAnsi="Arial" w:cs="Arial"/>
          <w:b/>
          <w:bCs/>
          <w:sz w:val="28"/>
          <w:szCs w:val="28"/>
        </w:rPr>
      </w:pPr>
      <w:r w:rsidRPr="00CE7E69">
        <w:rPr>
          <w:rFonts w:ascii="Arial" w:hAnsi="Arial" w:cs="Arial"/>
          <w:b/>
          <w:bCs/>
          <w:sz w:val="28"/>
          <w:szCs w:val="28"/>
        </w:rPr>
        <w:t>An Investigation on Digital Exclusion and Access to Public Health and Social Care Services among Older Adults (Aged 65+) in the UK: A Systematic Review</w:t>
      </w:r>
    </w:p>
    <w:p w14:paraId="5E1E2E05" w14:textId="77777777" w:rsidR="009F64C5" w:rsidRDefault="009F64C5">
      <w:pPr>
        <w:spacing w:after="42"/>
        <w:ind w:left="89"/>
        <w:jc w:val="center"/>
      </w:pPr>
      <w:r>
        <w:rPr>
          <w:sz w:val="36"/>
        </w:rPr>
        <w:t xml:space="preserve"> </w:t>
      </w:r>
    </w:p>
    <w:p w14:paraId="46D86011" w14:textId="77777777" w:rsidR="009F64C5" w:rsidRPr="007F3292" w:rsidRDefault="009F64C5">
      <w:pPr>
        <w:spacing w:after="157"/>
        <w:ind w:left="2367" w:right="2358"/>
        <w:jc w:val="center"/>
        <w:rPr>
          <w:rFonts w:asciiTheme="minorBidi" w:hAnsiTheme="minorBidi"/>
        </w:rPr>
      </w:pPr>
      <w:r w:rsidRPr="007F3292">
        <w:rPr>
          <w:rFonts w:asciiTheme="minorBidi" w:hAnsiTheme="minorBidi"/>
        </w:rPr>
        <w:t xml:space="preserve">by </w:t>
      </w:r>
    </w:p>
    <w:p w14:paraId="75EA3561"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350EB5D6" w14:textId="738485CE" w:rsidR="009F64C5" w:rsidRPr="005D04FC" w:rsidRDefault="00407507">
      <w:pPr>
        <w:spacing w:after="157"/>
        <w:ind w:left="2367" w:right="2359"/>
        <w:jc w:val="center"/>
        <w:rPr>
          <w:rFonts w:ascii="Arial" w:hAnsi="Arial" w:cs="Arial"/>
          <w:b/>
          <w:bCs/>
          <w:sz w:val="28"/>
          <w:szCs w:val="28"/>
        </w:rPr>
      </w:pPr>
      <w:r w:rsidRPr="005D04FC">
        <w:rPr>
          <w:rFonts w:ascii="Arial" w:hAnsi="Arial" w:cs="Arial"/>
          <w:b/>
          <w:bCs/>
          <w:sz w:val="28"/>
          <w:szCs w:val="28"/>
        </w:rPr>
        <w:t xml:space="preserve">ELENA DRAGHICI </w:t>
      </w:r>
      <w:r w:rsidR="009F64C5" w:rsidRPr="005D04FC">
        <w:rPr>
          <w:rFonts w:ascii="Arial" w:hAnsi="Arial" w:cs="Arial"/>
          <w:b/>
          <w:bCs/>
          <w:sz w:val="28"/>
          <w:szCs w:val="28"/>
        </w:rPr>
        <w:t xml:space="preserve"> </w:t>
      </w:r>
    </w:p>
    <w:p w14:paraId="1062A64A" w14:textId="77777777" w:rsidR="009F64C5" w:rsidRDefault="009F64C5">
      <w:pPr>
        <w:spacing w:after="158"/>
        <w:ind w:left="59"/>
        <w:jc w:val="center"/>
      </w:pPr>
      <w:r>
        <w:t xml:space="preserve"> </w:t>
      </w:r>
    </w:p>
    <w:p w14:paraId="33922CAA" w14:textId="77777777" w:rsidR="009F64C5" w:rsidRDefault="009F64C5">
      <w:pPr>
        <w:spacing w:after="156"/>
        <w:ind w:left="59"/>
        <w:jc w:val="center"/>
      </w:pPr>
      <w:r>
        <w:t xml:space="preserve"> </w:t>
      </w:r>
    </w:p>
    <w:p w14:paraId="09C8500D" w14:textId="77777777" w:rsidR="009F64C5" w:rsidRDefault="009F64C5">
      <w:pPr>
        <w:spacing w:after="158"/>
        <w:ind w:left="59"/>
        <w:jc w:val="center"/>
      </w:pPr>
      <w:r>
        <w:t xml:space="preserve"> </w:t>
      </w:r>
    </w:p>
    <w:p w14:paraId="64B3B17A" w14:textId="77777777" w:rsidR="009F64C5" w:rsidRDefault="009F64C5">
      <w:pPr>
        <w:spacing w:after="158"/>
        <w:ind w:left="59"/>
        <w:jc w:val="center"/>
      </w:pPr>
      <w:r>
        <w:t xml:space="preserve"> </w:t>
      </w:r>
    </w:p>
    <w:p w14:paraId="5CAC7C58" w14:textId="77777777" w:rsidR="009F64C5" w:rsidRPr="007F3292" w:rsidRDefault="009F64C5">
      <w:pPr>
        <w:spacing w:after="158"/>
        <w:ind w:left="59"/>
        <w:jc w:val="center"/>
        <w:rPr>
          <w:rFonts w:asciiTheme="minorBidi" w:hAnsiTheme="minorBidi"/>
        </w:rPr>
      </w:pPr>
      <w:r w:rsidRPr="007F3292">
        <w:rPr>
          <w:rFonts w:asciiTheme="minorBidi" w:hAnsiTheme="minorBidi"/>
        </w:rPr>
        <w:t xml:space="preserve"> </w:t>
      </w:r>
    </w:p>
    <w:p w14:paraId="75DE2693" w14:textId="052EA99D" w:rsidR="009F64C5" w:rsidRPr="007F3292" w:rsidRDefault="009F64C5" w:rsidP="005D04FC">
      <w:pPr>
        <w:spacing w:after="156" w:line="360" w:lineRule="auto"/>
        <w:ind w:left="59"/>
        <w:jc w:val="center"/>
        <w:rPr>
          <w:rFonts w:asciiTheme="minorBidi" w:hAnsiTheme="minorBidi"/>
          <w:sz w:val="24"/>
          <w:szCs w:val="24"/>
        </w:rPr>
      </w:pPr>
      <w:r w:rsidRPr="007F3292">
        <w:rPr>
          <w:rFonts w:asciiTheme="minorBidi" w:hAnsiTheme="minorBidi"/>
          <w:sz w:val="24"/>
          <w:szCs w:val="24"/>
        </w:rPr>
        <w:t xml:space="preserve">A Dissertation submitted in partial fulfilment of the requirements for the degree of </w:t>
      </w:r>
      <w:r w:rsidR="00407507" w:rsidRPr="007F3292">
        <w:rPr>
          <w:rFonts w:asciiTheme="minorBidi" w:hAnsiTheme="minorBidi"/>
          <w:sz w:val="24"/>
          <w:szCs w:val="24"/>
        </w:rPr>
        <w:t>Master of Science</w:t>
      </w:r>
      <w:r w:rsidRPr="007F3292">
        <w:rPr>
          <w:rFonts w:asciiTheme="minorBidi" w:hAnsiTheme="minorBidi"/>
          <w:sz w:val="24"/>
          <w:szCs w:val="24"/>
        </w:rPr>
        <w:t xml:space="preserve"> in Public Health and Social Care in Practice</w:t>
      </w:r>
    </w:p>
    <w:p w14:paraId="2678540A" w14:textId="77777777" w:rsidR="009F64C5" w:rsidRPr="007F3292" w:rsidRDefault="009F64C5" w:rsidP="009F64C5">
      <w:pPr>
        <w:spacing w:after="156"/>
        <w:ind w:left="59"/>
        <w:rPr>
          <w:rFonts w:asciiTheme="minorBidi" w:hAnsiTheme="minorBidi"/>
        </w:rPr>
      </w:pPr>
    </w:p>
    <w:p w14:paraId="6B1630CF" w14:textId="77777777" w:rsidR="009F64C5" w:rsidRPr="007F3292" w:rsidRDefault="009F64C5" w:rsidP="009F64C5">
      <w:pPr>
        <w:spacing w:after="169"/>
        <w:jc w:val="center"/>
        <w:rPr>
          <w:rFonts w:asciiTheme="minorBidi" w:hAnsiTheme="minorBidi"/>
          <w:b/>
          <w:bCs/>
        </w:rPr>
      </w:pPr>
    </w:p>
    <w:p w14:paraId="48468714" w14:textId="77777777" w:rsidR="009F64C5" w:rsidRPr="007F3292" w:rsidRDefault="009F64C5" w:rsidP="009F64C5">
      <w:pPr>
        <w:spacing w:after="169"/>
        <w:jc w:val="center"/>
        <w:rPr>
          <w:rFonts w:asciiTheme="minorBidi" w:hAnsiTheme="minorBidi"/>
          <w:b/>
          <w:bCs/>
        </w:rPr>
      </w:pPr>
    </w:p>
    <w:p w14:paraId="7C5AA9DE" w14:textId="3566044E" w:rsidR="009F64C5" w:rsidRPr="007F3292" w:rsidRDefault="34630932" w:rsidP="009F64C5">
      <w:pPr>
        <w:spacing w:after="169"/>
        <w:jc w:val="center"/>
        <w:rPr>
          <w:rFonts w:asciiTheme="minorBidi" w:hAnsiTheme="minorBidi"/>
          <w:b/>
          <w:bCs/>
          <w:sz w:val="24"/>
          <w:szCs w:val="24"/>
        </w:rPr>
      </w:pPr>
      <w:r w:rsidRPr="007F3292">
        <w:rPr>
          <w:rFonts w:asciiTheme="minorBidi" w:hAnsiTheme="minorBidi"/>
          <w:b/>
          <w:bCs/>
          <w:sz w:val="24"/>
          <w:szCs w:val="24"/>
        </w:rPr>
        <w:t>T</w:t>
      </w:r>
      <w:r w:rsidR="009F64C5" w:rsidRPr="007F3292">
        <w:rPr>
          <w:rFonts w:asciiTheme="minorBidi" w:hAnsiTheme="minorBidi"/>
          <w:b/>
          <w:bCs/>
          <w:sz w:val="24"/>
          <w:szCs w:val="24"/>
        </w:rPr>
        <w:t>he Institute of Inner</w:t>
      </w:r>
      <w:r w:rsidR="4EFAA9D8" w:rsidRPr="007F3292">
        <w:rPr>
          <w:rFonts w:asciiTheme="minorBidi" w:hAnsiTheme="minorBidi"/>
          <w:b/>
          <w:bCs/>
          <w:sz w:val="24"/>
          <w:szCs w:val="24"/>
        </w:rPr>
        <w:t>-</w:t>
      </w:r>
      <w:r w:rsidR="009F64C5" w:rsidRPr="007F3292">
        <w:rPr>
          <w:rFonts w:asciiTheme="minorBidi" w:hAnsiTheme="minorBidi"/>
          <w:b/>
          <w:bCs/>
          <w:sz w:val="24"/>
          <w:szCs w:val="24"/>
        </w:rPr>
        <w:t>City Learning</w:t>
      </w:r>
    </w:p>
    <w:p w14:paraId="0A089F1E" w14:textId="7EF44560" w:rsidR="009F64C5" w:rsidRPr="007F3292" w:rsidRDefault="009F64C5" w:rsidP="009F64C5">
      <w:pPr>
        <w:spacing w:after="169"/>
        <w:jc w:val="center"/>
        <w:rPr>
          <w:rFonts w:asciiTheme="minorBidi" w:hAnsiTheme="minorBidi"/>
          <w:b/>
          <w:bCs/>
          <w:sz w:val="24"/>
          <w:szCs w:val="24"/>
        </w:rPr>
      </w:pPr>
      <w:r w:rsidRPr="007F3292">
        <w:rPr>
          <w:rFonts w:asciiTheme="minorBidi" w:hAnsiTheme="minorBidi"/>
          <w:b/>
          <w:bCs/>
          <w:sz w:val="24"/>
          <w:szCs w:val="24"/>
        </w:rPr>
        <w:t>University of Wales Trinity Saint David – London Campus</w:t>
      </w:r>
    </w:p>
    <w:p w14:paraId="4C4866B4" w14:textId="77777777" w:rsidR="009F64C5" w:rsidRPr="007F3292" w:rsidRDefault="009F64C5">
      <w:pPr>
        <w:spacing w:after="157"/>
        <w:ind w:left="2367" w:right="2357"/>
        <w:jc w:val="center"/>
        <w:rPr>
          <w:rFonts w:asciiTheme="minorBidi" w:hAnsiTheme="minorBidi"/>
          <w:b/>
          <w:bCs/>
          <w:sz w:val="24"/>
          <w:szCs w:val="24"/>
        </w:rPr>
      </w:pPr>
    </w:p>
    <w:p w14:paraId="52A3D603" w14:textId="77777777" w:rsidR="009F64C5" w:rsidRPr="007F3292" w:rsidRDefault="009F64C5">
      <w:pPr>
        <w:spacing w:after="157"/>
        <w:ind w:left="2367" w:right="2357"/>
        <w:jc w:val="center"/>
        <w:rPr>
          <w:rFonts w:asciiTheme="minorBidi" w:hAnsiTheme="minorBidi"/>
          <w:b/>
          <w:bCs/>
          <w:sz w:val="24"/>
          <w:szCs w:val="24"/>
        </w:rPr>
      </w:pPr>
    </w:p>
    <w:p w14:paraId="53D8D0B6" w14:textId="77777777" w:rsidR="00F45118" w:rsidRDefault="00407507" w:rsidP="00F45118">
      <w:pPr>
        <w:spacing w:after="157"/>
        <w:ind w:left="2367" w:right="2357"/>
        <w:jc w:val="center"/>
        <w:rPr>
          <w:rFonts w:asciiTheme="minorBidi" w:hAnsiTheme="minorBidi"/>
          <w:b/>
          <w:bCs/>
          <w:sz w:val="24"/>
          <w:szCs w:val="24"/>
        </w:rPr>
      </w:pPr>
      <w:r>
        <w:rPr>
          <w:rFonts w:asciiTheme="minorBidi" w:hAnsiTheme="minorBidi"/>
          <w:b/>
          <w:bCs/>
          <w:sz w:val="24"/>
          <w:szCs w:val="24"/>
        </w:rPr>
        <w:lastRenderedPageBreak/>
        <w:t>September 2026</w:t>
      </w:r>
      <w:bookmarkStart w:id="0" w:name="_Toc240143253"/>
    </w:p>
    <w:p w14:paraId="07CA91E8" w14:textId="77777777" w:rsidR="00F45118" w:rsidRDefault="00F45118" w:rsidP="00F45118">
      <w:pPr>
        <w:spacing w:after="157"/>
        <w:ind w:left="2367" w:right="2357"/>
        <w:jc w:val="center"/>
        <w:rPr>
          <w:rFonts w:asciiTheme="minorBidi" w:hAnsiTheme="minorBidi"/>
          <w:b/>
          <w:bCs/>
          <w:sz w:val="24"/>
          <w:szCs w:val="24"/>
        </w:rPr>
      </w:pPr>
    </w:p>
    <w:p w14:paraId="013A249C" w14:textId="3FCBC829" w:rsidR="00113366" w:rsidRPr="00F45118" w:rsidRDefault="00113366" w:rsidP="00F45118">
      <w:pPr>
        <w:spacing w:after="157"/>
        <w:ind w:left="2367" w:right="2357"/>
        <w:jc w:val="center"/>
        <w:rPr>
          <w:rFonts w:asciiTheme="minorBidi" w:hAnsiTheme="minorBidi"/>
          <w:b/>
          <w:bCs/>
          <w:sz w:val="24"/>
          <w:szCs w:val="24"/>
        </w:rPr>
      </w:pPr>
      <w:r w:rsidRPr="00373EC4">
        <w:rPr>
          <w:rFonts w:ascii="Arial" w:hAnsi="Arial" w:cs="Arial"/>
          <w:b/>
          <w:sz w:val="28"/>
          <w:szCs w:val="28"/>
          <w:lang w:val="hr-HR"/>
        </w:rPr>
        <w:t>DECLARATION</w:t>
      </w:r>
      <w:bookmarkEnd w:id="0"/>
    </w:p>
    <w:p w14:paraId="2E9B29D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46A549CB" w14:textId="0442F554" w:rsidR="00113366" w:rsidRPr="00946751" w:rsidRDefault="00113366" w:rsidP="00532894">
      <w:pPr>
        <w:spacing w:after="200" w:line="360" w:lineRule="auto"/>
        <w:rPr>
          <w:rFonts w:ascii="Arial" w:eastAsia="Times New Roman" w:hAnsi="Arial" w:cs="Arial"/>
          <w:color w:val="000000" w:themeColor="text1"/>
          <w:sz w:val="24"/>
          <w:szCs w:val="24"/>
          <w:lang w:val="hr-HR"/>
        </w:rPr>
      </w:pPr>
      <w:r>
        <w:rPr>
          <w:noProof/>
        </w:rPr>
        <mc:AlternateContent>
          <mc:Choice Requires="wpi">
            <w:drawing>
              <wp:anchor distT="0" distB="0" distL="114300" distR="114300" simplePos="0" relativeHeight="251655168"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7F26E8C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Oirr3zfAAAADQEAAA8AAABkcnMvZG93bnJldi54&#10;bWxMj01PwzAMhu9I/IfISNy6ZF2ZSmk6ARIXbhQkrl6TtRWNU5p06/j1eCe4+ePR68flbnGDONop&#10;9J40rFcKhKXGm55aDR/vL0kOIkQkg4Mnq+FsA+yq66sSC+NP9GaPdWwFh1AoUEMX41hIGZrOOgwr&#10;P1ri3cFPDiO3UyvNhCcOd4NMldpKhz3xhQ5H+9zZ5quenYaacMiM7D5f+8N5efpRmMn5W+vbm+Xx&#10;AUS0S/yD4aLP6lCx097PZIIYNCSbNE+ZvVR3GQhGknW+4dGeYXW/BVmV8v8X1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V+0crbwBAABdBAAAEAAA&#10;AAAAAAAAAAAAAAAnBAAAZHJzL2luay9pbmsxLnhtbFBLAQItABQABgAIAAAAIQDoq6983wAAAA0B&#10;AAAPAAAAAAAAAAAAAAAAABEGAABkcnMvZG93bnJldi54bWxQSwECLQAUAAYACAAAACEAeRi8nb8A&#10;AAAhAQAAGQAAAAAAAAAAAAAAAAAdBwAAZHJzL19yZWxzL2Uyb0RvYy54bWwucmVsc1BLBQYAAAAA&#10;BgAGAHgBAAATCAAAAAA=&#10;">
                <v:imagedata r:id="rId12" o:title=""/>
                <o:lock v:ext="edit" rotation="t" verticies="t" shapetype="t"/>
              </v:shape>
            </w:pict>
          </mc:Fallback>
        </mc:AlternateContent>
      </w:r>
      <w:r>
        <w:rPr>
          <w:noProof/>
        </w:rPr>
        <mc:AlternateContent>
          <mc:Choice Requires="wpi">
            <w:drawing>
              <wp:anchor distT="0" distB="0" distL="114300" distR="114300" simplePos="0" relativeHeight="251657216"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1A6464AD" id="Ink 15" o:spid="_x0000_s1026" type="#_x0000_t75" style="position:absolute;margin-left:-164.1pt;margin-top:18.35pt;width:72.5pt;height:3.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">
                <v:imagedata r:id="rId14" o:title=""/>
                <o:lock v:ext="edit" rotation="t" verticies="t" shapetype="t"/>
              </v:shape>
            </w:pict>
          </mc:Fallback>
        </mc:AlternateContent>
      </w:r>
      <w:r>
        <w:rPr>
          <w:noProof/>
        </w:rPr>
        <mc:AlternateContent>
          <mc:Choice Requires="wpi">
            <w:drawing>
              <wp:anchor distT="0" distB="0" distL="114300" distR="114300" simplePos="0" relativeHeight="251659264"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1CE396C1" id="Ink 14" o:spid="_x0000_s1026" type="#_x0000_t75" style="position:absolute;margin-left:-164.1pt;margin-top:-16.9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EzLUAfeAAAADQEAAA8AAABkcnMvZG93bnJldi54&#10;bWxMj81OwzAQhO9IvIO1SNxS56dCUYhTARIXbgSkXrexG0fE6xA7bcrTsz3BbXfn0+xMvVvdKE5m&#10;DoMnBdkmBWGo83qgXsHnx2tSgggRSePoySi4mAC75vamxkr7M72bUxt7wSYUKlRgY5wqKUNnjcOw&#10;8ZMh1o5+dhh5nXupZzyzuRtlnqYP0uFA/MHiZF6s6b7axSloCcetlnb/Nhwv6/NPilu5fCt1f7c+&#10;PYKIZo1/MFzjc3RoONPBL6SDGBUkRV7mzF6ngkswkmRlwacDw1mWg2xq+b9F8w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">
                <v:imagedata r:id="rId12" o:title=""/>
                <o:lock v:ext="edit" rotation="t" verticies="t" shapetype="t"/>
              </v:shape>
            </w:pict>
          </mc:Fallback>
        </mc:AlternateContent>
      </w:r>
      <w:r>
        <w:rPr>
          <w:noProof/>
        </w:rPr>
        <mc:AlternateContent>
          <mc:Choice Requires="wpi">
            <w:drawing>
              <wp:anchor distT="0" distB="0" distL="114300" distR="114300" simplePos="0" relativeHeight="251661312"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6">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6C87583D" id="Ink 11" o:spid="_x0000_s1026" type="#_x0000_t75" style="position:absolute;margin-left:-188.65pt;margin-top:-17.05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">
                <v:imagedata r:id="rId12" o:title=""/>
                <o:lock v:ext="edit" rotation="t" verticies="t" shapetype="t"/>
              </v:shape>
            </w:pict>
          </mc:Fallback>
        </mc:AlternateContent>
      </w:r>
      <w:r w:rsidR="008A73BC" w:rsidRPr="008A73BC">
        <w:rPr>
          <w:rFonts w:ascii="Arial" w:eastAsia="Times New Roman" w:hAnsi="Arial" w:cs="Arial"/>
          <w:color w:val="000000" w:themeColor="text1"/>
          <w:sz w:val="24"/>
          <w:szCs w:val="24"/>
          <w:lang w:val="hr-HR"/>
        </w:rPr>
        <w:t xml:space="preserve">I, </w:t>
      </w:r>
      <w:r w:rsidR="00407507">
        <w:rPr>
          <w:rFonts w:ascii="Arial" w:eastAsia="Times New Roman" w:hAnsi="Arial" w:cs="Arial"/>
          <w:color w:val="000000" w:themeColor="text1"/>
          <w:sz w:val="24"/>
          <w:szCs w:val="24"/>
          <w:lang w:val="hr-HR"/>
        </w:rPr>
        <w:t>Elena Draghici,</w:t>
      </w:r>
      <w:r w:rsidR="008A73BC" w:rsidRPr="008A73BC">
        <w:rPr>
          <w:rFonts w:ascii="Arial" w:eastAsia="Times New Roman" w:hAnsi="Arial" w:cs="Arial"/>
          <w:color w:val="000000" w:themeColor="text1"/>
          <w:sz w:val="24"/>
          <w:szCs w:val="24"/>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946751">
        <w:rPr>
          <w:rFonts w:ascii="Arial" w:eastAsia="Times New Roman" w:hAnsi="Arial" w:cs="Arial"/>
          <w:color w:val="000000" w:themeColor="text1"/>
          <w:sz w:val="24"/>
          <w:szCs w:val="24"/>
          <w:lang w:val="hr-HR"/>
        </w:rPr>
        <w:t>.</w:t>
      </w:r>
    </w:p>
    <w:p w14:paraId="4E0CDA9F"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E2BD27D"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5236DF40" w14:textId="2CEC6413" w:rsidR="00113366" w:rsidRPr="00946751" w:rsidRDefault="00113366" w:rsidP="00113366">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Signed</w:t>
      </w:r>
      <w:r w:rsidR="00407507">
        <w:rPr>
          <w:rFonts w:ascii="Arial" w:eastAsia="Times New Roman" w:hAnsi="Arial" w:cs="Arial"/>
          <w:color w:val="000000" w:themeColor="text1"/>
          <w:sz w:val="24"/>
          <w:szCs w:val="24"/>
          <w:lang w:val="hr-HR"/>
        </w:rPr>
        <w:t>: Elena Draghici</w:t>
      </w:r>
    </w:p>
    <w:p w14:paraId="1E1F6BED" w14:textId="77777777" w:rsidR="00113366" w:rsidRPr="00946751" w:rsidRDefault="00113366" w:rsidP="00113366">
      <w:pPr>
        <w:spacing w:after="200" w:line="276" w:lineRule="auto"/>
        <w:rPr>
          <w:rFonts w:ascii="Arial" w:eastAsia="Times New Roman" w:hAnsi="Arial" w:cs="Arial"/>
          <w:color w:val="000000" w:themeColor="text1"/>
          <w:sz w:val="24"/>
          <w:szCs w:val="24"/>
          <w:lang w:val="hr-HR"/>
        </w:rPr>
      </w:pPr>
    </w:p>
    <w:p w14:paraId="367C1620" w14:textId="1B177FE8" w:rsidR="00113366" w:rsidRPr="00946751" w:rsidRDefault="00113366" w:rsidP="00113366">
      <w:pPr>
        <w:spacing w:after="200" w:line="276" w:lineRule="auto"/>
        <w:rPr>
          <w:rFonts w:ascii="Arial" w:eastAsia="Times New Roman" w:hAnsi="Arial" w:cs="Arial"/>
          <w:color w:val="000000" w:themeColor="text1"/>
          <w:sz w:val="24"/>
          <w:szCs w:val="24"/>
          <w:lang w:val="hr-HR"/>
        </w:rPr>
      </w:pPr>
      <w:r w:rsidRPr="00946751">
        <w:rPr>
          <w:rFonts w:ascii="Arial" w:eastAsia="Times New Roman" w:hAnsi="Arial" w:cs="Arial"/>
          <w:color w:val="000000" w:themeColor="text1"/>
          <w:sz w:val="24"/>
          <w:szCs w:val="24"/>
          <w:lang w:val="hr-HR"/>
        </w:rPr>
        <w:t>Dat</w:t>
      </w:r>
      <w:r>
        <w:rPr>
          <w:rFonts w:ascii="Arial" w:eastAsia="Times New Roman" w:hAnsi="Arial" w:cs="Arial"/>
          <w:color w:val="000000" w:themeColor="text1"/>
          <w:sz w:val="24"/>
          <w:szCs w:val="24"/>
          <w:lang w:val="hr-HR"/>
        </w:rPr>
        <w:t>e:</w:t>
      </w:r>
      <w:r w:rsidR="00407507">
        <w:rPr>
          <w:rFonts w:ascii="Arial" w:eastAsia="Times New Roman" w:hAnsi="Arial" w:cs="Arial"/>
          <w:color w:val="000000" w:themeColor="text1"/>
          <w:sz w:val="24"/>
          <w:szCs w:val="24"/>
          <w:lang w:val="hr-HR"/>
        </w:rPr>
        <w:t>13.09.2026</w:t>
      </w:r>
    </w:p>
    <w:p w14:paraId="2C702A82" w14:textId="77777777" w:rsidR="009F64C5" w:rsidRPr="009F64C5" w:rsidRDefault="009F64C5" w:rsidP="00113366">
      <w:pPr>
        <w:spacing w:after="157"/>
        <w:ind w:right="2357"/>
        <w:rPr>
          <w:b/>
          <w:bCs/>
        </w:rPr>
      </w:pPr>
    </w:p>
    <w:p w14:paraId="6AA9D53C" w14:textId="77777777" w:rsidR="009F64C5" w:rsidRDefault="009F64C5">
      <w:pPr>
        <w:spacing w:after="0"/>
      </w:pPr>
      <w:r>
        <w:rPr>
          <w:color w:val="0070C0"/>
        </w:rPr>
        <w:t xml:space="preserve"> </w:t>
      </w:r>
      <w:r>
        <w:rPr>
          <w:color w:val="0070C0"/>
        </w:rPr>
        <w:tab/>
        <w:t xml:space="preserve"> </w:t>
      </w:r>
    </w:p>
    <w:p w14:paraId="02286F32" w14:textId="77777777" w:rsidR="009F64C5" w:rsidRDefault="009F64C5">
      <w:pPr>
        <w:rPr>
          <w:rFonts w:ascii="Times New Roman" w:eastAsia="Times New Roman" w:hAnsi="Times New Roman" w:cs="Times New Roman"/>
          <w:b/>
          <w:color w:val="000000"/>
          <w:sz w:val="24"/>
        </w:rPr>
      </w:pPr>
      <w:r>
        <w:br w:type="page"/>
      </w:r>
    </w:p>
    <w:p w14:paraId="106641A1" w14:textId="7C1664DD" w:rsidR="009F64C5" w:rsidRPr="00373EC4" w:rsidRDefault="009F64C5" w:rsidP="00373EC4">
      <w:pPr>
        <w:pStyle w:val="Heading1"/>
        <w:rPr>
          <w:rFonts w:ascii="Arial" w:hAnsi="Arial" w:cs="Arial"/>
          <w:sz w:val="28"/>
          <w:szCs w:val="28"/>
        </w:rPr>
      </w:pPr>
      <w:bookmarkStart w:id="1" w:name="_Toc240143254"/>
      <w:r w:rsidRPr="00373EC4">
        <w:rPr>
          <w:rFonts w:ascii="Arial" w:hAnsi="Arial" w:cs="Arial"/>
          <w:sz w:val="28"/>
          <w:szCs w:val="28"/>
        </w:rPr>
        <w:lastRenderedPageBreak/>
        <w:t>Acknowledgements</w:t>
      </w:r>
      <w:bookmarkEnd w:id="1"/>
      <w:r w:rsidRPr="00373EC4">
        <w:rPr>
          <w:rFonts w:ascii="Arial" w:hAnsi="Arial" w:cs="Arial"/>
          <w:sz w:val="28"/>
          <w:szCs w:val="28"/>
        </w:rPr>
        <w:t xml:space="preserve"> </w:t>
      </w:r>
    </w:p>
    <w:p w14:paraId="3DF0875E" w14:textId="77777777" w:rsidR="009F64C5" w:rsidRPr="007F1C8A" w:rsidRDefault="009F64C5">
      <w:pPr>
        <w:spacing w:after="158"/>
        <w:rPr>
          <w:rFonts w:asciiTheme="minorBidi" w:hAnsiTheme="minorBidi"/>
        </w:rPr>
      </w:pPr>
      <w:r w:rsidRPr="007F1C8A">
        <w:rPr>
          <w:rFonts w:asciiTheme="minorBidi" w:hAnsiTheme="minorBidi"/>
        </w:rPr>
        <w:t xml:space="preserve"> </w:t>
      </w:r>
    </w:p>
    <w:p w14:paraId="5C8D461D" w14:textId="77777777" w:rsidR="00407507" w:rsidRDefault="00407507" w:rsidP="002B523E">
      <w:pPr>
        <w:pStyle w:val="Heading2"/>
        <w:ind w:left="12" w:right="5"/>
        <w:rPr>
          <w:rFonts w:asciiTheme="minorBidi" w:hAnsiTheme="minorBidi" w:cstheme="minorBidi"/>
        </w:rPr>
      </w:pPr>
    </w:p>
    <w:p w14:paraId="06FD2263" w14:textId="7DE94DD6" w:rsidR="00407507" w:rsidRPr="00FE7324" w:rsidRDefault="00407507" w:rsidP="00407507">
      <w:pPr>
        <w:pStyle w:val="pdq2pgselectionanchorcontainer"/>
        <w:spacing w:line="360" w:lineRule="auto"/>
        <w:rPr>
          <w:rFonts w:ascii="Arial" w:hAnsi="Arial" w:cs="Arial"/>
          <w:sz w:val="22"/>
          <w:szCs w:val="22"/>
        </w:rPr>
      </w:pPr>
      <w:r w:rsidRPr="00FE7324">
        <w:rPr>
          <w:rFonts w:ascii="Arial" w:hAnsi="Arial" w:cs="Arial"/>
          <w:sz w:val="22"/>
          <w:szCs w:val="22"/>
        </w:rPr>
        <w:t xml:space="preserve">I </w:t>
      </w:r>
      <w:r>
        <w:rPr>
          <w:rFonts w:ascii="Arial" w:hAnsi="Arial" w:cs="Arial"/>
          <w:sz w:val="22"/>
          <w:szCs w:val="22"/>
        </w:rPr>
        <w:t>want</w:t>
      </w:r>
      <w:r w:rsidRPr="00FE7324">
        <w:rPr>
          <w:rFonts w:ascii="Arial" w:hAnsi="Arial" w:cs="Arial"/>
          <w:sz w:val="22"/>
          <w:szCs w:val="22"/>
        </w:rPr>
        <w:t xml:space="preserve"> to begin by expressing my sincere gratitude to my supervisor, </w:t>
      </w:r>
      <w:r>
        <w:rPr>
          <w:rStyle w:val="Strong"/>
          <w:rFonts w:ascii="Arial" w:hAnsi="Arial" w:cs="Arial"/>
          <w:sz w:val="22"/>
          <w:szCs w:val="22"/>
        </w:rPr>
        <w:t>Muhammad Aliyu</w:t>
      </w:r>
      <w:r w:rsidRPr="00FE7324">
        <w:rPr>
          <w:rFonts w:ascii="Arial" w:hAnsi="Arial" w:cs="Arial"/>
          <w:sz w:val="22"/>
          <w:szCs w:val="22"/>
        </w:rPr>
        <w:t>, for their guidance, constructive feedback and support throughout the development of this dissertation. Their advice and encouragement helped me to improve my work, overcome challenges and remain focused throughout the research process.</w:t>
      </w:r>
    </w:p>
    <w:p w14:paraId="381CD6A1" w14:textId="4D1D2216" w:rsidR="00407507" w:rsidRPr="00FE7324" w:rsidRDefault="00407507" w:rsidP="00407507">
      <w:pPr>
        <w:pStyle w:val="NormalWeb"/>
        <w:spacing w:line="360" w:lineRule="auto"/>
        <w:rPr>
          <w:rFonts w:ascii="Arial" w:hAnsi="Arial" w:cs="Arial"/>
          <w:sz w:val="22"/>
          <w:szCs w:val="22"/>
        </w:rPr>
      </w:pPr>
      <w:r w:rsidRPr="00FE7324">
        <w:rPr>
          <w:rFonts w:ascii="Arial" w:hAnsi="Arial" w:cs="Arial"/>
          <w:sz w:val="22"/>
          <w:szCs w:val="22"/>
        </w:rPr>
        <w:t>I would also like to thank all the lecturers and academic staff who have supported me throughout my studies. The knowledge, guidance</w:t>
      </w:r>
      <w:r>
        <w:rPr>
          <w:rFonts w:ascii="Arial" w:hAnsi="Arial" w:cs="Arial"/>
          <w:sz w:val="22"/>
          <w:szCs w:val="22"/>
        </w:rPr>
        <w:t xml:space="preserve">, and experiences I have gained during this course have greatly contributed to my academic development and </w:t>
      </w:r>
      <w:r w:rsidRPr="00FE7324">
        <w:rPr>
          <w:rFonts w:ascii="Arial" w:hAnsi="Arial" w:cs="Arial"/>
          <w:sz w:val="22"/>
          <w:szCs w:val="22"/>
        </w:rPr>
        <w:t>helped me reach this important stage of my journey.</w:t>
      </w:r>
    </w:p>
    <w:p w14:paraId="4562ADD6" w14:textId="77777777" w:rsidR="00407507" w:rsidRPr="00FE7324" w:rsidRDefault="00407507" w:rsidP="00407507">
      <w:pPr>
        <w:pStyle w:val="NormalWeb"/>
        <w:spacing w:line="360" w:lineRule="auto"/>
        <w:rPr>
          <w:rFonts w:ascii="Arial" w:hAnsi="Arial" w:cs="Arial"/>
          <w:sz w:val="22"/>
          <w:szCs w:val="22"/>
        </w:rPr>
      </w:pPr>
      <w:r w:rsidRPr="00FE7324">
        <w:rPr>
          <w:rFonts w:ascii="Arial" w:hAnsi="Arial" w:cs="Arial"/>
          <w:sz w:val="22"/>
          <w:szCs w:val="22"/>
        </w:rPr>
        <w:t>Most importantly, I would like to express my deepest gratitude to my family. Their love, patience, understanding and constant encouragement have been my greatest source of strength throughout this journey. There were many demanding moments when balancing my studies with everyday life was not easy, and their support gave me the motivation to continue even when the process felt challenging.</w:t>
      </w:r>
    </w:p>
    <w:p w14:paraId="75B3D24A" w14:textId="77777777" w:rsidR="00407507" w:rsidRPr="00FE7324" w:rsidRDefault="00407507" w:rsidP="00407507">
      <w:pPr>
        <w:pStyle w:val="NormalWeb"/>
        <w:spacing w:line="360" w:lineRule="auto"/>
        <w:rPr>
          <w:rFonts w:ascii="Arial" w:hAnsi="Arial" w:cs="Arial"/>
          <w:sz w:val="22"/>
          <w:szCs w:val="22"/>
        </w:rPr>
      </w:pPr>
      <w:r w:rsidRPr="00FE7324">
        <w:rPr>
          <w:rFonts w:ascii="Arial" w:hAnsi="Arial" w:cs="Arial"/>
          <w:sz w:val="22"/>
          <w:szCs w:val="22"/>
        </w:rPr>
        <w:t>To those closest to me who listened to me, encouraged me, believed in me and reminded me why I started this journey, I am more grateful than words can fully express. This achievement is very personal to me, but I recognise that I did not reach this point entirely on my own.</w:t>
      </w:r>
    </w:p>
    <w:p w14:paraId="0E976223" w14:textId="77777777" w:rsidR="00407507" w:rsidRPr="00FE7324" w:rsidRDefault="00407507" w:rsidP="00407507">
      <w:pPr>
        <w:pStyle w:val="NormalWeb"/>
        <w:spacing w:line="360" w:lineRule="auto"/>
        <w:rPr>
          <w:rFonts w:ascii="Arial" w:hAnsi="Arial" w:cs="Arial"/>
          <w:sz w:val="22"/>
          <w:szCs w:val="22"/>
        </w:rPr>
      </w:pPr>
      <w:r w:rsidRPr="00FE7324">
        <w:rPr>
          <w:rFonts w:ascii="Arial" w:hAnsi="Arial" w:cs="Arial"/>
          <w:sz w:val="22"/>
          <w:szCs w:val="22"/>
        </w:rPr>
        <w:t>Finally, I would like to thank everyone who supported me, directly or indirectly, throughout my studies. Completing this dissertation represents much more to me than the completion of an academic project. It represents determination, personal growth and an important milestone in my life. I am sincerely grateful to everyone who has been part of this journey.</w:t>
      </w:r>
    </w:p>
    <w:p w14:paraId="31A4FA6D" w14:textId="77777777" w:rsidR="00407507" w:rsidRDefault="00407507" w:rsidP="002B523E">
      <w:pPr>
        <w:pStyle w:val="Heading2"/>
        <w:ind w:left="12" w:right="5"/>
        <w:rPr>
          <w:rFonts w:asciiTheme="minorBidi" w:hAnsiTheme="minorBidi" w:cstheme="minorBidi"/>
        </w:rPr>
      </w:pPr>
    </w:p>
    <w:p w14:paraId="12B5A670" w14:textId="77777777" w:rsidR="00407507" w:rsidRDefault="00407507" w:rsidP="002B523E">
      <w:pPr>
        <w:pStyle w:val="Heading2"/>
        <w:ind w:left="12" w:right="5"/>
        <w:rPr>
          <w:rFonts w:asciiTheme="minorBidi" w:hAnsiTheme="minorBidi" w:cstheme="minorBidi"/>
        </w:rPr>
      </w:pPr>
    </w:p>
    <w:p w14:paraId="6FB2AEC0" w14:textId="77777777" w:rsidR="00407507" w:rsidRDefault="00407507" w:rsidP="00407507"/>
    <w:p w14:paraId="1B821B38" w14:textId="77777777" w:rsidR="00407507" w:rsidRDefault="00407507" w:rsidP="00407507"/>
    <w:p w14:paraId="614161D8" w14:textId="77777777" w:rsidR="00407507" w:rsidRDefault="00407507" w:rsidP="00407507"/>
    <w:p w14:paraId="34576060" w14:textId="77777777" w:rsidR="00407507" w:rsidRDefault="00407507" w:rsidP="00407507"/>
    <w:p w14:paraId="39108E6C" w14:textId="77777777" w:rsidR="00407507" w:rsidRPr="00407507" w:rsidRDefault="00407507" w:rsidP="00407507"/>
    <w:p w14:paraId="563C12D9" w14:textId="2127E62A" w:rsidR="009F64C5" w:rsidRPr="00373EC4" w:rsidRDefault="009F64C5" w:rsidP="00373EC4">
      <w:pPr>
        <w:pStyle w:val="Heading1"/>
        <w:rPr>
          <w:rFonts w:ascii="Arial" w:hAnsi="Arial" w:cs="Arial"/>
          <w:sz w:val="28"/>
          <w:szCs w:val="28"/>
        </w:rPr>
      </w:pPr>
      <w:bookmarkStart w:id="2" w:name="_Toc240143255"/>
      <w:r w:rsidRPr="00373EC4">
        <w:rPr>
          <w:rFonts w:ascii="Arial" w:hAnsi="Arial" w:cs="Arial"/>
          <w:sz w:val="28"/>
          <w:szCs w:val="28"/>
        </w:rPr>
        <w:lastRenderedPageBreak/>
        <w:t>Abstract</w:t>
      </w:r>
      <w:bookmarkEnd w:id="2"/>
    </w:p>
    <w:p w14:paraId="3315E435" w14:textId="77777777" w:rsidR="00407507" w:rsidRPr="00407507" w:rsidRDefault="009F64C5" w:rsidP="00407507">
      <w:pPr>
        <w:spacing w:before="100" w:beforeAutospacing="1" w:after="100" w:afterAutospacing="1" w:line="360" w:lineRule="auto"/>
        <w:jc w:val="both"/>
        <w:rPr>
          <w:rFonts w:ascii="Arial" w:eastAsia="Times New Roman" w:hAnsi="Arial" w:cs="Arial"/>
          <w:kern w:val="0"/>
          <w:lang w:eastAsia="en-GB"/>
          <w14:ligatures w14:val="none"/>
        </w:rPr>
      </w:pPr>
      <w:r w:rsidRPr="007F1C8A">
        <w:rPr>
          <w:rFonts w:asciiTheme="minorBidi" w:hAnsiTheme="minorBidi"/>
        </w:rPr>
        <w:t xml:space="preserve"> </w:t>
      </w:r>
      <w:r w:rsidR="00407507" w:rsidRPr="00407507">
        <w:rPr>
          <w:rFonts w:ascii="Arial" w:eastAsia="Times New Roman" w:hAnsi="Arial" w:cs="Arial"/>
          <w:kern w:val="0"/>
          <w:lang w:eastAsia="en-GB"/>
          <w14:ligatures w14:val="none"/>
        </w:rPr>
        <w:t>The increasing digitalisation of health and social care services in the United Kingdom has created new opportunities for service delivery. Still, it has also raised concerns about equitable access for older adults. This dissertation aimed to explore digital exclusion and its influence on access to public health and social care services among adults aged 65 years and over in the UK. Attention was given to the barriers and facilitators affecting digital engagement and the wider factors influencing older adults' experiences of digitally delivered services.</w:t>
      </w:r>
    </w:p>
    <w:p w14:paraId="69E0A0F7" w14:textId="77777777" w:rsidR="00407507" w:rsidRPr="00407507" w:rsidRDefault="00407507" w:rsidP="00407507">
      <w:pPr>
        <w:spacing w:before="100" w:beforeAutospacing="1" w:after="100" w:afterAutospacing="1" w:line="360" w:lineRule="auto"/>
        <w:jc w:val="both"/>
        <w:rPr>
          <w:rFonts w:ascii="Arial" w:eastAsia="Times New Roman" w:hAnsi="Arial" w:cs="Arial"/>
          <w:kern w:val="0"/>
          <w:lang w:eastAsia="en-GB"/>
          <w14:ligatures w14:val="none"/>
        </w:rPr>
      </w:pPr>
      <w:r w:rsidRPr="00407507">
        <w:rPr>
          <w:rFonts w:ascii="Arial" w:eastAsia="Times New Roman" w:hAnsi="Arial" w:cs="Arial"/>
          <w:kern w:val="0"/>
          <w:lang w:eastAsia="en-GB"/>
          <w14:ligatures w14:val="none"/>
        </w:rPr>
        <w:t>A qualitative systematic review was conducted to identify and synthesise relevant evidence. Studies were identified using a structured search strategy and predefined inclusion and exclusion criteria. The selection process was reported using the PRISMA framework, and the methodological quality of included studies was assessed using the CASP qualitative checklist. Data were systematically extracted from 11 included studies and synthesised thematically.</w:t>
      </w:r>
    </w:p>
    <w:p w14:paraId="698C0A28" w14:textId="77777777" w:rsidR="00407507" w:rsidRPr="00407507" w:rsidRDefault="00407507" w:rsidP="00407507">
      <w:pPr>
        <w:spacing w:before="100" w:beforeAutospacing="1" w:after="100" w:afterAutospacing="1" w:line="360" w:lineRule="auto"/>
        <w:jc w:val="both"/>
        <w:rPr>
          <w:rFonts w:ascii="Arial" w:eastAsia="Times New Roman" w:hAnsi="Arial" w:cs="Arial"/>
          <w:kern w:val="0"/>
          <w:lang w:eastAsia="en-GB"/>
          <w14:ligatures w14:val="none"/>
        </w:rPr>
      </w:pPr>
      <w:r w:rsidRPr="00407507">
        <w:rPr>
          <w:rFonts w:ascii="Arial" w:eastAsia="Times New Roman" w:hAnsi="Arial" w:cs="Arial"/>
          <w:kern w:val="0"/>
          <w:lang w:eastAsia="en-GB"/>
          <w14:ligatures w14:val="none"/>
        </w:rPr>
        <w:t>Four interconnected areas emerged from the findings: digital capability and confidence; social and structural inequalities in digital access; human support and preferences for service choice; and service design, trust and usability. Digital exclusion was influenced not only by age but also by socioeconomic disadvantage, language, digital skills, confidence, access to support and individual preferences. The findings also demonstrated considerable variation among older adults, with digital services providing benefits for some while creating additional barriers for others.</w:t>
      </w:r>
    </w:p>
    <w:p w14:paraId="3C6E85FC" w14:textId="77777777" w:rsidR="00407507" w:rsidRPr="00407507" w:rsidRDefault="00407507" w:rsidP="00407507">
      <w:pPr>
        <w:spacing w:before="100" w:beforeAutospacing="1" w:after="100" w:afterAutospacing="1" w:line="360" w:lineRule="auto"/>
        <w:jc w:val="both"/>
        <w:rPr>
          <w:rFonts w:ascii="Arial" w:eastAsia="Times New Roman" w:hAnsi="Arial" w:cs="Arial"/>
          <w:kern w:val="0"/>
          <w:lang w:eastAsia="en-GB"/>
          <w14:ligatures w14:val="none"/>
        </w:rPr>
      </w:pPr>
      <w:r w:rsidRPr="00407507">
        <w:rPr>
          <w:rFonts w:ascii="Arial" w:eastAsia="Times New Roman" w:hAnsi="Arial" w:cs="Arial"/>
          <w:kern w:val="0"/>
          <w:lang w:eastAsia="en-GB"/>
          <w14:ligatures w14:val="none"/>
        </w:rPr>
        <w:t>The review concludes that equitable digital transformation requires more than providing access to technology. Health and social care services should recognise the diverse needs and capabilities of older adults, provide appropriate digital support and maintain meaningful non-digital alternatives. Future research should further examine diverse and disadvantaged older populations and evaluate inclusive and hybrid models of service delivery.</w:t>
      </w:r>
    </w:p>
    <w:p w14:paraId="7716EC23" w14:textId="77777777" w:rsidR="00407507" w:rsidRPr="00407507" w:rsidRDefault="00407507" w:rsidP="00407507">
      <w:pPr>
        <w:rPr>
          <w:rFonts w:eastAsiaTheme="minorHAnsi"/>
          <w:lang w:eastAsia="en-US"/>
        </w:rPr>
      </w:pPr>
    </w:p>
    <w:p w14:paraId="59ABEE5D" w14:textId="456DE184" w:rsidR="009F64C5" w:rsidRDefault="009F64C5">
      <w:pPr>
        <w:spacing w:after="158"/>
        <w:rPr>
          <w:rFonts w:asciiTheme="minorBidi" w:hAnsiTheme="minorBidi"/>
        </w:rPr>
      </w:pPr>
    </w:p>
    <w:p w14:paraId="5F874DC0" w14:textId="77777777" w:rsidR="00A23649" w:rsidRDefault="00A23649">
      <w:pPr>
        <w:spacing w:after="158"/>
        <w:rPr>
          <w:rFonts w:asciiTheme="minorBidi" w:hAnsiTheme="minorBidi"/>
        </w:rPr>
      </w:pPr>
    </w:p>
    <w:p w14:paraId="000A5DDC" w14:textId="77777777" w:rsidR="00A23649" w:rsidRDefault="00A23649">
      <w:pPr>
        <w:spacing w:after="158"/>
        <w:rPr>
          <w:rFonts w:asciiTheme="minorBidi" w:hAnsiTheme="minorBidi"/>
        </w:rPr>
      </w:pPr>
    </w:p>
    <w:p w14:paraId="50C7E26C" w14:textId="77777777" w:rsidR="00A23649" w:rsidRDefault="00A23649">
      <w:pPr>
        <w:spacing w:after="158"/>
        <w:rPr>
          <w:rFonts w:asciiTheme="minorBidi" w:hAnsiTheme="minorBidi"/>
        </w:rPr>
      </w:pPr>
    </w:p>
    <w:p w14:paraId="60B0E217" w14:textId="77777777" w:rsidR="00A23649" w:rsidRDefault="00A23649">
      <w:pPr>
        <w:spacing w:after="158"/>
        <w:rPr>
          <w:rFonts w:asciiTheme="minorBidi" w:hAnsiTheme="minorBidi"/>
        </w:rPr>
      </w:pPr>
    </w:p>
    <w:p w14:paraId="5987604C" w14:textId="77777777" w:rsidR="00373EC4" w:rsidRPr="007F1C8A" w:rsidRDefault="00373EC4">
      <w:pPr>
        <w:spacing w:after="158"/>
        <w:rPr>
          <w:rFonts w:asciiTheme="minorBidi" w:hAnsiTheme="minorBidi"/>
        </w:rPr>
      </w:pPr>
    </w:p>
    <w:p w14:paraId="7CDD196C" w14:textId="77777777" w:rsidR="009F64C5" w:rsidRPr="007F1C8A" w:rsidRDefault="009F64C5" w:rsidP="000555DE">
      <w:pPr>
        <w:spacing w:after="14" w:line="249" w:lineRule="auto"/>
        <w:ind w:left="705"/>
        <w:rPr>
          <w:rFonts w:asciiTheme="minorBidi" w:hAnsiTheme="minorBidi"/>
        </w:rPr>
      </w:pPr>
    </w:p>
    <w:sdt>
      <w:sdtPr>
        <w:rPr>
          <w:rFonts w:asciiTheme="minorBidi" w:hAnsiTheme="minorBidi"/>
          <w:b/>
        </w:rPr>
        <w:id w:val="1513028152"/>
        <w:docPartObj>
          <w:docPartGallery w:val="Table of Contents"/>
        </w:docPartObj>
      </w:sdtPr>
      <w:sdtEndPr>
        <w:rPr>
          <w:b w:val="0"/>
        </w:rPr>
      </w:sdtEndPr>
      <w:sdtContent>
        <w:p w14:paraId="564DCCA8" w14:textId="7DBA4D53" w:rsidR="009F64C5" w:rsidRPr="007F1C8A" w:rsidRDefault="009F64C5">
          <w:pPr>
            <w:spacing w:after="158"/>
            <w:ind w:left="59"/>
            <w:jc w:val="center"/>
            <w:rPr>
              <w:rFonts w:asciiTheme="minorBidi" w:hAnsiTheme="minorBidi"/>
            </w:rPr>
          </w:pPr>
          <w:r w:rsidRPr="007F1C8A">
            <w:rPr>
              <w:rFonts w:asciiTheme="minorBidi" w:eastAsia="Times New Roman" w:hAnsiTheme="minorBidi"/>
              <w:b/>
            </w:rPr>
            <w:t xml:space="preserve"> </w:t>
          </w:r>
        </w:p>
        <w:bookmarkStart w:id="3" w:name="_Toc240143256" w:displacedByCustomXml="next"/>
        <w:sdt>
          <w:sdtPr>
            <w:id w:val="-1744017809"/>
            <w:docPartObj>
              <w:docPartGallery w:val="Table of Contents"/>
              <w:docPartUnique/>
            </w:docPartObj>
          </w:sdtPr>
          <w:sdtEndPr>
            <w:rPr>
              <w:rFonts w:asciiTheme="minorHAnsi" w:eastAsiaTheme="minorEastAsia" w:hAnsiTheme="minorHAnsi" w:cstheme="minorBidi"/>
              <w:bCs/>
              <w:color w:val="auto"/>
              <w:sz w:val="22"/>
            </w:rPr>
          </w:sdtEndPr>
          <w:sdtContent>
            <w:p w14:paraId="0A8CEAA2" w14:textId="4C21D55C" w:rsidR="00A23649" w:rsidRPr="00A23649" w:rsidRDefault="00A23649" w:rsidP="00A23649">
              <w:pPr>
                <w:pStyle w:val="Heading1"/>
                <w:rPr>
                  <w:rFonts w:ascii="Arial" w:hAnsi="Arial" w:cs="Arial"/>
                </w:rPr>
              </w:pPr>
              <w:r w:rsidRPr="00A23649">
                <w:rPr>
                  <w:rFonts w:ascii="Arial" w:hAnsi="Arial" w:cs="Arial"/>
                </w:rPr>
                <w:t>Table of Contents</w:t>
              </w:r>
              <w:bookmarkEnd w:id="3"/>
            </w:p>
            <w:p w14:paraId="390C6816" w14:textId="597AE370" w:rsidR="00AA6C99" w:rsidRDefault="00A23649">
              <w:pPr>
                <w:pStyle w:val="TOC1"/>
                <w:tabs>
                  <w:tab w:val="right" w:leader="dot" w:pos="9016"/>
                </w:tabs>
                <w:rPr>
                  <w:rFonts w:asciiTheme="minorHAnsi" w:eastAsiaTheme="minorEastAsia" w:hAnsiTheme="minorHAnsi" w:cstheme="minorBidi"/>
                  <w:noProof/>
                  <w:color w:val="auto"/>
                  <w:szCs w:val="24"/>
                  <w:lang w:eastAsia="en-GB"/>
                </w:rPr>
              </w:pPr>
              <w:r>
                <w:fldChar w:fldCharType="begin"/>
              </w:r>
              <w:r>
                <w:instrText xml:space="preserve"> TOC \o "1-3" \h \z \u </w:instrText>
              </w:r>
              <w:r>
                <w:fldChar w:fldCharType="separate"/>
              </w:r>
              <w:hyperlink w:anchor="_Toc240143253" w:history="1">
                <w:r w:rsidR="00AA6C99" w:rsidRPr="003C7F18">
                  <w:rPr>
                    <w:rStyle w:val="Hyperlink"/>
                    <w:rFonts w:ascii="Arial" w:hAnsi="Arial" w:cs="Arial"/>
                    <w:noProof/>
                    <w:lang w:val="hr-HR"/>
                  </w:rPr>
                  <w:t>DECLARATION</w:t>
                </w:r>
                <w:r w:rsidR="00AA6C99">
                  <w:rPr>
                    <w:noProof/>
                    <w:webHidden/>
                  </w:rPr>
                  <w:tab/>
                </w:r>
                <w:r w:rsidR="00AA6C99">
                  <w:rPr>
                    <w:noProof/>
                    <w:webHidden/>
                  </w:rPr>
                  <w:fldChar w:fldCharType="begin"/>
                </w:r>
                <w:r w:rsidR="00AA6C99">
                  <w:rPr>
                    <w:noProof/>
                    <w:webHidden/>
                  </w:rPr>
                  <w:instrText xml:space="preserve"> PAGEREF _Toc240143253 \h </w:instrText>
                </w:r>
                <w:r w:rsidR="00AA6C99">
                  <w:rPr>
                    <w:noProof/>
                    <w:webHidden/>
                  </w:rPr>
                </w:r>
                <w:r w:rsidR="00AA6C99">
                  <w:rPr>
                    <w:noProof/>
                    <w:webHidden/>
                  </w:rPr>
                  <w:fldChar w:fldCharType="separate"/>
                </w:r>
                <w:r w:rsidR="00AA6C99">
                  <w:rPr>
                    <w:noProof/>
                    <w:webHidden/>
                  </w:rPr>
                  <w:t>2</w:t>
                </w:r>
                <w:r w:rsidR="00AA6C99">
                  <w:rPr>
                    <w:noProof/>
                    <w:webHidden/>
                  </w:rPr>
                  <w:fldChar w:fldCharType="end"/>
                </w:r>
              </w:hyperlink>
            </w:p>
            <w:p w14:paraId="2C01E42B" w14:textId="32ED22C0"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4" w:history="1">
                <w:r w:rsidRPr="003C7F18">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_Toc240143254 \h </w:instrText>
                </w:r>
                <w:r>
                  <w:rPr>
                    <w:noProof/>
                    <w:webHidden/>
                  </w:rPr>
                </w:r>
                <w:r>
                  <w:rPr>
                    <w:noProof/>
                    <w:webHidden/>
                  </w:rPr>
                  <w:fldChar w:fldCharType="separate"/>
                </w:r>
                <w:r>
                  <w:rPr>
                    <w:noProof/>
                    <w:webHidden/>
                  </w:rPr>
                  <w:t>3</w:t>
                </w:r>
                <w:r>
                  <w:rPr>
                    <w:noProof/>
                    <w:webHidden/>
                  </w:rPr>
                  <w:fldChar w:fldCharType="end"/>
                </w:r>
              </w:hyperlink>
            </w:p>
            <w:p w14:paraId="5F9B06BB" w14:textId="1245B19E"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5" w:history="1">
                <w:r w:rsidRPr="003C7F18">
                  <w:rPr>
                    <w:rStyle w:val="Hyperlink"/>
                    <w:rFonts w:ascii="Arial" w:hAnsi="Arial" w:cs="Arial"/>
                    <w:noProof/>
                  </w:rPr>
                  <w:t>Abstract</w:t>
                </w:r>
                <w:r>
                  <w:rPr>
                    <w:noProof/>
                    <w:webHidden/>
                  </w:rPr>
                  <w:tab/>
                </w:r>
                <w:r>
                  <w:rPr>
                    <w:noProof/>
                    <w:webHidden/>
                  </w:rPr>
                  <w:fldChar w:fldCharType="begin"/>
                </w:r>
                <w:r>
                  <w:rPr>
                    <w:noProof/>
                    <w:webHidden/>
                  </w:rPr>
                  <w:instrText xml:space="preserve"> PAGEREF _Toc240143255 \h </w:instrText>
                </w:r>
                <w:r>
                  <w:rPr>
                    <w:noProof/>
                    <w:webHidden/>
                  </w:rPr>
                </w:r>
                <w:r>
                  <w:rPr>
                    <w:noProof/>
                    <w:webHidden/>
                  </w:rPr>
                  <w:fldChar w:fldCharType="separate"/>
                </w:r>
                <w:r>
                  <w:rPr>
                    <w:noProof/>
                    <w:webHidden/>
                  </w:rPr>
                  <w:t>4</w:t>
                </w:r>
                <w:r>
                  <w:rPr>
                    <w:noProof/>
                    <w:webHidden/>
                  </w:rPr>
                  <w:fldChar w:fldCharType="end"/>
                </w:r>
              </w:hyperlink>
            </w:p>
            <w:p w14:paraId="595E2E37" w14:textId="3B26A3BC"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6" w:history="1">
                <w:r w:rsidRPr="003C7F18">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_Toc240143256 \h </w:instrText>
                </w:r>
                <w:r>
                  <w:rPr>
                    <w:noProof/>
                    <w:webHidden/>
                  </w:rPr>
                </w:r>
                <w:r>
                  <w:rPr>
                    <w:noProof/>
                    <w:webHidden/>
                  </w:rPr>
                  <w:fldChar w:fldCharType="separate"/>
                </w:r>
                <w:r>
                  <w:rPr>
                    <w:noProof/>
                    <w:webHidden/>
                  </w:rPr>
                  <w:t>5</w:t>
                </w:r>
                <w:r>
                  <w:rPr>
                    <w:noProof/>
                    <w:webHidden/>
                  </w:rPr>
                  <w:fldChar w:fldCharType="end"/>
                </w:r>
              </w:hyperlink>
            </w:p>
            <w:p w14:paraId="0D1FDE9B" w14:textId="23598719"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7" w:history="1">
                <w:r w:rsidRPr="003C7F18">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_Toc240143257 \h </w:instrText>
                </w:r>
                <w:r>
                  <w:rPr>
                    <w:noProof/>
                    <w:webHidden/>
                  </w:rPr>
                </w:r>
                <w:r>
                  <w:rPr>
                    <w:noProof/>
                    <w:webHidden/>
                  </w:rPr>
                  <w:fldChar w:fldCharType="separate"/>
                </w:r>
                <w:r>
                  <w:rPr>
                    <w:noProof/>
                    <w:webHidden/>
                  </w:rPr>
                  <w:t>8</w:t>
                </w:r>
                <w:r>
                  <w:rPr>
                    <w:noProof/>
                    <w:webHidden/>
                  </w:rPr>
                  <w:fldChar w:fldCharType="end"/>
                </w:r>
              </w:hyperlink>
            </w:p>
            <w:p w14:paraId="1AABA5FF" w14:textId="76258FCA"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8" w:history="1">
                <w:r w:rsidRPr="003C7F18">
                  <w:rPr>
                    <w:rStyle w:val="Hyperlink"/>
                    <w:rFonts w:ascii="Arial" w:hAnsi="Arial" w:cs="Arial"/>
                    <w:noProof/>
                  </w:rPr>
                  <w:t>List of abbreviations</w:t>
                </w:r>
                <w:r>
                  <w:rPr>
                    <w:noProof/>
                    <w:webHidden/>
                  </w:rPr>
                  <w:tab/>
                </w:r>
                <w:r>
                  <w:rPr>
                    <w:noProof/>
                    <w:webHidden/>
                  </w:rPr>
                  <w:fldChar w:fldCharType="begin"/>
                </w:r>
                <w:r>
                  <w:rPr>
                    <w:noProof/>
                    <w:webHidden/>
                  </w:rPr>
                  <w:instrText xml:space="preserve"> PAGEREF _Toc240143258 \h </w:instrText>
                </w:r>
                <w:r>
                  <w:rPr>
                    <w:noProof/>
                    <w:webHidden/>
                  </w:rPr>
                </w:r>
                <w:r>
                  <w:rPr>
                    <w:noProof/>
                    <w:webHidden/>
                  </w:rPr>
                  <w:fldChar w:fldCharType="separate"/>
                </w:r>
                <w:r>
                  <w:rPr>
                    <w:noProof/>
                    <w:webHidden/>
                  </w:rPr>
                  <w:t>9</w:t>
                </w:r>
                <w:r>
                  <w:rPr>
                    <w:noProof/>
                    <w:webHidden/>
                  </w:rPr>
                  <w:fldChar w:fldCharType="end"/>
                </w:r>
              </w:hyperlink>
            </w:p>
            <w:p w14:paraId="460BD844" w14:textId="11808E67"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59" w:history="1">
                <w:r w:rsidRPr="003C7F18">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_Toc240143259 \h </w:instrText>
                </w:r>
                <w:r>
                  <w:rPr>
                    <w:noProof/>
                    <w:webHidden/>
                  </w:rPr>
                </w:r>
                <w:r>
                  <w:rPr>
                    <w:noProof/>
                    <w:webHidden/>
                  </w:rPr>
                  <w:fldChar w:fldCharType="separate"/>
                </w:r>
                <w:r>
                  <w:rPr>
                    <w:noProof/>
                    <w:webHidden/>
                  </w:rPr>
                  <w:t>10</w:t>
                </w:r>
                <w:r>
                  <w:rPr>
                    <w:noProof/>
                    <w:webHidden/>
                  </w:rPr>
                  <w:fldChar w:fldCharType="end"/>
                </w:r>
              </w:hyperlink>
            </w:p>
            <w:p w14:paraId="4F747E1F" w14:textId="3B4FCE52"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0" w:history="1">
                <w:r w:rsidRPr="003C7F18">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_Toc240143260 \h </w:instrText>
                </w:r>
                <w:r>
                  <w:rPr>
                    <w:noProof/>
                    <w:webHidden/>
                  </w:rPr>
                </w:r>
                <w:r>
                  <w:rPr>
                    <w:noProof/>
                    <w:webHidden/>
                  </w:rPr>
                  <w:fldChar w:fldCharType="separate"/>
                </w:r>
                <w:r>
                  <w:rPr>
                    <w:noProof/>
                    <w:webHidden/>
                  </w:rPr>
                  <w:t>10</w:t>
                </w:r>
                <w:r>
                  <w:rPr>
                    <w:noProof/>
                    <w:webHidden/>
                  </w:rPr>
                  <w:fldChar w:fldCharType="end"/>
                </w:r>
              </w:hyperlink>
            </w:p>
            <w:p w14:paraId="431747CC" w14:textId="5ABC23BD"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1" w:history="1">
                <w:r w:rsidRPr="003C7F18">
                  <w:rPr>
                    <w:rStyle w:val="Hyperlink"/>
                    <w:rFonts w:ascii="Arial" w:hAnsi="Arial" w:cs="Arial"/>
                    <w:noProof/>
                  </w:rPr>
                  <w:t>1.2 Background and Context of the Study</w:t>
                </w:r>
                <w:r>
                  <w:rPr>
                    <w:noProof/>
                    <w:webHidden/>
                  </w:rPr>
                  <w:tab/>
                </w:r>
                <w:r>
                  <w:rPr>
                    <w:noProof/>
                    <w:webHidden/>
                  </w:rPr>
                  <w:fldChar w:fldCharType="begin"/>
                </w:r>
                <w:r>
                  <w:rPr>
                    <w:noProof/>
                    <w:webHidden/>
                  </w:rPr>
                  <w:instrText xml:space="preserve"> PAGEREF _Toc240143261 \h </w:instrText>
                </w:r>
                <w:r>
                  <w:rPr>
                    <w:noProof/>
                    <w:webHidden/>
                  </w:rPr>
                </w:r>
                <w:r>
                  <w:rPr>
                    <w:noProof/>
                    <w:webHidden/>
                  </w:rPr>
                  <w:fldChar w:fldCharType="separate"/>
                </w:r>
                <w:r>
                  <w:rPr>
                    <w:noProof/>
                    <w:webHidden/>
                  </w:rPr>
                  <w:t>10</w:t>
                </w:r>
                <w:r>
                  <w:rPr>
                    <w:noProof/>
                    <w:webHidden/>
                  </w:rPr>
                  <w:fldChar w:fldCharType="end"/>
                </w:r>
              </w:hyperlink>
            </w:p>
            <w:p w14:paraId="6F2A4375" w14:textId="5A5E86CD"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2" w:history="1">
                <w:r w:rsidRPr="003C7F18">
                  <w:rPr>
                    <w:rStyle w:val="Hyperlink"/>
                    <w:rFonts w:ascii="Arial" w:hAnsi="Arial" w:cs="Arial"/>
                    <w:noProof/>
                  </w:rPr>
                  <w:t>1.3 Definition of Key Terms</w:t>
                </w:r>
                <w:r>
                  <w:rPr>
                    <w:noProof/>
                    <w:webHidden/>
                  </w:rPr>
                  <w:tab/>
                </w:r>
                <w:r>
                  <w:rPr>
                    <w:noProof/>
                    <w:webHidden/>
                  </w:rPr>
                  <w:fldChar w:fldCharType="begin"/>
                </w:r>
                <w:r>
                  <w:rPr>
                    <w:noProof/>
                    <w:webHidden/>
                  </w:rPr>
                  <w:instrText xml:space="preserve"> PAGEREF _Toc240143262 \h </w:instrText>
                </w:r>
                <w:r>
                  <w:rPr>
                    <w:noProof/>
                    <w:webHidden/>
                  </w:rPr>
                </w:r>
                <w:r>
                  <w:rPr>
                    <w:noProof/>
                    <w:webHidden/>
                  </w:rPr>
                  <w:fldChar w:fldCharType="separate"/>
                </w:r>
                <w:r>
                  <w:rPr>
                    <w:noProof/>
                    <w:webHidden/>
                  </w:rPr>
                  <w:t>11</w:t>
                </w:r>
                <w:r>
                  <w:rPr>
                    <w:noProof/>
                    <w:webHidden/>
                  </w:rPr>
                  <w:fldChar w:fldCharType="end"/>
                </w:r>
              </w:hyperlink>
            </w:p>
            <w:p w14:paraId="436AE45A" w14:textId="2D69D8F0"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3" w:history="1">
                <w:r w:rsidRPr="003C7F18">
                  <w:rPr>
                    <w:rStyle w:val="Hyperlink"/>
                    <w:rFonts w:ascii="Arial" w:hAnsi="Arial" w:cs="Arial"/>
                    <w:noProof/>
                  </w:rPr>
                  <w:t>1.3.1 Digital Exclusion</w:t>
                </w:r>
                <w:r>
                  <w:rPr>
                    <w:noProof/>
                    <w:webHidden/>
                  </w:rPr>
                  <w:tab/>
                </w:r>
                <w:r>
                  <w:rPr>
                    <w:noProof/>
                    <w:webHidden/>
                  </w:rPr>
                  <w:fldChar w:fldCharType="begin"/>
                </w:r>
                <w:r>
                  <w:rPr>
                    <w:noProof/>
                    <w:webHidden/>
                  </w:rPr>
                  <w:instrText xml:space="preserve"> PAGEREF _Toc240143263 \h </w:instrText>
                </w:r>
                <w:r>
                  <w:rPr>
                    <w:noProof/>
                    <w:webHidden/>
                  </w:rPr>
                </w:r>
                <w:r>
                  <w:rPr>
                    <w:noProof/>
                    <w:webHidden/>
                  </w:rPr>
                  <w:fldChar w:fldCharType="separate"/>
                </w:r>
                <w:r>
                  <w:rPr>
                    <w:noProof/>
                    <w:webHidden/>
                  </w:rPr>
                  <w:t>11</w:t>
                </w:r>
                <w:r>
                  <w:rPr>
                    <w:noProof/>
                    <w:webHidden/>
                  </w:rPr>
                  <w:fldChar w:fldCharType="end"/>
                </w:r>
              </w:hyperlink>
            </w:p>
            <w:p w14:paraId="76C72C7B" w14:textId="2B631142"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4" w:history="1">
                <w:r w:rsidRPr="003C7F18">
                  <w:rPr>
                    <w:rStyle w:val="Hyperlink"/>
                    <w:rFonts w:ascii="Arial" w:hAnsi="Arial" w:cs="Arial"/>
                    <w:noProof/>
                  </w:rPr>
                  <w:t>1.3.2 Digital Inclusion</w:t>
                </w:r>
                <w:r>
                  <w:rPr>
                    <w:noProof/>
                    <w:webHidden/>
                  </w:rPr>
                  <w:tab/>
                </w:r>
                <w:r>
                  <w:rPr>
                    <w:noProof/>
                    <w:webHidden/>
                  </w:rPr>
                  <w:fldChar w:fldCharType="begin"/>
                </w:r>
                <w:r>
                  <w:rPr>
                    <w:noProof/>
                    <w:webHidden/>
                  </w:rPr>
                  <w:instrText xml:space="preserve"> PAGEREF _Toc240143264 \h </w:instrText>
                </w:r>
                <w:r>
                  <w:rPr>
                    <w:noProof/>
                    <w:webHidden/>
                  </w:rPr>
                </w:r>
                <w:r>
                  <w:rPr>
                    <w:noProof/>
                    <w:webHidden/>
                  </w:rPr>
                  <w:fldChar w:fldCharType="separate"/>
                </w:r>
                <w:r>
                  <w:rPr>
                    <w:noProof/>
                    <w:webHidden/>
                  </w:rPr>
                  <w:t>11</w:t>
                </w:r>
                <w:r>
                  <w:rPr>
                    <w:noProof/>
                    <w:webHidden/>
                  </w:rPr>
                  <w:fldChar w:fldCharType="end"/>
                </w:r>
              </w:hyperlink>
            </w:p>
            <w:p w14:paraId="52025814" w14:textId="3165988E"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5" w:history="1">
                <w:r w:rsidRPr="003C7F18">
                  <w:rPr>
                    <w:rStyle w:val="Hyperlink"/>
                    <w:rFonts w:ascii="Arial" w:hAnsi="Arial" w:cs="Arial"/>
                    <w:noProof/>
                  </w:rPr>
                  <w:t>1.3.3 Digital Health</w:t>
                </w:r>
                <w:r>
                  <w:rPr>
                    <w:noProof/>
                    <w:webHidden/>
                  </w:rPr>
                  <w:tab/>
                </w:r>
                <w:r>
                  <w:rPr>
                    <w:noProof/>
                    <w:webHidden/>
                  </w:rPr>
                  <w:fldChar w:fldCharType="begin"/>
                </w:r>
                <w:r>
                  <w:rPr>
                    <w:noProof/>
                    <w:webHidden/>
                  </w:rPr>
                  <w:instrText xml:space="preserve"> PAGEREF _Toc240143265 \h </w:instrText>
                </w:r>
                <w:r>
                  <w:rPr>
                    <w:noProof/>
                    <w:webHidden/>
                  </w:rPr>
                </w:r>
                <w:r>
                  <w:rPr>
                    <w:noProof/>
                    <w:webHidden/>
                  </w:rPr>
                  <w:fldChar w:fldCharType="separate"/>
                </w:r>
                <w:r>
                  <w:rPr>
                    <w:noProof/>
                    <w:webHidden/>
                  </w:rPr>
                  <w:t>12</w:t>
                </w:r>
                <w:r>
                  <w:rPr>
                    <w:noProof/>
                    <w:webHidden/>
                  </w:rPr>
                  <w:fldChar w:fldCharType="end"/>
                </w:r>
              </w:hyperlink>
            </w:p>
            <w:p w14:paraId="3EF9D899" w14:textId="3571A9CB"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6" w:history="1">
                <w:r w:rsidRPr="003C7F18">
                  <w:rPr>
                    <w:rStyle w:val="Hyperlink"/>
                    <w:noProof/>
                  </w:rPr>
                  <w:t>1.3.4 Older Adults</w:t>
                </w:r>
                <w:r>
                  <w:rPr>
                    <w:noProof/>
                    <w:webHidden/>
                  </w:rPr>
                  <w:tab/>
                </w:r>
                <w:r>
                  <w:rPr>
                    <w:noProof/>
                    <w:webHidden/>
                  </w:rPr>
                  <w:fldChar w:fldCharType="begin"/>
                </w:r>
                <w:r>
                  <w:rPr>
                    <w:noProof/>
                    <w:webHidden/>
                  </w:rPr>
                  <w:instrText xml:space="preserve"> PAGEREF _Toc240143266 \h </w:instrText>
                </w:r>
                <w:r>
                  <w:rPr>
                    <w:noProof/>
                    <w:webHidden/>
                  </w:rPr>
                </w:r>
                <w:r>
                  <w:rPr>
                    <w:noProof/>
                    <w:webHidden/>
                  </w:rPr>
                  <w:fldChar w:fldCharType="separate"/>
                </w:r>
                <w:r>
                  <w:rPr>
                    <w:noProof/>
                    <w:webHidden/>
                  </w:rPr>
                  <w:t>12</w:t>
                </w:r>
                <w:r>
                  <w:rPr>
                    <w:noProof/>
                    <w:webHidden/>
                  </w:rPr>
                  <w:fldChar w:fldCharType="end"/>
                </w:r>
              </w:hyperlink>
            </w:p>
            <w:p w14:paraId="11F73D8D" w14:textId="5BF6DB5B"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7" w:history="1">
                <w:r w:rsidRPr="003C7F18">
                  <w:rPr>
                    <w:rStyle w:val="Hyperlink"/>
                    <w:rFonts w:ascii="Arial" w:hAnsi="Arial" w:cs="Arial"/>
                    <w:noProof/>
                  </w:rPr>
                  <w:t>1.4 Background to Digital Exclusion in the United Kingdom</w:t>
                </w:r>
                <w:r>
                  <w:rPr>
                    <w:noProof/>
                    <w:webHidden/>
                  </w:rPr>
                  <w:tab/>
                </w:r>
                <w:r>
                  <w:rPr>
                    <w:noProof/>
                    <w:webHidden/>
                  </w:rPr>
                  <w:fldChar w:fldCharType="begin"/>
                </w:r>
                <w:r>
                  <w:rPr>
                    <w:noProof/>
                    <w:webHidden/>
                  </w:rPr>
                  <w:instrText xml:space="preserve"> PAGEREF _Toc240143267 \h </w:instrText>
                </w:r>
                <w:r>
                  <w:rPr>
                    <w:noProof/>
                    <w:webHidden/>
                  </w:rPr>
                </w:r>
                <w:r>
                  <w:rPr>
                    <w:noProof/>
                    <w:webHidden/>
                  </w:rPr>
                  <w:fldChar w:fldCharType="separate"/>
                </w:r>
                <w:r>
                  <w:rPr>
                    <w:noProof/>
                    <w:webHidden/>
                  </w:rPr>
                  <w:t>12</w:t>
                </w:r>
                <w:r>
                  <w:rPr>
                    <w:noProof/>
                    <w:webHidden/>
                  </w:rPr>
                  <w:fldChar w:fldCharType="end"/>
                </w:r>
              </w:hyperlink>
            </w:p>
            <w:p w14:paraId="55010723" w14:textId="3B66CBD9"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8" w:history="1">
                <w:r w:rsidRPr="003C7F18">
                  <w:rPr>
                    <w:rStyle w:val="Hyperlink"/>
                    <w:rFonts w:ascii="Arial" w:hAnsi="Arial" w:cs="Arial"/>
                    <w:noProof/>
                  </w:rPr>
                  <w:t>1.5 Problem Statement</w:t>
                </w:r>
                <w:r>
                  <w:rPr>
                    <w:noProof/>
                    <w:webHidden/>
                  </w:rPr>
                  <w:tab/>
                </w:r>
                <w:r>
                  <w:rPr>
                    <w:noProof/>
                    <w:webHidden/>
                  </w:rPr>
                  <w:fldChar w:fldCharType="begin"/>
                </w:r>
                <w:r>
                  <w:rPr>
                    <w:noProof/>
                    <w:webHidden/>
                  </w:rPr>
                  <w:instrText xml:space="preserve"> PAGEREF _Toc240143268 \h </w:instrText>
                </w:r>
                <w:r>
                  <w:rPr>
                    <w:noProof/>
                    <w:webHidden/>
                  </w:rPr>
                </w:r>
                <w:r>
                  <w:rPr>
                    <w:noProof/>
                    <w:webHidden/>
                  </w:rPr>
                  <w:fldChar w:fldCharType="separate"/>
                </w:r>
                <w:r>
                  <w:rPr>
                    <w:noProof/>
                    <w:webHidden/>
                  </w:rPr>
                  <w:t>13</w:t>
                </w:r>
                <w:r>
                  <w:rPr>
                    <w:noProof/>
                    <w:webHidden/>
                  </w:rPr>
                  <w:fldChar w:fldCharType="end"/>
                </w:r>
              </w:hyperlink>
            </w:p>
            <w:p w14:paraId="237BBD68" w14:textId="3324616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69" w:history="1">
                <w:r w:rsidRPr="003C7F18">
                  <w:rPr>
                    <w:rStyle w:val="Hyperlink"/>
                    <w:rFonts w:ascii="Arial" w:hAnsi="Arial" w:cs="Arial"/>
                    <w:noProof/>
                  </w:rPr>
                  <w:t>1.6 Rationale for the Study</w:t>
                </w:r>
                <w:r>
                  <w:rPr>
                    <w:noProof/>
                    <w:webHidden/>
                  </w:rPr>
                  <w:tab/>
                </w:r>
                <w:r>
                  <w:rPr>
                    <w:noProof/>
                    <w:webHidden/>
                  </w:rPr>
                  <w:fldChar w:fldCharType="begin"/>
                </w:r>
                <w:r>
                  <w:rPr>
                    <w:noProof/>
                    <w:webHidden/>
                  </w:rPr>
                  <w:instrText xml:space="preserve"> PAGEREF _Toc240143269 \h </w:instrText>
                </w:r>
                <w:r>
                  <w:rPr>
                    <w:noProof/>
                    <w:webHidden/>
                  </w:rPr>
                </w:r>
                <w:r>
                  <w:rPr>
                    <w:noProof/>
                    <w:webHidden/>
                  </w:rPr>
                  <w:fldChar w:fldCharType="separate"/>
                </w:r>
                <w:r>
                  <w:rPr>
                    <w:noProof/>
                    <w:webHidden/>
                  </w:rPr>
                  <w:t>13</w:t>
                </w:r>
                <w:r>
                  <w:rPr>
                    <w:noProof/>
                    <w:webHidden/>
                  </w:rPr>
                  <w:fldChar w:fldCharType="end"/>
                </w:r>
              </w:hyperlink>
            </w:p>
            <w:p w14:paraId="5D1E03A4" w14:textId="1BCA8F8E"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0" w:history="1">
                <w:r w:rsidRPr="003C7F18">
                  <w:rPr>
                    <w:rStyle w:val="Hyperlink"/>
                    <w:rFonts w:ascii="Arial" w:hAnsi="Arial" w:cs="Arial"/>
                    <w:noProof/>
                  </w:rPr>
                  <w:t>1.6.1 Significance of the Study</w:t>
                </w:r>
                <w:r>
                  <w:rPr>
                    <w:noProof/>
                    <w:webHidden/>
                  </w:rPr>
                  <w:tab/>
                </w:r>
                <w:r>
                  <w:rPr>
                    <w:noProof/>
                    <w:webHidden/>
                  </w:rPr>
                  <w:fldChar w:fldCharType="begin"/>
                </w:r>
                <w:r>
                  <w:rPr>
                    <w:noProof/>
                    <w:webHidden/>
                  </w:rPr>
                  <w:instrText xml:space="preserve"> PAGEREF _Toc240143270 \h </w:instrText>
                </w:r>
                <w:r>
                  <w:rPr>
                    <w:noProof/>
                    <w:webHidden/>
                  </w:rPr>
                </w:r>
                <w:r>
                  <w:rPr>
                    <w:noProof/>
                    <w:webHidden/>
                  </w:rPr>
                  <w:fldChar w:fldCharType="separate"/>
                </w:r>
                <w:r>
                  <w:rPr>
                    <w:noProof/>
                    <w:webHidden/>
                  </w:rPr>
                  <w:t>14</w:t>
                </w:r>
                <w:r>
                  <w:rPr>
                    <w:noProof/>
                    <w:webHidden/>
                  </w:rPr>
                  <w:fldChar w:fldCharType="end"/>
                </w:r>
              </w:hyperlink>
            </w:p>
            <w:p w14:paraId="637E81A5" w14:textId="14F8376E"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1" w:history="1">
                <w:r w:rsidRPr="003C7F18">
                  <w:rPr>
                    <w:rStyle w:val="Hyperlink"/>
                    <w:rFonts w:ascii="Arial" w:hAnsi="Arial" w:cs="Arial"/>
                    <w:noProof/>
                  </w:rPr>
                  <w:t>1.6.2 Aim of the Study</w:t>
                </w:r>
                <w:r>
                  <w:rPr>
                    <w:noProof/>
                    <w:webHidden/>
                  </w:rPr>
                  <w:tab/>
                </w:r>
                <w:r>
                  <w:rPr>
                    <w:noProof/>
                    <w:webHidden/>
                  </w:rPr>
                  <w:fldChar w:fldCharType="begin"/>
                </w:r>
                <w:r>
                  <w:rPr>
                    <w:noProof/>
                    <w:webHidden/>
                  </w:rPr>
                  <w:instrText xml:space="preserve"> PAGEREF _Toc240143271 \h </w:instrText>
                </w:r>
                <w:r>
                  <w:rPr>
                    <w:noProof/>
                    <w:webHidden/>
                  </w:rPr>
                </w:r>
                <w:r>
                  <w:rPr>
                    <w:noProof/>
                    <w:webHidden/>
                  </w:rPr>
                  <w:fldChar w:fldCharType="separate"/>
                </w:r>
                <w:r>
                  <w:rPr>
                    <w:noProof/>
                    <w:webHidden/>
                  </w:rPr>
                  <w:t>14</w:t>
                </w:r>
                <w:r>
                  <w:rPr>
                    <w:noProof/>
                    <w:webHidden/>
                  </w:rPr>
                  <w:fldChar w:fldCharType="end"/>
                </w:r>
              </w:hyperlink>
            </w:p>
            <w:p w14:paraId="07407355" w14:textId="0AAE56AC"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2" w:history="1">
                <w:r w:rsidRPr="003C7F18">
                  <w:rPr>
                    <w:rStyle w:val="Hyperlink"/>
                    <w:rFonts w:ascii="Arial" w:hAnsi="Arial" w:cs="Arial"/>
                    <w:noProof/>
                  </w:rPr>
                  <w:t>1.6.3 Research Objectives</w:t>
                </w:r>
                <w:r>
                  <w:rPr>
                    <w:noProof/>
                    <w:webHidden/>
                  </w:rPr>
                  <w:tab/>
                </w:r>
                <w:r>
                  <w:rPr>
                    <w:noProof/>
                    <w:webHidden/>
                  </w:rPr>
                  <w:fldChar w:fldCharType="begin"/>
                </w:r>
                <w:r>
                  <w:rPr>
                    <w:noProof/>
                    <w:webHidden/>
                  </w:rPr>
                  <w:instrText xml:space="preserve"> PAGEREF _Toc240143272 \h </w:instrText>
                </w:r>
                <w:r>
                  <w:rPr>
                    <w:noProof/>
                    <w:webHidden/>
                  </w:rPr>
                </w:r>
                <w:r>
                  <w:rPr>
                    <w:noProof/>
                    <w:webHidden/>
                  </w:rPr>
                  <w:fldChar w:fldCharType="separate"/>
                </w:r>
                <w:r>
                  <w:rPr>
                    <w:noProof/>
                    <w:webHidden/>
                  </w:rPr>
                  <w:t>14</w:t>
                </w:r>
                <w:r>
                  <w:rPr>
                    <w:noProof/>
                    <w:webHidden/>
                  </w:rPr>
                  <w:fldChar w:fldCharType="end"/>
                </w:r>
              </w:hyperlink>
            </w:p>
            <w:p w14:paraId="4E9535EE" w14:textId="720258B5"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3" w:history="1">
                <w:r w:rsidRPr="003C7F18">
                  <w:rPr>
                    <w:rStyle w:val="Hyperlink"/>
                    <w:rFonts w:ascii="Arial" w:hAnsi="Arial" w:cs="Arial"/>
                    <w:noProof/>
                  </w:rPr>
                  <w:t>1.6.4 Research Question</w:t>
                </w:r>
                <w:r>
                  <w:rPr>
                    <w:noProof/>
                    <w:webHidden/>
                  </w:rPr>
                  <w:tab/>
                </w:r>
                <w:r>
                  <w:rPr>
                    <w:noProof/>
                    <w:webHidden/>
                  </w:rPr>
                  <w:fldChar w:fldCharType="begin"/>
                </w:r>
                <w:r>
                  <w:rPr>
                    <w:noProof/>
                    <w:webHidden/>
                  </w:rPr>
                  <w:instrText xml:space="preserve"> PAGEREF _Toc240143273 \h </w:instrText>
                </w:r>
                <w:r>
                  <w:rPr>
                    <w:noProof/>
                    <w:webHidden/>
                  </w:rPr>
                </w:r>
                <w:r>
                  <w:rPr>
                    <w:noProof/>
                    <w:webHidden/>
                  </w:rPr>
                  <w:fldChar w:fldCharType="separate"/>
                </w:r>
                <w:r>
                  <w:rPr>
                    <w:noProof/>
                    <w:webHidden/>
                  </w:rPr>
                  <w:t>15</w:t>
                </w:r>
                <w:r>
                  <w:rPr>
                    <w:noProof/>
                    <w:webHidden/>
                  </w:rPr>
                  <w:fldChar w:fldCharType="end"/>
                </w:r>
              </w:hyperlink>
            </w:p>
            <w:p w14:paraId="4D42D230" w14:textId="51D7FEA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4" w:history="1">
                <w:r w:rsidRPr="003C7F18">
                  <w:rPr>
                    <w:rStyle w:val="Hyperlink"/>
                    <w:rFonts w:ascii="Arial" w:hAnsi="Arial" w:cs="Arial"/>
                    <w:noProof/>
                  </w:rPr>
                  <w:t>1.7 Overview of the Research Methodology</w:t>
                </w:r>
                <w:r>
                  <w:rPr>
                    <w:noProof/>
                    <w:webHidden/>
                  </w:rPr>
                  <w:tab/>
                </w:r>
                <w:r>
                  <w:rPr>
                    <w:noProof/>
                    <w:webHidden/>
                  </w:rPr>
                  <w:fldChar w:fldCharType="begin"/>
                </w:r>
                <w:r>
                  <w:rPr>
                    <w:noProof/>
                    <w:webHidden/>
                  </w:rPr>
                  <w:instrText xml:space="preserve"> PAGEREF _Toc240143274 \h </w:instrText>
                </w:r>
                <w:r>
                  <w:rPr>
                    <w:noProof/>
                    <w:webHidden/>
                  </w:rPr>
                </w:r>
                <w:r>
                  <w:rPr>
                    <w:noProof/>
                    <w:webHidden/>
                  </w:rPr>
                  <w:fldChar w:fldCharType="separate"/>
                </w:r>
                <w:r>
                  <w:rPr>
                    <w:noProof/>
                    <w:webHidden/>
                  </w:rPr>
                  <w:t>15</w:t>
                </w:r>
                <w:r>
                  <w:rPr>
                    <w:noProof/>
                    <w:webHidden/>
                  </w:rPr>
                  <w:fldChar w:fldCharType="end"/>
                </w:r>
              </w:hyperlink>
            </w:p>
            <w:p w14:paraId="17865667" w14:textId="4F735B1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5" w:history="1">
                <w:r w:rsidRPr="003C7F18">
                  <w:rPr>
                    <w:rStyle w:val="Hyperlink"/>
                    <w:rFonts w:ascii="Arial" w:hAnsi="Arial" w:cs="Arial"/>
                    <w:noProof/>
                  </w:rPr>
                  <w:t>1.8 Structure of the Dissertation</w:t>
                </w:r>
                <w:r>
                  <w:rPr>
                    <w:noProof/>
                    <w:webHidden/>
                  </w:rPr>
                  <w:tab/>
                </w:r>
                <w:r>
                  <w:rPr>
                    <w:noProof/>
                    <w:webHidden/>
                  </w:rPr>
                  <w:fldChar w:fldCharType="begin"/>
                </w:r>
                <w:r>
                  <w:rPr>
                    <w:noProof/>
                    <w:webHidden/>
                  </w:rPr>
                  <w:instrText xml:space="preserve"> PAGEREF _Toc240143275 \h </w:instrText>
                </w:r>
                <w:r>
                  <w:rPr>
                    <w:noProof/>
                    <w:webHidden/>
                  </w:rPr>
                </w:r>
                <w:r>
                  <w:rPr>
                    <w:noProof/>
                    <w:webHidden/>
                  </w:rPr>
                  <w:fldChar w:fldCharType="separate"/>
                </w:r>
                <w:r>
                  <w:rPr>
                    <w:noProof/>
                    <w:webHidden/>
                  </w:rPr>
                  <w:t>15</w:t>
                </w:r>
                <w:r>
                  <w:rPr>
                    <w:noProof/>
                    <w:webHidden/>
                  </w:rPr>
                  <w:fldChar w:fldCharType="end"/>
                </w:r>
              </w:hyperlink>
            </w:p>
            <w:p w14:paraId="17AD7487" w14:textId="5BC489A6"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76" w:history="1">
                <w:r w:rsidRPr="003C7F18">
                  <w:rPr>
                    <w:rStyle w:val="Hyperlink"/>
                    <w:rFonts w:ascii="Arial" w:hAnsi="Arial" w:cs="Arial"/>
                    <w:noProof/>
                  </w:rPr>
                  <w:t>Chapter 2: Literature review/theoretical framework</w:t>
                </w:r>
                <w:r>
                  <w:rPr>
                    <w:noProof/>
                    <w:webHidden/>
                  </w:rPr>
                  <w:tab/>
                </w:r>
                <w:r>
                  <w:rPr>
                    <w:noProof/>
                    <w:webHidden/>
                  </w:rPr>
                  <w:fldChar w:fldCharType="begin"/>
                </w:r>
                <w:r>
                  <w:rPr>
                    <w:noProof/>
                    <w:webHidden/>
                  </w:rPr>
                  <w:instrText xml:space="preserve"> PAGEREF _Toc240143276 \h </w:instrText>
                </w:r>
                <w:r>
                  <w:rPr>
                    <w:noProof/>
                    <w:webHidden/>
                  </w:rPr>
                </w:r>
                <w:r>
                  <w:rPr>
                    <w:noProof/>
                    <w:webHidden/>
                  </w:rPr>
                  <w:fldChar w:fldCharType="separate"/>
                </w:r>
                <w:r>
                  <w:rPr>
                    <w:noProof/>
                    <w:webHidden/>
                  </w:rPr>
                  <w:t>16</w:t>
                </w:r>
                <w:r>
                  <w:rPr>
                    <w:noProof/>
                    <w:webHidden/>
                  </w:rPr>
                  <w:fldChar w:fldCharType="end"/>
                </w:r>
              </w:hyperlink>
            </w:p>
            <w:p w14:paraId="745C20FA" w14:textId="71A8FFA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7" w:history="1">
                <w:r w:rsidRPr="003C7F18">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_Toc240143277 \h </w:instrText>
                </w:r>
                <w:r>
                  <w:rPr>
                    <w:noProof/>
                    <w:webHidden/>
                  </w:rPr>
                </w:r>
                <w:r>
                  <w:rPr>
                    <w:noProof/>
                    <w:webHidden/>
                  </w:rPr>
                  <w:fldChar w:fldCharType="separate"/>
                </w:r>
                <w:r>
                  <w:rPr>
                    <w:noProof/>
                    <w:webHidden/>
                  </w:rPr>
                  <w:t>16</w:t>
                </w:r>
                <w:r>
                  <w:rPr>
                    <w:noProof/>
                    <w:webHidden/>
                  </w:rPr>
                  <w:fldChar w:fldCharType="end"/>
                </w:r>
              </w:hyperlink>
            </w:p>
            <w:p w14:paraId="0D6A1108" w14:textId="5A3B4237"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8" w:history="1">
                <w:r w:rsidRPr="003C7F18">
                  <w:rPr>
                    <w:rStyle w:val="Hyperlink"/>
                    <w:rFonts w:ascii="Arial" w:hAnsi="Arial" w:cs="Arial"/>
                    <w:noProof/>
                  </w:rPr>
                  <w:t>2.1. Understanding Digital Exclusion Among Older Adults</w:t>
                </w:r>
                <w:r>
                  <w:rPr>
                    <w:noProof/>
                    <w:webHidden/>
                  </w:rPr>
                  <w:tab/>
                </w:r>
                <w:r>
                  <w:rPr>
                    <w:noProof/>
                    <w:webHidden/>
                  </w:rPr>
                  <w:fldChar w:fldCharType="begin"/>
                </w:r>
                <w:r>
                  <w:rPr>
                    <w:noProof/>
                    <w:webHidden/>
                  </w:rPr>
                  <w:instrText xml:space="preserve"> PAGEREF _Toc240143278 \h </w:instrText>
                </w:r>
                <w:r>
                  <w:rPr>
                    <w:noProof/>
                    <w:webHidden/>
                  </w:rPr>
                </w:r>
                <w:r>
                  <w:rPr>
                    <w:noProof/>
                    <w:webHidden/>
                  </w:rPr>
                  <w:fldChar w:fldCharType="separate"/>
                </w:r>
                <w:r>
                  <w:rPr>
                    <w:noProof/>
                    <w:webHidden/>
                  </w:rPr>
                  <w:t>17</w:t>
                </w:r>
                <w:r>
                  <w:rPr>
                    <w:noProof/>
                    <w:webHidden/>
                  </w:rPr>
                  <w:fldChar w:fldCharType="end"/>
                </w:r>
              </w:hyperlink>
            </w:p>
            <w:p w14:paraId="391C1D46" w14:textId="6CEA4FA5"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79" w:history="1">
                <w:r w:rsidRPr="003C7F18">
                  <w:rPr>
                    <w:rStyle w:val="Hyperlink"/>
                    <w:rFonts w:ascii="Arial" w:hAnsi="Arial" w:cs="Arial"/>
                    <w:noProof/>
                  </w:rPr>
                  <w:t>2.1.1 Conceptualising Digital Exclusion</w:t>
                </w:r>
                <w:r>
                  <w:rPr>
                    <w:noProof/>
                    <w:webHidden/>
                  </w:rPr>
                  <w:tab/>
                </w:r>
                <w:r>
                  <w:rPr>
                    <w:noProof/>
                    <w:webHidden/>
                  </w:rPr>
                  <w:fldChar w:fldCharType="begin"/>
                </w:r>
                <w:r>
                  <w:rPr>
                    <w:noProof/>
                    <w:webHidden/>
                  </w:rPr>
                  <w:instrText xml:space="preserve"> PAGEREF _Toc240143279 \h </w:instrText>
                </w:r>
                <w:r>
                  <w:rPr>
                    <w:noProof/>
                    <w:webHidden/>
                  </w:rPr>
                </w:r>
                <w:r>
                  <w:rPr>
                    <w:noProof/>
                    <w:webHidden/>
                  </w:rPr>
                  <w:fldChar w:fldCharType="separate"/>
                </w:r>
                <w:r>
                  <w:rPr>
                    <w:noProof/>
                    <w:webHidden/>
                  </w:rPr>
                  <w:t>17</w:t>
                </w:r>
                <w:r>
                  <w:rPr>
                    <w:noProof/>
                    <w:webHidden/>
                  </w:rPr>
                  <w:fldChar w:fldCharType="end"/>
                </w:r>
              </w:hyperlink>
            </w:p>
            <w:p w14:paraId="069BD735" w14:textId="7ED6E26A"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0" w:history="1">
                <w:r w:rsidRPr="003C7F18">
                  <w:rPr>
                    <w:rStyle w:val="Hyperlink"/>
                    <w:rFonts w:ascii="Arial" w:hAnsi="Arial" w:cs="Arial"/>
                    <w:noProof/>
                  </w:rPr>
                  <w:t>2.1.2 Vulnerability of older adults</w:t>
                </w:r>
                <w:r>
                  <w:rPr>
                    <w:noProof/>
                    <w:webHidden/>
                  </w:rPr>
                  <w:tab/>
                </w:r>
                <w:r>
                  <w:rPr>
                    <w:noProof/>
                    <w:webHidden/>
                  </w:rPr>
                  <w:fldChar w:fldCharType="begin"/>
                </w:r>
                <w:r>
                  <w:rPr>
                    <w:noProof/>
                    <w:webHidden/>
                  </w:rPr>
                  <w:instrText xml:space="preserve"> PAGEREF _Toc240143280 \h </w:instrText>
                </w:r>
                <w:r>
                  <w:rPr>
                    <w:noProof/>
                    <w:webHidden/>
                  </w:rPr>
                </w:r>
                <w:r>
                  <w:rPr>
                    <w:noProof/>
                    <w:webHidden/>
                  </w:rPr>
                  <w:fldChar w:fldCharType="separate"/>
                </w:r>
                <w:r>
                  <w:rPr>
                    <w:noProof/>
                    <w:webHidden/>
                  </w:rPr>
                  <w:t>18</w:t>
                </w:r>
                <w:r>
                  <w:rPr>
                    <w:noProof/>
                    <w:webHidden/>
                  </w:rPr>
                  <w:fldChar w:fldCharType="end"/>
                </w:r>
              </w:hyperlink>
            </w:p>
            <w:p w14:paraId="239BB864" w14:textId="173F69D1"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1" w:history="1">
                <w:r w:rsidRPr="003C7F18">
                  <w:rPr>
                    <w:rStyle w:val="Hyperlink"/>
                    <w:rFonts w:ascii="Arial" w:hAnsi="Arial" w:cs="Arial"/>
                    <w:noProof/>
                  </w:rPr>
                  <w:t>2.2 Digital Transformation of Public Health and Social Care</w:t>
                </w:r>
                <w:r>
                  <w:rPr>
                    <w:noProof/>
                    <w:webHidden/>
                  </w:rPr>
                  <w:tab/>
                </w:r>
                <w:r>
                  <w:rPr>
                    <w:noProof/>
                    <w:webHidden/>
                  </w:rPr>
                  <w:fldChar w:fldCharType="begin"/>
                </w:r>
                <w:r>
                  <w:rPr>
                    <w:noProof/>
                    <w:webHidden/>
                  </w:rPr>
                  <w:instrText xml:space="preserve"> PAGEREF _Toc240143281 \h </w:instrText>
                </w:r>
                <w:r>
                  <w:rPr>
                    <w:noProof/>
                    <w:webHidden/>
                  </w:rPr>
                </w:r>
                <w:r>
                  <w:rPr>
                    <w:noProof/>
                    <w:webHidden/>
                  </w:rPr>
                  <w:fldChar w:fldCharType="separate"/>
                </w:r>
                <w:r>
                  <w:rPr>
                    <w:noProof/>
                    <w:webHidden/>
                  </w:rPr>
                  <w:t>18</w:t>
                </w:r>
                <w:r>
                  <w:rPr>
                    <w:noProof/>
                    <w:webHidden/>
                  </w:rPr>
                  <w:fldChar w:fldCharType="end"/>
                </w:r>
              </w:hyperlink>
            </w:p>
            <w:p w14:paraId="27FD8748" w14:textId="6BCA5BB7"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2" w:history="1">
                <w:r w:rsidRPr="003C7F18">
                  <w:rPr>
                    <w:rStyle w:val="Hyperlink"/>
                    <w:rFonts w:ascii="Arial" w:hAnsi="Arial" w:cs="Arial"/>
                    <w:noProof/>
                  </w:rPr>
                  <w:t>2.2.1 The Evolution of Digital Health and Social Care Services</w:t>
                </w:r>
                <w:r>
                  <w:rPr>
                    <w:noProof/>
                    <w:webHidden/>
                  </w:rPr>
                  <w:tab/>
                </w:r>
                <w:r>
                  <w:rPr>
                    <w:noProof/>
                    <w:webHidden/>
                  </w:rPr>
                  <w:fldChar w:fldCharType="begin"/>
                </w:r>
                <w:r>
                  <w:rPr>
                    <w:noProof/>
                    <w:webHidden/>
                  </w:rPr>
                  <w:instrText xml:space="preserve"> PAGEREF _Toc240143282 \h </w:instrText>
                </w:r>
                <w:r>
                  <w:rPr>
                    <w:noProof/>
                    <w:webHidden/>
                  </w:rPr>
                </w:r>
                <w:r>
                  <w:rPr>
                    <w:noProof/>
                    <w:webHidden/>
                  </w:rPr>
                  <w:fldChar w:fldCharType="separate"/>
                </w:r>
                <w:r>
                  <w:rPr>
                    <w:noProof/>
                    <w:webHidden/>
                  </w:rPr>
                  <w:t>18</w:t>
                </w:r>
                <w:r>
                  <w:rPr>
                    <w:noProof/>
                    <w:webHidden/>
                  </w:rPr>
                  <w:fldChar w:fldCharType="end"/>
                </w:r>
              </w:hyperlink>
            </w:p>
            <w:p w14:paraId="443B9C6A" w14:textId="642B431D"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3" w:history="1">
                <w:r w:rsidRPr="003C7F18">
                  <w:rPr>
                    <w:rStyle w:val="Hyperlink"/>
                    <w:rFonts w:ascii="Arial" w:hAnsi="Arial" w:cs="Arial"/>
                    <w:noProof/>
                  </w:rPr>
                  <w:t>2.2.2 Implications for Access to Public Health and Social Care</w:t>
                </w:r>
                <w:r>
                  <w:rPr>
                    <w:noProof/>
                    <w:webHidden/>
                  </w:rPr>
                  <w:tab/>
                </w:r>
                <w:r>
                  <w:rPr>
                    <w:noProof/>
                    <w:webHidden/>
                  </w:rPr>
                  <w:fldChar w:fldCharType="begin"/>
                </w:r>
                <w:r>
                  <w:rPr>
                    <w:noProof/>
                    <w:webHidden/>
                  </w:rPr>
                  <w:instrText xml:space="preserve"> PAGEREF _Toc240143283 \h </w:instrText>
                </w:r>
                <w:r>
                  <w:rPr>
                    <w:noProof/>
                    <w:webHidden/>
                  </w:rPr>
                </w:r>
                <w:r>
                  <w:rPr>
                    <w:noProof/>
                    <w:webHidden/>
                  </w:rPr>
                  <w:fldChar w:fldCharType="separate"/>
                </w:r>
                <w:r>
                  <w:rPr>
                    <w:noProof/>
                    <w:webHidden/>
                  </w:rPr>
                  <w:t>19</w:t>
                </w:r>
                <w:r>
                  <w:rPr>
                    <w:noProof/>
                    <w:webHidden/>
                  </w:rPr>
                  <w:fldChar w:fldCharType="end"/>
                </w:r>
              </w:hyperlink>
            </w:p>
            <w:p w14:paraId="3DEC5E62" w14:textId="13EF7A20"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4" w:history="1">
                <w:r w:rsidRPr="003C7F18">
                  <w:rPr>
                    <w:rStyle w:val="Hyperlink"/>
                    <w:rFonts w:ascii="Arial" w:hAnsi="Arial" w:cs="Arial"/>
                    <w:noProof/>
                  </w:rPr>
                  <w:t>2.3. Barriers to Digital Inclusion</w:t>
                </w:r>
                <w:r>
                  <w:rPr>
                    <w:noProof/>
                    <w:webHidden/>
                  </w:rPr>
                  <w:tab/>
                </w:r>
                <w:r>
                  <w:rPr>
                    <w:noProof/>
                    <w:webHidden/>
                  </w:rPr>
                  <w:fldChar w:fldCharType="begin"/>
                </w:r>
                <w:r>
                  <w:rPr>
                    <w:noProof/>
                    <w:webHidden/>
                  </w:rPr>
                  <w:instrText xml:space="preserve"> PAGEREF _Toc240143284 \h </w:instrText>
                </w:r>
                <w:r>
                  <w:rPr>
                    <w:noProof/>
                    <w:webHidden/>
                  </w:rPr>
                </w:r>
                <w:r>
                  <w:rPr>
                    <w:noProof/>
                    <w:webHidden/>
                  </w:rPr>
                  <w:fldChar w:fldCharType="separate"/>
                </w:r>
                <w:r>
                  <w:rPr>
                    <w:noProof/>
                    <w:webHidden/>
                  </w:rPr>
                  <w:t>21</w:t>
                </w:r>
                <w:r>
                  <w:rPr>
                    <w:noProof/>
                    <w:webHidden/>
                  </w:rPr>
                  <w:fldChar w:fldCharType="end"/>
                </w:r>
              </w:hyperlink>
            </w:p>
            <w:p w14:paraId="2FEDA135" w14:textId="02B50BC0"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5" w:history="1">
                <w:r w:rsidRPr="003C7F18">
                  <w:rPr>
                    <w:rStyle w:val="Hyperlink"/>
                    <w:rFonts w:ascii="Arial" w:hAnsi="Arial" w:cs="Arial"/>
                    <w:noProof/>
                  </w:rPr>
                  <w:t>2.3.1 Individual Factors: Digital Skills, Confidence and Motivation</w:t>
                </w:r>
                <w:r>
                  <w:rPr>
                    <w:noProof/>
                    <w:webHidden/>
                  </w:rPr>
                  <w:tab/>
                </w:r>
                <w:r>
                  <w:rPr>
                    <w:noProof/>
                    <w:webHidden/>
                  </w:rPr>
                  <w:fldChar w:fldCharType="begin"/>
                </w:r>
                <w:r>
                  <w:rPr>
                    <w:noProof/>
                    <w:webHidden/>
                  </w:rPr>
                  <w:instrText xml:space="preserve"> PAGEREF _Toc240143285 \h </w:instrText>
                </w:r>
                <w:r>
                  <w:rPr>
                    <w:noProof/>
                    <w:webHidden/>
                  </w:rPr>
                </w:r>
                <w:r>
                  <w:rPr>
                    <w:noProof/>
                    <w:webHidden/>
                  </w:rPr>
                  <w:fldChar w:fldCharType="separate"/>
                </w:r>
                <w:r>
                  <w:rPr>
                    <w:noProof/>
                    <w:webHidden/>
                  </w:rPr>
                  <w:t>21</w:t>
                </w:r>
                <w:r>
                  <w:rPr>
                    <w:noProof/>
                    <w:webHidden/>
                  </w:rPr>
                  <w:fldChar w:fldCharType="end"/>
                </w:r>
              </w:hyperlink>
            </w:p>
            <w:p w14:paraId="4A4E2C4B" w14:textId="21412526"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6" w:history="1">
                <w:r w:rsidRPr="003C7F18">
                  <w:rPr>
                    <w:rStyle w:val="Hyperlink"/>
                    <w:rFonts w:ascii="Arial" w:hAnsi="Arial" w:cs="Arial"/>
                    <w:noProof/>
                  </w:rPr>
                  <w:t>2.3.2 Health, Ageing and Functional Limitations</w:t>
                </w:r>
                <w:r>
                  <w:rPr>
                    <w:noProof/>
                    <w:webHidden/>
                  </w:rPr>
                  <w:tab/>
                </w:r>
                <w:r>
                  <w:rPr>
                    <w:noProof/>
                    <w:webHidden/>
                  </w:rPr>
                  <w:fldChar w:fldCharType="begin"/>
                </w:r>
                <w:r>
                  <w:rPr>
                    <w:noProof/>
                    <w:webHidden/>
                  </w:rPr>
                  <w:instrText xml:space="preserve"> PAGEREF _Toc240143286 \h </w:instrText>
                </w:r>
                <w:r>
                  <w:rPr>
                    <w:noProof/>
                    <w:webHidden/>
                  </w:rPr>
                </w:r>
                <w:r>
                  <w:rPr>
                    <w:noProof/>
                    <w:webHidden/>
                  </w:rPr>
                  <w:fldChar w:fldCharType="separate"/>
                </w:r>
                <w:r>
                  <w:rPr>
                    <w:noProof/>
                    <w:webHidden/>
                  </w:rPr>
                  <w:t>22</w:t>
                </w:r>
                <w:r>
                  <w:rPr>
                    <w:noProof/>
                    <w:webHidden/>
                  </w:rPr>
                  <w:fldChar w:fldCharType="end"/>
                </w:r>
              </w:hyperlink>
            </w:p>
            <w:p w14:paraId="3406225F" w14:textId="7EF5AEE3"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7" w:history="1">
                <w:r w:rsidRPr="003C7F18">
                  <w:rPr>
                    <w:rStyle w:val="Hyperlink"/>
                    <w:rFonts w:ascii="Arial" w:hAnsi="Arial" w:cs="Arial"/>
                    <w:noProof/>
                  </w:rPr>
                  <w:t>2.3.3 Structural and Organisational Barriers</w:t>
                </w:r>
                <w:r>
                  <w:rPr>
                    <w:noProof/>
                    <w:webHidden/>
                  </w:rPr>
                  <w:tab/>
                </w:r>
                <w:r>
                  <w:rPr>
                    <w:noProof/>
                    <w:webHidden/>
                  </w:rPr>
                  <w:fldChar w:fldCharType="begin"/>
                </w:r>
                <w:r>
                  <w:rPr>
                    <w:noProof/>
                    <w:webHidden/>
                  </w:rPr>
                  <w:instrText xml:space="preserve"> PAGEREF _Toc240143287 \h </w:instrText>
                </w:r>
                <w:r>
                  <w:rPr>
                    <w:noProof/>
                    <w:webHidden/>
                  </w:rPr>
                </w:r>
                <w:r>
                  <w:rPr>
                    <w:noProof/>
                    <w:webHidden/>
                  </w:rPr>
                  <w:fldChar w:fldCharType="separate"/>
                </w:r>
                <w:r>
                  <w:rPr>
                    <w:noProof/>
                    <w:webHidden/>
                  </w:rPr>
                  <w:t>22</w:t>
                </w:r>
                <w:r>
                  <w:rPr>
                    <w:noProof/>
                    <w:webHidden/>
                  </w:rPr>
                  <w:fldChar w:fldCharType="end"/>
                </w:r>
              </w:hyperlink>
            </w:p>
            <w:p w14:paraId="6A616A47" w14:textId="5A0BAE6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8" w:history="1">
                <w:r w:rsidRPr="003C7F18">
                  <w:rPr>
                    <w:rStyle w:val="Hyperlink"/>
                    <w:rFonts w:ascii="Arial" w:hAnsi="Arial" w:cs="Arial"/>
                    <w:noProof/>
                  </w:rPr>
                  <w:t>2.4. Digital Exclusion and Health Inequalities</w:t>
                </w:r>
                <w:r>
                  <w:rPr>
                    <w:noProof/>
                    <w:webHidden/>
                  </w:rPr>
                  <w:tab/>
                </w:r>
                <w:r>
                  <w:rPr>
                    <w:noProof/>
                    <w:webHidden/>
                  </w:rPr>
                  <w:fldChar w:fldCharType="begin"/>
                </w:r>
                <w:r>
                  <w:rPr>
                    <w:noProof/>
                    <w:webHidden/>
                  </w:rPr>
                  <w:instrText xml:space="preserve"> PAGEREF _Toc240143288 \h </w:instrText>
                </w:r>
                <w:r>
                  <w:rPr>
                    <w:noProof/>
                    <w:webHidden/>
                  </w:rPr>
                </w:r>
                <w:r>
                  <w:rPr>
                    <w:noProof/>
                    <w:webHidden/>
                  </w:rPr>
                  <w:fldChar w:fldCharType="separate"/>
                </w:r>
                <w:r>
                  <w:rPr>
                    <w:noProof/>
                    <w:webHidden/>
                  </w:rPr>
                  <w:t>23</w:t>
                </w:r>
                <w:r>
                  <w:rPr>
                    <w:noProof/>
                    <w:webHidden/>
                  </w:rPr>
                  <w:fldChar w:fldCharType="end"/>
                </w:r>
              </w:hyperlink>
            </w:p>
            <w:p w14:paraId="363728D8" w14:textId="4806647D"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89" w:history="1">
                <w:r w:rsidRPr="003C7F18">
                  <w:rPr>
                    <w:rStyle w:val="Hyperlink"/>
                    <w:rFonts w:ascii="Arial" w:hAnsi="Arial" w:cs="Arial"/>
                    <w:noProof/>
                  </w:rPr>
                  <w:t>2.4.1 Digital Exclusion as a Social Determinant of Health</w:t>
                </w:r>
                <w:r>
                  <w:rPr>
                    <w:noProof/>
                    <w:webHidden/>
                  </w:rPr>
                  <w:tab/>
                </w:r>
                <w:r>
                  <w:rPr>
                    <w:noProof/>
                    <w:webHidden/>
                  </w:rPr>
                  <w:fldChar w:fldCharType="begin"/>
                </w:r>
                <w:r>
                  <w:rPr>
                    <w:noProof/>
                    <w:webHidden/>
                  </w:rPr>
                  <w:instrText xml:space="preserve"> PAGEREF _Toc240143289 \h </w:instrText>
                </w:r>
                <w:r>
                  <w:rPr>
                    <w:noProof/>
                    <w:webHidden/>
                  </w:rPr>
                </w:r>
                <w:r>
                  <w:rPr>
                    <w:noProof/>
                    <w:webHidden/>
                  </w:rPr>
                  <w:fldChar w:fldCharType="separate"/>
                </w:r>
                <w:r>
                  <w:rPr>
                    <w:noProof/>
                    <w:webHidden/>
                  </w:rPr>
                  <w:t>23</w:t>
                </w:r>
                <w:r>
                  <w:rPr>
                    <w:noProof/>
                    <w:webHidden/>
                  </w:rPr>
                  <w:fldChar w:fldCharType="end"/>
                </w:r>
              </w:hyperlink>
            </w:p>
            <w:p w14:paraId="7D26B464" w14:textId="08D91328"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0" w:history="1">
                <w:r w:rsidRPr="003C7F18">
                  <w:rPr>
                    <w:rStyle w:val="Hyperlink"/>
                    <w:rFonts w:ascii="Arial" w:hAnsi="Arial" w:cs="Arial"/>
                    <w:noProof/>
                  </w:rPr>
                  <w:t>2.4.2 Consequences for Access to Health and Social Care</w:t>
                </w:r>
                <w:r>
                  <w:rPr>
                    <w:noProof/>
                    <w:webHidden/>
                  </w:rPr>
                  <w:tab/>
                </w:r>
                <w:r>
                  <w:rPr>
                    <w:noProof/>
                    <w:webHidden/>
                  </w:rPr>
                  <w:fldChar w:fldCharType="begin"/>
                </w:r>
                <w:r>
                  <w:rPr>
                    <w:noProof/>
                    <w:webHidden/>
                  </w:rPr>
                  <w:instrText xml:space="preserve"> PAGEREF _Toc240143290 \h </w:instrText>
                </w:r>
                <w:r>
                  <w:rPr>
                    <w:noProof/>
                    <w:webHidden/>
                  </w:rPr>
                </w:r>
                <w:r>
                  <w:rPr>
                    <w:noProof/>
                    <w:webHidden/>
                  </w:rPr>
                  <w:fldChar w:fldCharType="separate"/>
                </w:r>
                <w:r>
                  <w:rPr>
                    <w:noProof/>
                    <w:webHidden/>
                  </w:rPr>
                  <w:t>24</w:t>
                </w:r>
                <w:r>
                  <w:rPr>
                    <w:noProof/>
                    <w:webHidden/>
                  </w:rPr>
                  <w:fldChar w:fldCharType="end"/>
                </w:r>
              </w:hyperlink>
            </w:p>
            <w:p w14:paraId="50E35CEF" w14:textId="184DA3D3"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1" w:history="1">
                <w:r w:rsidRPr="003C7F18">
                  <w:rPr>
                    <w:rStyle w:val="Hyperlink"/>
                    <w:rFonts w:ascii="Arial" w:hAnsi="Arial" w:cs="Arial"/>
                    <w:noProof/>
                  </w:rPr>
                  <w:t>2.5. Strategies to Improve Digital Inclusion</w:t>
                </w:r>
                <w:r>
                  <w:rPr>
                    <w:noProof/>
                    <w:webHidden/>
                  </w:rPr>
                  <w:tab/>
                </w:r>
                <w:r>
                  <w:rPr>
                    <w:noProof/>
                    <w:webHidden/>
                  </w:rPr>
                  <w:fldChar w:fldCharType="begin"/>
                </w:r>
                <w:r>
                  <w:rPr>
                    <w:noProof/>
                    <w:webHidden/>
                  </w:rPr>
                  <w:instrText xml:space="preserve"> PAGEREF _Toc240143291 \h </w:instrText>
                </w:r>
                <w:r>
                  <w:rPr>
                    <w:noProof/>
                    <w:webHidden/>
                  </w:rPr>
                </w:r>
                <w:r>
                  <w:rPr>
                    <w:noProof/>
                    <w:webHidden/>
                  </w:rPr>
                  <w:fldChar w:fldCharType="separate"/>
                </w:r>
                <w:r>
                  <w:rPr>
                    <w:noProof/>
                    <w:webHidden/>
                  </w:rPr>
                  <w:t>25</w:t>
                </w:r>
                <w:r>
                  <w:rPr>
                    <w:noProof/>
                    <w:webHidden/>
                  </w:rPr>
                  <w:fldChar w:fldCharType="end"/>
                </w:r>
              </w:hyperlink>
            </w:p>
            <w:p w14:paraId="3D71195C" w14:textId="1543FEE4"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2" w:history="1">
                <w:r w:rsidRPr="003C7F18">
                  <w:rPr>
                    <w:rStyle w:val="Hyperlink"/>
                    <w:rFonts w:ascii="Arial" w:hAnsi="Arial" w:cs="Arial"/>
                    <w:noProof/>
                  </w:rPr>
                  <w:t>2.5.1 Individual and Community-Level Interventions</w:t>
                </w:r>
                <w:r>
                  <w:rPr>
                    <w:noProof/>
                    <w:webHidden/>
                  </w:rPr>
                  <w:tab/>
                </w:r>
                <w:r>
                  <w:rPr>
                    <w:noProof/>
                    <w:webHidden/>
                  </w:rPr>
                  <w:fldChar w:fldCharType="begin"/>
                </w:r>
                <w:r>
                  <w:rPr>
                    <w:noProof/>
                    <w:webHidden/>
                  </w:rPr>
                  <w:instrText xml:space="preserve"> PAGEREF _Toc240143292 \h </w:instrText>
                </w:r>
                <w:r>
                  <w:rPr>
                    <w:noProof/>
                    <w:webHidden/>
                  </w:rPr>
                </w:r>
                <w:r>
                  <w:rPr>
                    <w:noProof/>
                    <w:webHidden/>
                  </w:rPr>
                  <w:fldChar w:fldCharType="separate"/>
                </w:r>
                <w:r>
                  <w:rPr>
                    <w:noProof/>
                    <w:webHidden/>
                  </w:rPr>
                  <w:t>25</w:t>
                </w:r>
                <w:r>
                  <w:rPr>
                    <w:noProof/>
                    <w:webHidden/>
                  </w:rPr>
                  <w:fldChar w:fldCharType="end"/>
                </w:r>
              </w:hyperlink>
            </w:p>
            <w:p w14:paraId="36E6C4C6" w14:textId="58AAC29C"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3" w:history="1">
                <w:r w:rsidRPr="003C7F18">
                  <w:rPr>
                    <w:rStyle w:val="Hyperlink"/>
                    <w:rFonts w:ascii="Arial" w:hAnsi="Arial" w:cs="Arial"/>
                    <w:noProof/>
                  </w:rPr>
                  <w:t>2.5.2 Organisational Approaches to Inclusive Service Delivery</w:t>
                </w:r>
                <w:r>
                  <w:rPr>
                    <w:noProof/>
                    <w:webHidden/>
                  </w:rPr>
                  <w:tab/>
                </w:r>
                <w:r>
                  <w:rPr>
                    <w:noProof/>
                    <w:webHidden/>
                  </w:rPr>
                  <w:fldChar w:fldCharType="begin"/>
                </w:r>
                <w:r>
                  <w:rPr>
                    <w:noProof/>
                    <w:webHidden/>
                  </w:rPr>
                  <w:instrText xml:space="preserve"> PAGEREF _Toc240143293 \h </w:instrText>
                </w:r>
                <w:r>
                  <w:rPr>
                    <w:noProof/>
                    <w:webHidden/>
                  </w:rPr>
                </w:r>
                <w:r>
                  <w:rPr>
                    <w:noProof/>
                    <w:webHidden/>
                  </w:rPr>
                  <w:fldChar w:fldCharType="separate"/>
                </w:r>
                <w:r>
                  <w:rPr>
                    <w:noProof/>
                    <w:webHidden/>
                  </w:rPr>
                  <w:t>26</w:t>
                </w:r>
                <w:r>
                  <w:rPr>
                    <w:noProof/>
                    <w:webHidden/>
                  </w:rPr>
                  <w:fldChar w:fldCharType="end"/>
                </w:r>
              </w:hyperlink>
            </w:p>
            <w:p w14:paraId="4E17BE6A" w14:textId="4479DF8A" w:rsidR="00AA6C99" w:rsidRDefault="00AA6C99">
              <w:pPr>
                <w:pStyle w:val="TOC3"/>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4" w:history="1">
                <w:r w:rsidRPr="003C7F18">
                  <w:rPr>
                    <w:rStyle w:val="Hyperlink"/>
                    <w:rFonts w:ascii="Arial" w:hAnsi="Arial" w:cs="Arial"/>
                    <w:noProof/>
                  </w:rPr>
                  <w:t>2.5.3 Policy and System-Level Strategies</w:t>
                </w:r>
                <w:r>
                  <w:rPr>
                    <w:noProof/>
                    <w:webHidden/>
                  </w:rPr>
                  <w:tab/>
                </w:r>
                <w:r>
                  <w:rPr>
                    <w:noProof/>
                    <w:webHidden/>
                  </w:rPr>
                  <w:fldChar w:fldCharType="begin"/>
                </w:r>
                <w:r>
                  <w:rPr>
                    <w:noProof/>
                    <w:webHidden/>
                  </w:rPr>
                  <w:instrText xml:space="preserve"> PAGEREF _Toc240143294 \h </w:instrText>
                </w:r>
                <w:r>
                  <w:rPr>
                    <w:noProof/>
                    <w:webHidden/>
                  </w:rPr>
                </w:r>
                <w:r>
                  <w:rPr>
                    <w:noProof/>
                    <w:webHidden/>
                  </w:rPr>
                  <w:fldChar w:fldCharType="separate"/>
                </w:r>
                <w:r>
                  <w:rPr>
                    <w:noProof/>
                    <w:webHidden/>
                  </w:rPr>
                  <w:t>27</w:t>
                </w:r>
                <w:r>
                  <w:rPr>
                    <w:noProof/>
                    <w:webHidden/>
                  </w:rPr>
                  <w:fldChar w:fldCharType="end"/>
                </w:r>
              </w:hyperlink>
            </w:p>
            <w:p w14:paraId="7FF0C437" w14:textId="0DF40D2F"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5" w:history="1">
                <w:r w:rsidRPr="003C7F18">
                  <w:rPr>
                    <w:rStyle w:val="Hyperlink"/>
                    <w:rFonts w:ascii="Arial" w:hAnsi="Arial" w:cs="Arial"/>
                    <w:noProof/>
                  </w:rPr>
                  <w:t>2.6. Theoretical Framework: Helsper's Corresponding Fields Model</w:t>
                </w:r>
                <w:r>
                  <w:rPr>
                    <w:noProof/>
                    <w:webHidden/>
                  </w:rPr>
                  <w:tab/>
                </w:r>
                <w:r>
                  <w:rPr>
                    <w:noProof/>
                    <w:webHidden/>
                  </w:rPr>
                  <w:fldChar w:fldCharType="begin"/>
                </w:r>
                <w:r>
                  <w:rPr>
                    <w:noProof/>
                    <w:webHidden/>
                  </w:rPr>
                  <w:instrText xml:space="preserve"> PAGEREF _Toc240143295 \h </w:instrText>
                </w:r>
                <w:r>
                  <w:rPr>
                    <w:noProof/>
                    <w:webHidden/>
                  </w:rPr>
                </w:r>
                <w:r>
                  <w:rPr>
                    <w:noProof/>
                    <w:webHidden/>
                  </w:rPr>
                  <w:fldChar w:fldCharType="separate"/>
                </w:r>
                <w:r>
                  <w:rPr>
                    <w:noProof/>
                    <w:webHidden/>
                  </w:rPr>
                  <w:t>27</w:t>
                </w:r>
                <w:r>
                  <w:rPr>
                    <w:noProof/>
                    <w:webHidden/>
                  </w:rPr>
                  <w:fldChar w:fldCharType="end"/>
                </w:r>
              </w:hyperlink>
            </w:p>
            <w:p w14:paraId="52A47EC5" w14:textId="37A48C4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6" w:history="1">
                <w:r w:rsidRPr="003C7F18">
                  <w:rPr>
                    <w:rStyle w:val="Hyperlink"/>
                    <w:rFonts w:ascii="Arial" w:hAnsi="Arial" w:cs="Arial"/>
                    <w:noProof/>
                  </w:rPr>
                  <w:t>2.7. Chapter Summary</w:t>
                </w:r>
                <w:r>
                  <w:rPr>
                    <w:noProof/>
                    <w:webHidden/>
                  </w:rPr>
                  <w:tab/>
                </w:r>
                <w:r>
                  <w:rPr>
                    <w:noProof/>
                    <w:webHidden/>
                  </w:rPr>
                  <w:fldChar w:fldCharType="begin"/>
                </w:r>
                <w:r>
                  <w:rPr>
                    <w:noProof/>
                    <w:webHidden/>
                  </w:rPr>
                  <w:instrText xml:space="preserve"> PAGEREF _Toc240143296 \h </w:instrText>
                </w:r>
                <w:r>
                  <w:rPr>
                    <w:noProof/>
                    <w:webHidden/>
                  </w:rPr>
                </w:r>
                <w:r>
                  <w:rPr>
                    <w:noProof/>
                    <w:webHidden/>
                  </w:rPr>
                  <w:fldChar w:fldCharType="separate"/>
                </w:r>
                <w:r>
                  <w:rPr>
                    <w:noProof/>
                    <w:webHidden/>
                  </w:rPr>
                  <w:t>29</w:t>
                </w:r>
                <w:r>
                  <w:rPr>
                    <w:noProof/>
                    <w:webHidden/>
                  </w:rPr>
                  <w:fldChar w:fldCharType="end"/>
                </w:r>
              </w:hyperlink>
            </w:p>
            <w:p w14:paraId="0BA03119" w14:textId="03A02E14"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297" w:history="1">
                <w:r w:rsidRPr="003C7F18">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_Toc240143297 \h </w:instrText>
                </w:r>
                <w:r>
                  <w:rPr>
                    <w:noProof/>
                    <w:webHidden/>
                  </w:rPr>
                </w:r>
                <w:r>
                  <w:rPr>
                    <w:noProof/>
                    <w:webHidden/>
                  </w:rPr>
                  <w:fldChar w:fldCharType="separate"/>
                </w:r>
                <w:r>
                  <w:rPr>
                    <w:noProof/>
                    <w:webHidden/>
                  </w:rPr>
                  <w:t>30</w:t>
                </w:r>
                <w:r>
                  <w:rPr>
                    <w:noProof/>
                    <w:webHidden/>
                  </w:rPr>
                  <w:fldChar w:fldCharType="end"/>
                </w:r>
              </w:hyperlink>
            </w:p>
            <w:p w14:paraId="1B884448" w14:textId="2FAA2237"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8" w:history="1">
                <w:r w:rsidRPr="003C7F18">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_Toc240143298 \h </w:instrText>
                </w:r>
                <w:r>
                  <w:rPr>
                    <w:noProof/>
                    <w:webHidden/>
                  </w:rPr>
                </w:r>
                <w:r>
                  <w:rPr>
                    <w:noProof/>
                    <w:webHidden/>
                  </w:rPr>
                  <w:fldChar w:fldCharType="separate"/>
                </w:r>
                <w:r>
                  <w:rPr>
                    <w:noProof/>
                    <w:webHidden/>
                  </w:rPr>
                  <w:t>30</w:t>
                </w:r>
                <w:r>
                  <w:rPr>
                    <w:noProof/>
                    <w:webHidden/>
                  </w:rPr>
                  <w:fldChar w:fldCharType="end"/>
                </w:r>
              </w:hyperlink>
            </w:p>
            <w:p w14:paraId="55B03A79" w14:textId="783C1EF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299" w:history="1">
                <w:r w:rsidRPr="003C7F18">
                  <w:rPr>
                    <w:rStyle w:val="Hyperlink"/>
                    <w:rFonts w:ascii="Arial" w:hAnsi="Arial" w:cs="Arial"/>
                    <w:noProof/>
                  </w:rPr>
                  <w:t>3.2 Research Design</w:t>
                </w:r>
                <w:r>
                  <w:rPr>
                    <w:noProof/>
                    <w:webHidden/>
                  </w:rPr>
                  <w:tab/>
                </w:r>
                <w:r>
                  <w:rPr>
                    <w:noProof/>
                    <w:webHidden/>
                  </w:rPr>
                  <w:fldChar w:fldCharType="begin"/>
                </w:r>
                <w:r>
                  <w:rPr>
                    <w:noProof/>
                    <w:webHidden/>
                  </w:rPr>
                  <w:instrText xml:space="preserve"> PAGEREF _Toc240143299 \h </w:instrText>
                </w:r>
                <w:r>
                  <w:rPr>
                    <w:noProof/>
                    <w:webHidden/>
                  </w:rPr>
                </w:r>
                <w:r>
                  <w:rPr>
                    <w:noProof/>
                    <w:webHidden/>
                  </w:rPr>
                  <w:fldChar w:fldCharType="separate"/>
                </w:r>
                <w:r>
                  <w:rPr>
                    <w:noProof/>
                    <w:webHidden/>
                  </w:rPr>
                  <w:t>30</w:t>
                </w:r>
                <w:r>
                  <w:rPr>
                    <w:noProof/>
                    <w:webHidden/>
                  </w:rPr>
                  <w:fldChar w:fldCharType="end"/>
                </w:r>
              </w:hyperlink>
            </w:p>
            <w:p w14:paraId="64C01643" w14:textId="2361183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0" w:history="1">
                <w:r w:rsidRPr="003C7F18">
                  <w:rPr>
                    <w:rStyle w:val="Hyperlink"/>
                    <w:rFonts w:ascii="Arial" w:hAnsi="Arial" w:cs="Arial"/>
                    <w:noProof/>
                  </w:rPr>
                  <w:t>3.3 Research Philosophy</w:t>
                </w:r>
                <w:r>
                  <w:rPr>
                    <w:noProof/>
                    <w:webHidden/>
                  </w:rPr>
                  <w:tab/>
                </w:r>
                <w:r>
                  <w:rPr>
                    <w:noProof/>
                    <w:webHidden/>
                  </w:rPr>
                  <w:fldChar w:fldCharType="begin"/>
                </w:r>
                <w:r>
                  <w:rPr>
                    <w:noProof/>
                    <w:webHidden/>
                  </w:rPr>
                  <w:instrText xml:space="preserve"> PAGEREF _Toc240143300 \h </w:instrText>
                </w:r>
                <w:r>
                  <w:rPr>
                    <w:noProof/>
                    <w:webHidden/>
                  </w:rPr>
                </w:r>
                <w:r>
                  <w:rPr>
                    <w:noProof/>
                    <w:webHidden/>
                  </w:rPr>
                  <w:fldChar w:fldCharType="separate"/>
                </w:r>
                <w:r>
                  <w:rPr>
                    <w:noProof/>
                    <w:webHidden/>
                  </w:rPr>
                  <w:t>31</w:t>
                </w:r>
                <w:r>
                  <w:rPr>
                    <w:noProof/>
                    <w:webHidden/>
                  </w:rPr>
                  <w:fldChar w:fldCharType="end"/>
                </w:r>
              </w:hyperlink>
            </w:p>
            <w:p w14:paraId="3822EE2B" w14:textId="62DCC21C"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1" w:history="1">
                <w:r w:rsidRPr="003C7F18">
                  <w:rPr>
                    <w:rStyle w:val="Hyperlink"/>
                    <w:rFonts w:ascii="Arial" w:hAnsi="Arial" w:cs="Arial"/>
                    <w:noProof/>
                  </w:rPr>
                  <w:t>3.4 Research Approach</w:t>
                </w:r>
                <w:r>
                  <w:rPr>
                    <w:noProof/>
                    <w:webHidden/>
                  </w:rPr>
                  <w:tab/>
                </w:r>
                <w:r>
                  <w:rPr>
                    <w:noProof/>
                    <w:webHidden/>
                  </w:rPr>
                  <w:fldChar w:fldCharType="begin"/>
                </w:r>
                <w:r>
                  <w:rPr>
                    <w:noProof/>
                    <w:webHidden/>
                  </w:rPr>
                  <w:instrText xml:space="preserve"> PAGEREF _Toc240143301 \h </w:instrText>
                </w:r>
                <w:r>
                  <w:rPr>
                    <w:noProof/>
                    <w:webHidden/>
                  </w:rPr>
                </w:r>
                <w:r>
                  <w:rPr>
                    <w:noProof/>
                    <w:webHidden/>
                  </w:rPr>
                  <w:fldChar w:fldCharType="separate"/>
                </w:r>
                <w:r>
                  <w:rPr>
                    <w:noProof/>
                    <w:webHidden/>
                  </w:rPr>
                  <w:t>32</w:t>
                </w:r>
                <w:r>
                  <w:rPr>
                    <w:noProof/>
                    <w:webHidden/>
                  </w:rPr>
                  <w:fldChar w:fldCharType="end"/>
                </w:r>
              </w:hyperlink>
            </w:p>
            <w:p w14:paraId="2F17BBB1" w14:textId="518947C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2" w:history="1">
                <w:r w:rsidRPr="003C7F18">
                  <w:rPr>
                    <w:rStyle w:val="Hyperlink"/>
                    <w:rFonts w:ascii="Arial" w:hAnsi="Arial" w:cs="Arial"/>
                    <w:noProof/>
                  </w:rPr>
                  <w:t>3.5 Systematic Review Method</w:t>
                </w:r>
                <w:r>
                  <w:rPr>
                    <w:noProof/>
                    <w:webHidden/>
                  </w:rPr>
                  <w:tab/>
                </w:r>
                <w:r>
                  <w:rPr>
                    <w:noProof/>
                    <w:webHidden/>
                  </w:rPr>
                  <w:fldChar w:fldCharType="begin"/>
                </w:r>
                <w:r>
                  <w:rPr>
                    <w:noProof/>
                    <w:webHidden/>
                  </w:rPr>
                  <w:instrText xml:space="preserve"> PAGEREF _Toc240143302 \h </w:instrText>
                </w:r>
                <w:r>
                  <w:rPr>
                    <w:noProof/>
                    <w:webHidden/>
                  </w:rPr>
                </w:r>
                <w:r>
                  <w:rPr>
                    <w:noProof/>
                    <w:webHidden/>
                  </w:rPr>
                  <w:fldChar w:fldCharType="separate"/>
                </w:r>
                <w:r>
                  <w:rPr>
                    <w:noProof/>
                    <w:webHidden/>
                  </w:rPr>
                  <w:t>33</w:t>
                </w:r>
                <w:r>
                  <w:rPr>
                    <w:noProof/>
                    <w:webHidden/>
                  </w:rPr>
                  <w:fldChar w:fldCharType="end"/>
                </w:r>
              </w:hyperlink>
            </w:p>
            <w:p w14:paraId="3C88477F" w14:textId="19FCD2E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3" w:history="1">
                <w:r w:rsidRPr="003C7F18">
                  <w:rPr>
                    <w:rStyle w:val="Hyperlink"/>
                    <w:rFonts w:ascii="Arial" w:hAnsi="Arial" w:cs="Arial"/>
                    <w:noProof/>
                  </w:rPr>
                  <w:t>3.6 Search Strategy</w:t>
                </w:r>
                <w:r>
                  <w:rPr>
                    <w:noProof/>
                    <w:webHidden/>
                  </w:rPr>
                  <w:tab/>
                </w:r>
                <w:r>
                  <w:rPr>
                    <w:noProof/>
                    <w:webHidden/>
                  </w:rPr>
                  <w:fldChar w:fldCharType="begin"/>
                </w:r>
                <w:r>
                  <w:rPr>
                    <w:noProof/>
                    <w:webHidden/>
                  </w:rPr>
                  <w:instrText xml:space="preserve"> PAGEREF _Toc240143303 \h </w:instrText>
                </w:r>
                <w:r>
                  <w:rPr>
                    <w:noProof/>
                    <w:webHidden/>
                  </w:rPr>
                </w:r>
                <w:r>
                  <w:rPr>
                    <w:noProof/>
                    <w:webHidden/>
                  </w:rPr>
                  <w:fldChar w:fldCharType="separate"/>
                </w:r>
                <w:r>
                  <w:rPr>
                    <w:noProof/>
                    <w:webHidden/>
                  </w:rPr>
                  <w:t>33</w:t>
                </w:r>
                <w:r>
                  <w:rPr>
                    <w:noProof/>
                    <w:webHidden/>
                  </w:rPr>
                  <w:fldChar w:fldCharType="end"/>
                </w:r>
              </w:hyperlink>
            </w:p>
            <w:p w14:paraId="532BB6F1" w14:textId="372370D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4" w:history="1">
                <w:r w:rsidRPr="003C7F18">
                  <w:rPr>
                    <w:rStyle w:val="Hyperlink"/>
                    <w:rFonts w:ascii="Arial" w:hAnsi="Arial" w:cs="Arial"/>
                    <w:noProof/>
                  </w:rPr>
                  <w:t>3.7 Eligibility Criteria</w:t>
                </w:r>
                <w:r>
                  <w:rPr>
                    <w:noProof/>
                    <w:webHidden/>
                  </w:rPr>
                  <w:tab/>
                </w:r>
                <w:r>
                  <w:rPr>
                    <w:noProof/>
                    <w:webHidden/>
                  </w:rPr>
                  <w:fldChar w:fldCharType="begin"/>
                </w:r>
                <w:r>
                  <w:rPr>
                    <w:noProof/>
                    <w:webHidden/>
                  </w:rPr>
                  <w:instrText xml:space="preserve"> PAGEREF _Toc240143304 \h </w:instrText>
                </w:r>
                <w:r>
                  <w:rPr>
                    <w:noProof/>
                    <w:webHidden/>
                  </w:rPr>
                </w:r>
                <w:r>
                  <w:rPr>
                    <w:noProof/>
                    <w:webHidden/>
                  </w:rPr>
                  <w:fldChar w:fldCharType="separate"/>
                </w:r>
                <w:r>
                  <w:rPr>
                    <w:noProof/>
                    <w:webHidden/>
                  </w:rPr>
                  <w:t>34</w:t>
                </w:r>
                <w:r>
                  <w:rPr>
                    <w:noProof/>
                    <w:webHidden/>
                  </w:rPr>
                  <w:fldChar w:fldCharType="end"/>
                </w:r>
              </w:hyperlink>
            </w:p>
            <w:p w14:paraId="4F16134B" w14:textId="2045831E"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5" w:history="1">
                <w:r w:rsidRPr="003C7F18">
                  <w:rPr>
                    <w:rStyle w:val="Hyperlink"/>
                    <w:rFonts w:ascii="Arial" w:hAnsi="Arial" w:cs="Arial"/>
                    <w:noProof/>
                  </w:rPr>
                  <w:t>3.8 Study Selection</w:t>
                </w:r>
                <w:r>
                  <w:rPr>
                    <w:noProof/>
                    <w:webHidden/>
                  </w:rPr>
                  <w:tab/>
                </w:r>
                <w:r>
                  <w:rPr>
                    <w:noProof/>
                    <w:webHidden/>
                  </w:rPr>
                  <w:fldChar w:fldCharType="begin"/>
                </w:r>
                <w:r>
                  <w:rPr>
                    <w:noProof/>
                    <w:webHidden/>
                  </w:rPr>
                  <w:instrText xml:space="preserve"> PAGEREF _Toc240143305 \h </w:instrText>
                </w:r>
                <w:r>
                  <w:rPr>
                    <w:noProof/>
                    <w:webHidden/>
                  </w:rPr>
                </w:r>
                <w:r>
                  <w:rPr>
                    <w:noProof/>
                    <w:webHidden/>
                  </w:rPr>
                  <w:fldChar w:fldCharType="separate"/>
                </w:r>
                <w:r>
                  <w:rPr>
                    <w:noProof/>
                    <w:webHidden/>
                  </w:rPr>
                  <w:t>35</w:t>
                </w:r>
                <w:r>
                  <w:rPr>
                    <w:noProof/>
                    <w:webHidden/>
                  </w:rPr>
                  <w:fldChar w:fldCharType="end"/>
                </w:r>
              </w:hyperlink>
            </w:p>
            <w:p w14:paraId="1CEEF2A0" w14:textId="66A0708C"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6" w:history="1">
                <w:r w:rsidRPr="003C7F18">
                  <w:rPr>
                    <w:rStyle w:val="Hyperlink"/>
                    <w:rFonts w:ascii="Arial" w:hAnsi="Arial" w:cs="Arial"/>
                    <w:noProof/>
                    <w:lang w:eastAsia="en-GB"/>
                  </w:rPr>
                  <w:t>3.9 Quality Appraisal</w:t>
                </w:r>
                <w:r>
                  <w:rPr>
                    <w:noProof/>
                    <w:webHidden/>
                  </w:rPr>
                  <w:tab/>
                </w:r>
                <w:r>
                  <w:rPr>
                    <w:noProof/>
                    <w:webHidden/>
                  </w:rPr>
                  <w:fldChar w:fldCharType="begin"/>
                </w:r>
                <w:r>
                  <w:rPr>
                    <w:noProof/>
                    <w:webHidden/>
                  </w:rPr>
                  <w:instrText xml:space="preserve"> PAGEREF _Toc240143306 \h </w:instrText>
                </w:r>
                <w:r>
                  <w:rPr>
                    <w:noProof/>
                    <w:webHidden/>
                  </w:rPr>
                </w:r>
                <w:r>
                  <w:rPr>
                    <w:noProof/>
                    <w:webHidden/>
                  </w:rPr>
                  <w:fldChar w:fldCharType="separate"/>
                </w:r>
                <w:r>
                  <w:rPr>
                    <w:noProof/>
                    <w:webHidden/>
                  </w:rPr>
                  <w:t>35</w:t>
                </w:r>
                <w:r>
                  <w:rPr>
                    <w:noProof/>
                    <w:webHidden/>
                  </w:rPr>
                  <w:fldChar w:fldCharType="end"/>
                </w:r>
              </w:hyperlink>
            </w:p>
            <w:p w14:paraId="15DE9774" w14:textId="17F27AC1"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7" w:history="1">
                <w:r w:rsidRPr="003C7F18">
                  <w:rPr>
                    <w:rStyle w:val="Hyperlink"/>
                    <w:rFonts w:ascii="Arial" w:hAnsi="Arial" w:cs="Arial"/>
                    <w:noProof/>
                    <w:lang w:eastAsia="en-GB"/>
                  </w:rPr>
                  <w:t>3.10 Data Extraction</w:t>
                </w:r>
                <w:r>
                  <w:rPr>
                    <w:noProof/>
                    <w:webHidden/>
                  </w:rPr>
                  <w:tab/>
                </w:r>
                <w:r>
                  <w:rPr>
                    <w:noProof/>
                    <w:webHidden/>
                  </w:rPr>
                  <w:fldChar w:fldCharType="begin"/>
                </w:r>
                <w:r>
                  <w:rPr>
                    <w:noProof/>
                    <w:webHidden/>
                  </w:rPr>
                  <w:instrText xml:space="preserve"> PAGEREF _Toc240143307 \h </w:instrText>
                </w:r>
                <w:r>
                  <w:rPr>
                    <w:noProof/>
                    <w:webHidden/>
                  </w:rPr>
                </w:r>
                <w:r>
                  <w:rPr>
                    <w:noProof/>
                    <w:webHidden/>
                  </w:rPr>
                  <w:fldChar w:fldCharType="separate"/>
                </w:r>
                <w:r>
                  <w:rPr>
                    <w:noProof/>
                    <w:webHidden/>
                  </w:rPr>
                  <w:t>36</w:t>
                </w:r>
                <w:r>
                  <w:rPr>
                    <w:noProof/>
                    <w:webHidden/>
                  </w:rPr>
                  <w:fldChar w:fldCharType="end"/>
                </w:r>
              </w:hyperlink>
            </w:p>
            <w:p w14:paraId="176500E1" w14:textId="0160BC3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8" w:history="1">
                <w:r w:rsidRPr="003C7F18">
                  <w:rPr>
                    <w:rStyle w:val="Hyperlink"/>
                    <w:rFonts w:ascii="Arial" w:hAnsi="Arial" w:cs="Arial"/>
                    <w:noProof/>
                    <w:lang w:eastAsia="en-GB"/>
                  </w:rPr>
                  <w:t>3.11 Data Analysis</w:t>
                </w:r>
                <w:r>
                  <w:rPr>
                    <w:noProof/>
                    <w:webHidden/>
                  </w:rPr>
                  <w:tab/>
                </w:r>
                <w:r>
                  <w:rPr>
                    <w:noProof/>
                    <w:webHidden/>
                  </w:rPr>
                  <w:fldChar w:fldCharType="begin"/>
                </w:r>
                <w:r>
                  <w:rPr>
                    <w:noProof/>
                    <w:webHidden/>
                  </w:rPr>
                  <w:instrText xml:space="preserve"> PAGEREF _Toc240143308 \h </w:instrText>
                </w:r>
                <w:r>
                  <w:rPr>
                    <w:noProof/>
                    <w:webHidden/>
                  </w:rPr>
                </w:r>
                <w:r>
                  <w:rPr>
                    <w:noProof/>
                    <w:webHidden/>
                  </w:rPr>
                  <w:fldChar w:fldCharType="separate"/>
                </w:r>
                <w:r>
                  <w:rPr>
                    <w:noProof/>
                    <w:webHidden/>
                  </w:rPr>
                  <w:t>37</w:t>
                </w:r>
                <w:r>
                  <w:rPr>
                    <w:noProof/>
                    <w:webHidden/>
                  </w:rPr>
                  <w:fldChar w:fldCharType="end"/>
                </w:r>
              </w:hyperlink>
            </w:p>
            <w:p w14:paraId="18DF7302" w14:textId="608D72E7"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09" w:history="1">
                <w:r w:rsidRPr="003C7F18">
                  <w:rPr>
                    <w:rStyle w:val="Hyperlink"/>
                    <w:rFonts w:ascii="Arial" w:hAnsi="Arial" w:cs="Arial"/>
                    <w:noProof/>
                    <w:lang w:eastAsia="en-GB"/>
                  </w:rPr>
                  <w:t>3.12 Ethical Considerations</w:t>
                </w:r>
                <w:r>
                  <w:rPr>
                    <w:noProof/>
                    <w:webHidden/>
                  </w:rPr>
                  <w:tab/>
                </w:r>
                <w:r>
                  <w:rPr>
                    <w:noProof/>
                    <w:webHidden/>
                  </w:rPr>
                  <w:fldChar w:fldCharType="begin"/>
                </w:r>
                <w:r>
                  <w:rPr>
                    <w:noProof/>
                    <w:webHidden/>
                  </w:rPr>
                  <w:instrText xml:space="preserve"> PAGEREF _Toc240143309 \h </w:instrText>
                </w:r>
                <w:r>
                  <w:rPr>
                    <w:noProof/>
                    <w:webHidden/>
                  </w:rPr>
                </w:r>
                <w:r>
                  <w:rPr>
                    <w:noProof/>
                    <w:webHidden/>
                  </w:rPr>
                  <w:fldChar w:fldCharType="separate"/>
                </w:r>
                <w:r>
                  <w:rPr>
                    <w:noProof/>
                    <w:webHidden/>
                  </w:rPr>
                  <w:t>37</w:t>
                </w:r>
                <w:r>
                  <w:rPr>
                    <w:noProof/>
                    <w:webHidden/>
                  </w:rPr>
                  <w:fldChar w:fldCharType="end"/>
                </w:r>
              </w:hyperlink>
            </w:p>
            <w:p w14:paraId="4F4BE134" w14:textId="56526736"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0" w:history="1">
                <w:r w:rsidRPr="003C7F18">
                  <w:rPr>
                    <w:rStyle w:val="Hyperlink"/>
                    <w:rFonts w:ascii="Arial" w:hAnsi="Arial" w:cs="Arial"/>
                    <w:noProof/>
                    <w:lang w:eastAsia="en-GB"/>
                  </w:rPr>
                  <w:t>3.13 Chapter Summary</w:t>
                </w:r>
                <w:r>
                  <w:rPr>
                    <w:noProof/>
                    <w:webHidden/>
                  </w:rPr>
                  <w:tab/>
                </w:r>
                <w:r>
                  <w:rPr>
                    <w:noProof/>
                    <w:webHidden/>
                  </w:rPr>
                  <w:fldChar w:fldCharType="begin"/>
                </w:r>
                <w:r>
                  <w:rPr>
                    <w:noProof/>
                    <w:webHidden/>
                  </w:rPr>
                  <w:instrText xml:space="preserve"> PAGEREF _Toc240143310 \h </w:instrText>
                </w:r>
                <w:r>
                  <w:rPr>
                    <w:noProof/>
                    <w:webHidden/>
                  </w:rPr>
                </w:r>
                <w:r>
                  <w:rPr>
                    <w:noProof/>
                    <w:webHidden/>
                  </w:rPr>
                  <w:fldChar w:fldCharType="separate"/>
                </w:r>
                <w:r>
                  <w:rPr>
                    <w:noProof/>
                    <w:webHidden/>
                  </w:rPr>
                  <w:t>38</w:t>
                </w:r>
                <w:r>
                  <w:rPr>
                    <w:noProof/>
                    <w:webHidden/>
                  </w:rPr>
                  <w:fldChar w:fldCharType="end"/>
                </w:r>
              </w:hyperlink>
            </w:p>
            <w:p w14:paraId="2D0B5AB0" w14:textId="02748F3C"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11" w:history="1">
                <w:r w:rsidRPr="003C7F18">
                  <w:rPr>
                    <w:rStyle w:val="Hyperlink"/>
                    <w:rFonts w:ascii="Arial" w:hAnsi="Arial" w:cs="Arial"/>
                    <w:noProof/>
                  </w:rPr>
                  <w:t>Chapter 4: Results</w:t>
                </w:r>
                <w:r>
                  <w:rPr>
                    <w:noProof/>
                    <w:webHidden/>
                  </w:rPr>
                  <w:tab/>
                </w:r>
                <w:r>
                  <w:rPr>
                    <w:noProof/>
                    <w:webHidden/>
                  </w:rPr>
                  <w:fldChar w:fldCharType="begin"/>
                </w:r>
                <w:r>
                  <w:rPr>
                    <w:noProof/>
                    <w:webHidden/>
                  </w:rPr>
                  <w:instrText xml:space="preserve"> PAGEREF _Toc240143311 \h </w:instrText>
                </w:r>
                <w:r>
                  <w:rPr>
                    <w:noProof/>
                    <w:webHidden/>
                  </w:rPr>
                </w:r>
                <w:r>
                  <w:rPr>
                    <w:noProof/>
                    <w:webHidden/>
                  </w:rPr>
                  <w:fldChar w:fldCharType="separate"/>
                </w:r>
                <w:r>
                  <w:rPr>
                    <w:noProof/>
                    <w:webHidden/>
                  </w:rPr>
                  <w:t>38</w:t>
                </w:r>
                <w:r>
                  <w:rPr>
                    <w:noProof/>
                    <w:webHidden/>
                  </w:rPr>
                  <w:fldChar w:fldCharType="end"/>
                </w:r>
              </w:hyperlink>
            </w:p>
            <w:p w14:paraId="27A2E0C4" w14:textId="538183B1"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2" w:history="1">
                <w:r w:rsidRPr="003C7F18">
                  <w:rPr>
                    <w:rStyle w:val="Hyperlink"/>
                    <w:rFonts w:ascii="Arial" w:hAnsi="Arial" w:cs="Arial"/>
                    <w:noProof/>
                    <w:lang w:eastAsia="en-GB"/>
                  </w:rPr>
                  <w:t>4.1 Introduction</w:t>
                </w:r>
                <w:r>
                  <w:rPr>
                    <w:noProof/>
                    <w:webHidden/>
                  </w:rPr>
                  <w:tab/>
                </w:r>
                <w:r>
                  <w:rPr>
                    <w:noProof/>
                    <w:webHidden/>
                  </w:rPr>
                  <w:fldChar w:fldCharType="begin"/>
                </w:r>
                <w:r>
                  <w:rPr>
                    <w:noProof/>
                    <w:webHidden/>
                  </w:rPr>
                  <w:instrText xml:space="preserve"> PAGEREF _Toc240143312 \h </w:instrText>
                </w:r>
                <w:r>
                  <w:rPr>
                    <w:noProof/>
                    <w:webHidden/>
                  </w:rPr>
                </w:r>
                <w:r>
                  <w:rPr>
                    <w:noProof/>
                    <w:webHidden/>
                  </w:rPr>
                  <w:fldChar w:fldCharType="separate"/>
                </w:r>
                <w:r>
                  <w:rPr>
                    <w:noProof/>
                    <w:webHidden/>
                  </w:rPr>
                  <w:t>38</w:t>
                </w:r>
                <w:r>
                  <w:rPr>
                    <w:noProof/>
                    <w:webHidden/>
                  </w:rPr>
                  <w:fldChar w:fldCharType="end"/>
                </w:r>
              </w:hyperlink>
            </w:p>
            <w:p w14:paraId="2E9575FA" w14:textId="3FCFA62B"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3" w:history="1">
                <w:r w:rsidRPr="003C7F18">
                  <w:rPr>
                    <w:rStyle w:val="Hyperlink"/>
                    <w:rFonts w:ascii="Arial" w:hAnsi="Arial" w:cs="Arial"/>
                    <w:noProof/>
                    <w:lang w:eastAsia="en-GB"/>
                  </w:rPr>
                  <w:t>4.2 Characteristics of the Included Studies</w:t>
                </w:r>
                <w:r>
                  <w:rPr>
                    <w:noProof/>
                    <w:webHidden/>
                  </w:rPr>
                  <w:tab/>
                </w:r>
                <w:r>
                  <w:rPr>
                    <w:noProof/>
                    <w:webHidden/>
                  </w:rPr>
                  <w:fldChar w:fldCharType="begin"/>
                </w:r>
                <w:r>
                  <w:rPr>
                    <w:noProof/>
                    <w:webHidden/>
                  </w:rPr>
                  <w:instrText xml:space="preserve"> PAGEREF _Toc240143313 \h </w:instrText>
                </w:r>
                <w:r>
                  <w:rPr>
                    <w:noProof/>
                    <w:webHidden/>
                  </w:rPr>
                </w:r>
                <w:r>
                  <w:rPr>
                    <w:noProof/>
                    <w:webHidden/>
                  </w:rPr>
                  <w:fldChar w:fldCharType="separate"/>
                </w:r>
                <w:r>
                  <w:rPr>
                    <w:noProof/>
                    <w:webHidden/>
                  </w:rPr>
                  <w:t>38</w:t>
                </w:r>
                <w:r>
                  <w:rPr>
                    <w:noProof/>
                    <w:webHidden/>
                  </w:rPr>
                  <w:fldChar w:fldCharType="end"/>
                </w:r>
              </w:hyperlink>
            </w:p>
            <w:p w14:paraId="36DBC931" w14:textId="0EA0C3A4"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4" w:history="1">
                <w:r w:rsidRPr="003C7F18">
                  <w:rPr>
                    <w:rStyle w:val="Hyperlink"/>
                    <w:rFonts w:ascii="Arial" w:hAnsi="Arial" w:cs="Arial"/>
                    <w:noProof/>
                    <w:lang w:eastAsia="en-GB"/>
                  </w:rPr>
                  <w:t>4.3 Digital Capability and Confidence</w:t>
                </w:r>
                <w:r>
                  <w:rPr>
                    <w:noProof/>
                    <w:webHidden/>
                  </w:rPr>
                  <w:tab/>
                </w:r>
                <w:r>
                  <w:rPr>
                    <w:noProof/>
                    <w:webHidden/>
                  </w:rPr>
                  <w:fldChar w:fldCharType="begin"/>
                </w:r>
                <w:r>
                  <w:rPr>
                    <w:noProof/>
                    <w:webHidden/>
                  </w:rPr>
                  <w:instrText xml:space="preserve"> PAGEREF _Toc240143314 \h </w:instrText>
                </w:r>
                <w:r>
                  <w:rPr>
                    <w:noProof/>
                    <w:webHidden/>
                  </w:rPr>
                </w:r>
                <w:r>
                  <w:rPr>
                    <w:noProof/>
                    <w:webHidden/>
                  </w:rPr>
                  <w:fldChar w:fldCharType="separate"/>
                </w:r>
                <w:r>
                  <w:rPr>
                    <w:noProof/>
                    <w:webHidden/>
                  </w:rPr>
                  <w:t>39</w:t>
                </w:r>
                <w:r>
                  <w:rPr>
                    <w:noProof/>
                    <w:webHidden/>
                  </w:rPr>
                  <w:fldChar w:fldCharType="end"/>
                </w:r>
              </w:hyperlink>
            </w:p>
            <w:p w14:paraId="28C240AF" w14:textId="279644CE"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5" w:history="1">
                <w:r w:rsidRPr="003C7F18">
                  <w:rPr>
                    <w:rStyle w:val="Hyperlink"/>
                    <w:rFonts w:ascii="Arial" w:hAnsi="Arial" w:cs="Arial"/>
                    <w:noProof/>
                    <w:lang w:eastAsia="en-GB"/>
                  </w:rPr>
                  <w:t>4.4 Social and Structural Inequalities in Digital Access</w:t>
                </w:r>
                <w:r>
                  <w:rPr>
                    <w:noProof/>
                    <w:webHidden/>
                  </w:rPr>
                  <w:tab/>
                </w:r>
                <w:r>
                  <w:rPr>
                    <w:noProof/>
                    <w:webHidden/>
                  </w:rPr>
                  <w:fldChar w:fldCharType="begin"/>
                </w:r>
                <w:r>
                  <w:rPr>
                    <w:noProof/>
                    <w:webHidden/>
                  </w:rPr>
                  <w:instrText xml:space="preserve"> PAGEREF _Toc240143315 \h </w:instrText>
                </w:r>
                <w:r>
                  <w:rPr>
                    <w:noProof/>
                    <w:webHidden/>
                  </w:rPr>
                </w:r>
                <w:r>
                  <w:rPr>
                    <w:noProof/>
                    <w:webHidden/>
                  </w:rPr>
                  <w:fldChar w:fldCharType="separate"/>
                </w:r>
                <w:r>
                  <w:rPr>
                    <w:noProof/>
                    <w:webHidden/>
                  </w:rPr>
                  <w:t>39</w:t>
                </w:r>
                <w:r>
                  <w:rPr>
                    <w:noProof/>
                    <w:webHidden/>
                  </w:rPr>
                  <w:fldChar w:fldCharType="end"/>
                </w:r>
              </w:hyperlink>
            </w:p>
            <w:p w14:paraId="3F3831EC" w14:textId="36743272"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6" w:history="1">
                <w:r w:rsidRPr="003C7F18">
                  <w:rPr>
                    <w:rStyle w:val="Hyperlink"/>
                    <w:rFonts w:ascii="Arial" w:hAnsi="Arial" w:cs="Arial"/>
                    <w:noProof/>
                    <w:lang w:eastAsia="en-GB"/>
                  </w:rPr>
                  <w:t>4.5 Human Support and Preferences of Choice in Service Access</w:t>
                </w:r>
                <w:r>
                  <w:rPr>
                    <w:noProof/>
                    <w:webHidden/>
                  </w:rPr>
                  <w:tab/>
                </w:r>
                <w:r>
                  <w:rPr>
                    <w:noProof/>
                    <w:webHidden/>
                  </w:rPr>
                  <w:fldChar w:fldCharType="begin"/>
                </w:r>
                <w:r>
                  <w:rPr>
                    <w:noProof/>
                    <w:webHidden/>
                  </w:rPr>
                  <w:instrText xml:space="preserve"> PAGEREF _Toc240143316 \h </w:instrText>
                </w:r>
                <w:r>
                  <w:rPr>
                    <w:noProof/>
                    <w:webHidden/>
                  </w:rPr>
                </w:r>
                <w:r>
                  <w:rPr>
                    <w:noProof/>
                    <w:webHidden/>
                  </w:rPr>
                  <w:fldChar w:fldCharType="separate"/>
                </w:r>
                <w:r>
                  <w:rPr>
                    <w:noProof/>
                    <w:webHidden/>
                  </w:rPr>
                  <w:t>40</w:t>
                </w:r>
                <w:r>
                  <w:rPr>
                    <w:noProof/>
                    <w:webHidden/>
                  </w:rPr>
                  <w:fldChar w:fldCharType="end"/>
                </w:r>
              </w:hyperlink>
            </w:p>
            <w:p w14:paraId="69DFF4FC" w14:textId="3DC98D78"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7" w:history="1">
                <w:r w:rsidRPr="003C7F18">
                  <w:rPr>
                    <w:rStyle w:val="Hyperlink"/>
                    <w:rFonts w:ascii="Arial" w:hAnsi="Arial" w:cs="Arial"/>
                    <w:noProof/>
                    <w:lang w:eastAsia="en-GB"/>
                  </w:rPr>
                  <w:t>4.6 Service Design, Trust and Usability</w:t>
                </w:r>
                <w:r>
                  <w:rPr>
                    <w:noProof/>
                    <w:webHidden/>
                  </w:rPr>
                  <w:tab/>
                </w:r>
                <w:r>
                  <w:rPr>
                    <w:noProof/>
                    <w:webHidden/>
                  </w:rPr>
                  <w:fldChar w:fldCharType="begin"/>
                </w:r>
                <w:r>
                  <w:rPr>
                    <w:noProof/>
                    <w:webHidden/>
                  </w:rPr>
                  <w:instrText xml:space="preserve"> PAGEREF _Toc240143317 \h </w:instrText>
                </w:r>
                <w:r>
                  <w:rPr>
                    <w:noProof/>
                    <w:webHidden/>
                  </w:rPr>
                </w:r>
                <w:r>
                  <w:rPr>
                    <w:noProof/>
                    <w:webHidden/>
                  </w:rPr>
                  <w:fldChar w:fldCharType="separate"/>
                </w:r>
                <w:r>
                  <w:rPr>
                    <w:noProof/>
                    <w:webHidden/>
                  </w:rPr>
                  <w:t>41</w:t>
                </w:r>
                <w:r>
                  <w:rPr>
                    <w:noProof/>
                    <w:webHidden/>
                  </w:rPr>
                  <w:fldChar w:fldCharType="end"/>
                </w:r>
              </w:hyperlink>
            </w:p>
            <w:p w14:paraId="4FC667F9" w14:textId="0A11437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18" w:history="1">
                <w:r w:rsidRPr="003C7F18">
                  <w:rPr>
                    <w:rStyle w:val="Hyperlink"/>
                    <w:rFonts w:ascii="Arial" w:hAnsi="Arial" w:cs="Arial"/>
                    <w:noProof/>
                    <w:lang w:eastAsia="en-GB"/>
                  </w:rPr>
                  <w:t>4.7 Summary of Findings</w:t>
                </w:r>
                <w:r>
                  <w:rPr>
                    <w:noProof/>
                    <w:webHidden/>
                  </w:rPr>
                  <w:tab/>
                </w:r>
                <w:r>
                  <w:rPr>
                    <w:noProof/>
                    <w:webHidden/>
                  </w:rPr>
                  <w:fldChar w:fldCharType="begin"/>
                </w:r>
                <w:r>
                  <w:rPr>
                    <w:noProof/>
                    <w:webHidden/>
                  </w:rPr>
                  <w:instrText xml:space="preserve"> PAGEREF _Toc240143318 \h </w:instrText>
                </w:r>
                <w:r>
                  <w:rPr>
                    <w:noProof/>
                    <w:webHidden/>
                  </w:rPr>
                </w:r>
                <w:r>
                  <w:rPr>
                    <w:noProof/>
                    <w:webHidden/>
                  </w:rPr>
                  <w:fldChar w:fldCharType="separate"/>
                </w:r>
                <w:r>
                  <w:rPr>
                    <w:noProof/>
                    <w:webHidden/>
                  </w:rPr>
                  <w:t>41</w:t>
                </w:r>
                <w:r>
                  <w:rPr>
                    <w:noProof/>
                    <w:webHidden/>
                  </w:rPr>
                  <w:fldChar w:fldCharType="end"/>
                </w:r>
              </w:hyperlink>
            </w:p>
            <w:p w14:paraId="098FA20A" w14:textId="329363B2"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19" w:history="1">
                <w:r w:rsidRPr="003C7F18">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_Toc240143319 \h </w:instrText>
                </w:r>
                <w:r>
                  <w:rPr>
                    <w:noProof/>
                    <w:webHidden/>
                  </w:rPr>
                </w:r>
                <w:r>
                  <w:rPr>
                    <w:noProof/>
                    <w:webHidden/>
                  </w:rPr>
                  <w:fldChar w:fldCharType="separate"/>
                </w:r>
                <w:r>
                  <w:rPr>
                    <w:noProof/>
                    <w:webHidden/>
                  </w:rPr>
                  <w:t>42</w:t>
                </w:r>
                <w:r>
                  <w:rPr>
                    <w:noProof/>
                    <w:webHidden/>
                  </w:rPr>
                  <w:fldChar w:fldCharType="end"/>
                </w:r>
              </w:hyperlink>
            </w:p>
            <w:p w14:paraId="6648004B" w14:textId="36F0A967"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0" w:history="1">
                <w:r w:rsidRPr="003C7F18">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_Toc240143320 \h </w:instrText>
                </w:r>
                <w:r>
                  <w:rPr>
                    <w:noProof/>
                    <w:webHidden/>
                  </w:rPr>
                </w:r>
                <w:r>
                  <w:rPr>
                    <w:noProof/>
                    <w:webHidden/>
                  </w:rPr>
                  <w:fldChar w:fldCharType="separate"/>
                </w:r>
                <w:r>
                  <w:rPr>
                    <w:noProof/>
                    <w:webHidden/>
                  </w:rPr>
                  <w:t>42</w:t>
                </w:r>
                <w:r>
                  <w:rPr>
                    <w:noProof/>
                    <w:webHidden/>
                  </w:rPr>
                  <w:fldChar w:fldCharType="end"/>
                </w:r>
              </w:hyperlink>
            </w:p>
            <w:p w14:paraId="734032F5" w14:textId="0AE4CE92"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1" w:history="1">
                <w:r w:rsidRPr="003C7F18">
                  <w:rPr>
                    <w:rStyle w:val="Hyperlink"/>
                    <w:rFonts w:ascii="Arial" w:hAnsi="Arial" w:cs="Arial"/>
                    <w:noProof/>
                    <w:lang w:eastAsia="en-GB"/>
                  </w:rPr>
                  <w:t>5.2 Digital Capability and Confidence</w:t>
                </w:r>
                <w:r>
                  <w:rPr>
                    <w:noProof/>
                    <w:webHidden/>
                  </w:rPr>
                  <w:tab/>
                </w:r>
                <w:r>
                  <w:rPr>
                    <w:noProof/>
                    <w:webHidden/>
                  </w:rPr>
                  <w:fldChar w:fldCharType="begin"/>
                </w:r>
                <w:r>
                  <w:rPr>
                    <w:noProof/>
                    <w:webHidden/>
                  </w:rPr>
                  <w:instrText xml:space="preserve"> PAGEREF _Toc240143321 \h </w:instrText>
                </w:r>
                <w:r>
                  <w:rPr>
                    <w:noProof/>
                    <w:webHidden/>
                  </w:rPr>
                </w:r>
                <w:r>
                  <w:rPr>
                    <w:noProof/>
                    <w:webHidden/>
                  </w:rPr>
                  <w:fldChar w:fldCharType="separate"/>
                </w:r>
                <w:r>
                  <w:rPr>
                    <w:noProof/>
                    <w:webHidden/>
                  </w:rPr>
                  <w:t>42</w:t>
                </w:r>
                <w:r>
                  <w:rPr>
                    <w:noProof/>
                    <w:webHidden/>
                  </w:rPr>
                  <w:fldChar w:fldCharType="end"/>
                </w:r>
              </w:hyperlink>
            </w:p>
            <w:p w14:paraId="00EFC88F" w14:textId="44589C24"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2" w:history="1">
                <w:r w:rsidRPr="003C7F18">
                  <w:rPr>
                    <w:rStyle w:val="Hyperlink"/>
                    <w:rFonts w:ascii="Arial" w:hAnsi="Arial" w:cs="Arial"/>
                    <w:noProof/>
                    <w:lang w:eastAsia="en-GB"/>
                  </w:rPr>
                  <w:t>5.3 Social and Structural Inequalities</w:t>
                </w:r>
                <w:r>
                  <w:rPr>
                    <w:noProof/>
                    <w:webHidden/>
                  </w:rPr>
                  <w:tab/>
                </w:r>
                <w:r>
                  <w:rPr>
                    <w:noProof/>
                    <w:webHidden/>
                  </w:rPr>
                  <w:fldChar w:fldCharType="begin"/>
                </w:r>
                <w:r>
                  <w:rPr>
                    <w:noProof/>
                    <w:webHidden/>
                  </w:rPr>
                  <w:instrText xml:space="preserve"> PAGEREF _Toc240143322 \h </w:instrText>
                </w:r>
                <w:r>
                  <w:rPr>
                    <w:noProof/>
                    <w:webHidden/>
                  </w:rPr>
                </w:r>
                <w:r>
                  <w:rPr>
                    <w:noProof/>
                    <w:webHidden/>
                  </w:rPr>
                  <w:fldChar w:fldCharType="separate"/>
                </w:r>
                <w:r>
                  <w:rPr>
                    <w:noProof/>
                    <w:webHidden/>
                  </w:rPr>
                  <w:t>44</w:t>
                </w:r>
                <w:r>
                  <w:rPr>
                    <w:noProof/>
                    <w:webHidden/>
                  </w:rPr>
                  <w:fldChar w:fldCharType="end"/>
                </w:r>
              </w:hyperlink>
            </w:p>
            <w:p w14:paraId="09EDCAA1" w14:textId="212A2F5F"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3" w:history="1">
                <w:r w:rsidRPr="003C7F18">
                  <w:rPr>
                    <w:rStyle w:val="Hyperlink"/>
                    <w:rFonts w:ascii="Arial" w:hAnsi="Arial" w:cs="Arial"/>
                    <w:noProof/>
                    <w:lang w:eastAsia="en-GB"/>
                  </w:rPr>
                  <w:t>5.4 Human Support and Service Choice</w:t>
                </w:r>
                <w:r>
                  <w:rPr>
                    <w:noProof/>
                    <w:webHidden/>
                  </w:rPr>
                  <w:tab/>
                </w:r>
                <w:r>
                  <w:rPr>
                    <w:noProof/>
                    <w:webHidden/>
                  </w:rPr>
                  <w:fldChar w:fldCharType="begin"/>
                </w:r>
                <w:r>
                  <w:rPr>
                    <w:noProof/>
                    <w:webHidden/>
                  </w:rPr>
                  <w:instrText xml:space="preserve"> PAGEREF _Toc240143323 \h </w:instrText>
                </w:r>
                <w:r>
                  <w:rPr>
                    <w:noProof/>
                    <w:webHidden/>
                  </w:rPr>
                </w:r>
                <w:r>
                  <w:rPr>
                    <w:noProof/>
                    <w:webHidden/>
                  </w:rPr>
                  <w:fldChar w:fldCharType="separate"/>
                </w:r>
                <w:r>
                  <w:rPr>
                    <w:noProof/>
                    <w:webHidden/>
                  </w:rPr>
                  <w:t>45</w:t>
                </w:r>
                <w:r>
                  <w:rPr>
                    <w:noProof/>
                    <w:webHidden/>
                  </w:rPr>
                  <w:fldChar w:fldCharType="end"/>
                </w:r>
              </w:hyperlink>
            </w:p>
            <w:p w14:paraId="02832A35" w14:textId="33477595"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4" w:history="1">
                <w:r w:rsidRPr="003C7F18">
                  <w:rPr>
                    <w:rStyle w:val="Hyperlink"/>
                    <w:rFonts w:ascii="Arial" w:hAnsi="Arial" w:cs="Arial"/>
                    <w:noProof/>
                    <w:lang w:eastAsia="en-GB"/>
                  </w:rPr>
                  <w:t>5.5 Service Design, Trust and Usability</w:t>
                </w:r>
                <w:r>
                  <w:rPr>
                    <w:noProof/>
                    <w:webHidden/>
                  </w:rPr>
                  <w:tab/>
                </w:r>
                <w:r>
                  <w:rPr>
                    <w:noProof/>
                    <w:webHidden/>
                  </w:rPr>
                  <w:fldChar w:fldCharType="begin"/>
                </w:r>
                <w:r>
                  <w:rPr>
                    <w:noProof/>
                    <w:webHidden/>
                  </w:rPr>
                  <w:instrText xml:space="preserve"> PAGEREF _Toc240143324 \h </w:instrText>
                </w:r>
                <w:r>
                  <w:rPr>
                    <w:noProof/>
                    <w:webHidden/>
                  </w:rPr>
                </w:r>
                <w:r>
                  <w:rPr>
                    <w:noProof/>
                    <w:webHidden/>
                  </w:rPr>
                  <w:fldChar w:fldCharType="separate"/>
                </w:r>
                <w:r>
                  <w:rPr>
                    <w:noProof/>
                    <w:webHidden/>
                  </w:rPr>
                  <w:t>46</w:t>
                </w:r>
                <w:r>
                  <w:rPr>
                    <w:noProof/>
                    <w:webHidden/>
                  </w:rPr>
                  <w:fldChar w:fldCharType="end"/>
                </w:r>
              </w:hyperlink>
            </w:p>
            <w:p w14:paraId="7CF6D634" w14:textId="7F11F28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5" w:history="1">
                <w:r w:rsidRPr="003C7F18">
                  <w:rPr>
                    <w:rStyle w:val="Hyperlink"/>
                    <w:rFonts w:ascii="Arial" w:hAnsi="Arial" w:cs="Arial"/>
                    <w:noProof/>
                    <w:lang w:eastAsia="en-GB"/>
                  </w:rPr>
                  <w:t>5.6 Implications for Policy and Practice</w:t>
                </w:r>
                <w:r>
                  <w:rPr>
                    <w:noProof/>
                    <w:webHidden/>
                  </w:rPr>
                  <w:tab/>
                </w:r>
                <w:r>
                  <w:rPr>
                    <w:noProof/>
                    <w:webHidden/>
                  </w:rPr>
                  <w:fldChar w:fldCharType="begin"/>
                </w:r>
                <w:r>
                  <w:rPr>
                    <w:noProof/>
                    <w:webHidden/>
                  </w:rPr>
                  <w:instrText xml:space="preserve"> PAGEREF _Toc240143325 \h </w:instrText>
                </w:r>
                <w:r>
                  <w:rPr>
                    <w:noProof/>
                    <w:webHidden/>
                  </w:rPr>
                </w:r>
                <w:r>
                  <w:rPr>
                    <w:noProof/>
                    <w:webHidden/>
                  </w:rPr>
                  <w:fldChar w:fldCharType="separate"/>
                </w:r>
                <w:r>
                  <w:rPr>
                    <w:noProof/>
                    <w:webHidden/>
                  </w:rPr>
                  <w:t>47</w:t>
                </w:r>
                <w:r>
                  <w:rPr>
                    <w:noProof/>
                    <w:webHidden/>
                  </w:rPr>
                  <w:fldChar w:fldCharType="end"/>
                </w:r>
              </w:hyperlink>
            </w:p>
            <w:p w14:paraId="24849220" w14:textId="06CE854E"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6" w:history="1">
                <w:r w:rsidRPr="003C7F18">
                  <w:rPr>
                    <w:rStyle w:val="Hyperlink"/>
                    <w:rFonts w:ascii="Arial" w:hAnsi="Arial" w:cs="Arial"/>
                    <w:noProof/>
                    <w:lang w:eastAsia="en-GB"/>
                  </w:rPr>
                  <w:t>5.7 Strengths and Limitations</w:t>
                </w:r>
                <w:r>
                  <w:rPr>
                    <w:noProof/>
                    <w:webHidden/>
                  </w:rPr>
                  <w:tab/>
                </w:r>
                <w:r>
                  <w:rPr>
                    <w:noProof/>
                    <w:webHidden/>
                  </w:rPr>
                  <w:fldChar w:fldCharType="begin"/>
                </w:r>
                <w:r>
                  <w:rPr>
                    <w:noProof/>
                    <w:webHidden/>
                  </w:rPr>
                  <w:instrText xml:space="preserve"> PAGEREF _Toc240143326 \h </w:instrText>
                </w:r>
                <w:r>
                  <w:rPr>
                    <w:noProof/>
                    <w:webHidden/>
                  </w:rPr>
                </w:r>
                <w:r>
                  <w:rPr>
                    <w:noProof/>
                    <w:webHidden/>
                  </w:rPr>
                  <w:fldChar w:fldCharType="separate"/>
                </w:r>
                <w:r>
                  <w:rPr>
                    <w:noProof/>
                    <w:webHidden/>
                  </w:rPr>
                  <w:t>48</w:t>
                </w:r>
                <w:r>
                  <w:rPr>
                    <w:noProof/>
                    <w:webHidden/>
                  </w:rPr>
                  <w:fldChar w:fldCharType="end"/>
                </w:r>
              </w:hyperlink>
            </w:p>
            <w:p w14:paraId="0CE6A6ED" w14:textId="1F2DC8EC"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7" w:history="1">
                <w:r w:rsidRPr="003C7F18">
                  <w:rPr>
                    <w:rStyle w:val="Hyperlink"/>
                    <w:rFonts w:ascii="Arial" w:hAnsi="Arial" w:cs="Arial"/>
                    <w:noProof/>
                    <w:lang w:eastAsia="en-GB"/>
                  </w:rPr>
                  <w:t>5.8 Summary</w:t>
                </w:r>
                <w:r>
                  <w:rPr>
                    <w:noProof/>
                    <w:webHidden/>
                  </w:rPr>
                  <w:tab/>
                </w:r>
                <w:r>
                  <w:rPr>
                    <w:noProof/>
                    <w:webHidden/>
                  </w:rPr>
                  <w:fldChar w:fldCharType="begin"/>
                </w:r>
                <w:r>
                  <w:rPr>
                    <w:noProof/>
                    <w:webHidden/>
                  </w:rPr>
                  <w:instrText xml:space="preserve"> PAGEREF _Toc240143327 \h </w:instrText>
                </w:r>
                <w:r>
                  <w:rPr>
                    <w:noProof/>
                    <w:webHidden/>
                  </w:rPr>
                </w:r>
                <w:r>
                  <w:rPr>
                    <w:noProof/>
                    <w:webHidden/>
                  </w:rPr>
                  <w:fldChar w:fldCharType="separate"/>
                </w:r>
                <w:r>
                  <w:rPr>
                    <w:noProof/>
                    <w:webHidden/>
                  </w:rPr>
                  <w:t>49</w:t>
                </w:r>
                <w:r>
                  <w:rPr>
                    <w:noProof/>
                    <w:webHidden/>
                  </w:rPr>
                  <w:fldChar w:fldCharType="end"/>
                </w:r>
              </w:hyperlink>
            </w:p>
            <w:p w14:paraId="079E88A6" w14:textId="223A29C9"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28" w:history="1">
                <w:r w:rsidRPr="003C7F18">
                  <w:rPr>
                    <w:rStyle w:val="Hyperlink"/>
                    <w:rFonts w:ascii="Arial" w:hAnsi="Arial" w:cs="Arial"/>
                    <w:noProof/>
                  </w:rPr>
                  <w:t>Chapter 6: Conclusion</w:t>
                </w:r>
                <w:r>
                  <w:rPr>
                    <w:noProof/>
                    <w:webHidden/>
                  </w:rPr>
                  <w:tab/>
                </w:r>
                <w:r>
                  <w:rPr>
                    <w:noProof/>
                    <w:webHidden/>
                  </w:rPr>
                  <w:fldChar w:fldCharType="begin"/>
                </w:r>
                <w:r>
                  <w:rPr>
                    <w:noProof/>
                    <w:webHidden/>
                  </w:rPr>
                  <w:instrText xml:space="preserve"> PAGEREF _Toc240143328 \h </w:instrText>
                </w:r>
                <w:r>
                  <w:rPr>
                    <w:noProof/>
                    <w:webHidden/>
                  </w:rPr>
                </w:r>
                <w:r>
                  <w:rPr>
                    <w:noProof/>
                    <w:webHidden/>
                  </w:rPr>
                  <w:fldChar w:fldCharType="separate"/>
                </w:r>
                <w:r>
                  <w:rPr>
                    <w:noProof/>
                    <w:webHidden/>
                  </w:rPr>
                  <w:t>50</w:t>
                </w:r>
                <w:r>
                  <w:rPr>
                    <w:noProof/>
                    <w:webHidden/>
                  </w:rPr>
                  <w:fldChar w:fldCharType="end"/>
                </w:r>
              </w:hyperlink>
            </w:p>
            <w:p w14:paraId="67ED04C5" w14:textId="3DF13BFA"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29" w:history="1">
                <w:r w:rsidRPr="003C7F18">
                  <w:rPr>
                    <w:rStyle w:val="Hyperlink"/>
                    <w:rFonts w:ascii="Arial" w:hAnsi="Arial" w:cs="Arial"/>
                    <w:noProof/>
                    <w:lang w:eastAsia="en-GB"/>
                  </w:rPr>
                  <w:t>6.1 Introduction</w:t>
                </w:r>
                <w:r>
                  <w:rPr>
                    <w:noProof/>
                    <w:webHidden/>
                  </w:rPr>
                  <w:tab/>
                </w:r>
                <w:r>
                  <w:rPr>
                    <w:noProof/>
                    <w:webHidden/>
                  </w:rPr>
                  <w:fldChar w:fldCharType="begin"/>
                </w:r>
                <w:r>
                  <w:rPr>
                    <w:noProof/>
                    <w:webHidden/>
                  </w:rPr>
                  <w:instrText xml:space="preserve"> PAGEREF _Toc240143329 \h </w:instrText>
                </w:r>
                <w:r>
                  <w:rPr>
                    <w:noProof/>
                    <w:webHidden/>
                  </w:rPr>
                </w:r>
                <w:r>
                  <w:rPr>
                    <w:noProof/>
                    <w:webHidden/>
                  </w:rPr>
                  <w:fldChar w:fldCharType="separate"/>
                </w:r>
                <w:r>
                  <w:rPr>
                    <w:noProof/>
                    <w:webHidden/>
                  </w:rPr>
                  <w:t>50</w:t>
                </w:r>
                <w:r>
                  <w:rPr>
                    <w:noProof/>
                    <w:webHidden/>
                  </w:rPr>
                  <w:fldChar w:fldCharType="end"/>
                </w:r>
              </w:hyperlink>
            </w:p>
            <w:p w14:paraId="0ADCE9D0" w14:textId="365A3003"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0" w:history="1">
                <w:r w:rsidRPr="003C7F18">
                  <w:rPr>
                    <w:rStyle w:val="Hyperlink"/>
                    <w:rFonts w:ascii="Arial" w:hAnsi="Arial" w:cs="Arial"/>
                    <w:noProof/>
                    <w:lang w:eastAsia="en-GB"/>
                  </w:rPr>
                  <w:t>6.2 Overall Conclusion and Answer to the Research Question</w:t>
                </w:r>
                <w:r>
                  <w:rPr>
                    <w:noProof/>
                    <w:webHidden/>
                  </w:rPr>
                  <w:tab/>
                </w:r>
                <w:r>
                  <w:rPr>
                    <w:noProof/>
                    <w:webHidden/>
                  </w:rPr>
                  <w:fldChar w:fldCharType="begin"/>
                </w:r>
                <w:r>
                  <w:rPr>
                    <w:noProof/>
                    <w:webHidden/>
                  </w:rPr>
                  <w:instrText xml:space="preserve"> PAGEREF _Toc240143330 \h </w:instrText>
                </w:r>
                <w:r>
                  <w:rPr>
                    <w:noProof/>
                    <w:webHidden/>
                  </w:rPr>
                </w:r>
                <w:r>
                  <w:rPr>
                    <w:noProof/>
                    <w:webHidden/>
                  </w:rPr>
                  <w:fldChar w:fldCharType="separate"/>
                </w:r>
                <w:r>
                  <w:rPr>
                    <w:noProof/>
                    <w:webHidden/>
                  </w:rPr>
                  <w:t>50</w:t>
                </w:r>
                <w:r>
                  <w:rPr>
                    <w:noProof/>
                    <w:webHidden/>
                  </w:rPr>
                  <w:fldChar w:fldCharType="end"/>
                </w:r>
              </w:hyperlink>
            </w:p>
            <w:p w14:paraId="580287C9" w14:textId="7A98479D"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1" w:history="1">
                <w:r w:rsidRPr="003C7F18">
                  <w:rPr>
                    <w:rStyle w:val="Hyperlink"/>
                    <w:rFonts w:ascii="Arial" w:hAnsi="Arial" w:cs="Arial"/>
                    <w:noProof/>
                    <w:lang w:eastAsia="en-GB"/>
                  </w:rPr>
                  <w:t>6.3 Reflection on the Research</w:t>
                </w:r>
                <w:r>
                  <w:rPr>
                    <w:noProof/>
                    <w:webHidden/>
                  </w:rPr>
                  <w:tab/>
                </w:r>
                <w:r>
                  <w:rPr>
                    <w:noProof/>
                    <w:webHidden/>
                  </w:rPr>
                  <w:fldChar w:fldCharType="begin"/>
                </w:r>
                <w:r>
                  <w:rPr>
                    <w:noProof/>
                    <w:webHidden/>
                  </w:rPr>
                  <w:instrText xml:space="preserve"> PAGEREF _Toc240143331 \h </w:instrText>
                </w:r>
                <w:r>
                  <w:rPr>
                    <w:noProof/>
                    <w:webHidden/>
                  </w:rPr>
                </w:r>
                <w:r>
                  <w:rPr>
                    <w:noProof/>
                    <w:webHidden/>
                  </w:rPr>
                  <w:fldChar w:fldCharType="separate"/>
                </w:r>
                <w:r>
                  <w:rPr>
                    <w:noProof/>
                    <w:webHidden/>
                  </w:rPr>
                  <w:t>51</w:t>
                </w:r>
                <w:r>
                  <w:rPr>
                    <w:noProof/>
                    <w:webHidden/>
                  </w:rPr>
                  <w:fldChar w:fldCharType="end"/>
                </w:r>
              </w:hyperlink>
            </w:p>
            <w:p w14:paraId="741FFED6" w14:textId="07D61D23"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2" w:history="1">
                <w:r w:rsidRPr="003C7F18">
                  <w:rPr>
                    <w:rStyle w:val="Hyperlink"/>
                    <w:rFonts w:ascii="Arial" w:hAnsi="Arial" w:cs="Arial"/>
                    <w:noProof/>
                    <w:lang w:eastAsia="en-GB"/>
                  </w:rPr>
                  <w:t>6.4 Recommendations for Health and Social Care Practice and Policy</w:t>
                </w:r>
                <w:r>
                  <w:rPr>
                    <w:noProof/>
                    <w:webHidden/>
                  </w:rPr>
                  <w:tab/>
                </w:r>
                <w:r>
                  <w:rPr>
                    <w:noProof/>
                    <w:webHidden/>
                  </w:rPr>
                  <w:fldChar w:fldCharType="begin"/>
                </w:r>
                <w:r>
                  <w:rPr>
                    <w:noProof/>
                    <w:webHidden/>
                  </w:rPr>
                  <w:instrText xml:space="preserve"> PAGEREF _Toc240143332 \h </w:instrText>
                </w:r>
                <w:r>
                  <w:rPr>
                    <w:noProof/>
                    <w:webHidden/>
                  </w:rPr>
                </w:r>
                <w:r>
                  <w:rPr>
                    <w:noProof/>
                    <w:webHidden/>
                  </w:rPr>
                  <w:fldChar w:fldCharType="separate"/>
                </w:r>
                <w:r>
                  <w:rPr>
                    <w:noProof/>
                    <w:webHidden/>
                  </w:rPr>
                  <w:t>52</w:t>
                </w:r>
                <w:r>
                  <w:rPr>
                    <w:noProof/>
                    <w:webHidden/>
                  </w:rPr>
                  <w:fldChar w:fldCharType="end"/>
                </w:r>
              </w:hyperlink>
            </w:p>
            <w:p w14:paraId="0A804943" w14:textId="7A9D1ADB"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3" w:history="1">
                <w:r w:rsidRPr="003C7F18">
                  <w:rPr>
                    <w:rStyle w:val="Hyperlink"/>
                    <w:rFonts w:ascii="Arial" w:hAnsi="Arial" w:cs="Arial"/>
                    <w:noProof/>
                    <w:lang w:eastAsia="en-GB"/>
                  </w:rPr>
                  <w:t>6.5 Recommendations for Future Research</w:t>
                </w:r>
                <w:r>
                  <w:rPr>
                    <w:noProof/>
                    <w:webHidden/>
                  </w:rPr>
                  <w:tab/>
                </w:r>
                <w:r>
                  <w:rPr>
                    <w:noProof/>
                    <w:webHidden/>
                  </w:rPr>
                  <w:fldChar w:fldCharType="begin"/>
                </w:r>
                <w:r>
                  <w:rPr>
                    <w:noProof/>
                    <w:webHidden/>
                  </w:rPr>
                  <w:instrText xml:space="preserve"> PAGEREF _Toc240143333 \h </w:instrText>
                </w:r>
                <w:r>
                  <w:rPr>
                    <w:noProof/>
                    <w:webHidden/>
                  </w:rPr>
                </w:r>
                <w:r>
                  <w:rPr>
                    <w:noProof/>
                    <w:webHidden/>
                  </w:rPr>
                  <w:fldChar w:fldCharType="separate"/>
                </w:r>
                <w:r>
                  <w:rPr>
                    <w:noProof/>
                    <w:webHidden/>
                  </w:rPr>
                  <w:t>52</w:t>
                </w:r>
                <w:r>
                  <w:rPr>
                    <w:noProof/>
                    <w:webHidden/>
                  </w:rPr>
                  <w:fldChar w:fldCharType="end"/>
                </w:r>
              </w:hyperlink>
            </w:p>
            <w:p w14:paraId="76874A01" w14:textId="6BDCAA23" w:rsidR="00AA6C99" w:rsidRDefault="00AA6C99">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0143334" w:history="1">
                <w:r w:rsidRPr="003C7F18">
                  <w:rPr>
                    <w:rStyle w:val="Hyperlink"/>
                    <w:rFonts w:ascii="Arial" w:hAnsi="Arial" w:cs="Arial"/>
                    <w:noProof/>
                    <w:lang w:eastAsia="en-GB"/>
                  </w:rPr>
                  <w:t xml:space="preserve">6.6 Contribution and </w:t>
                </w:r>
                <w:r w:rsidRPr="003C7F18">
                  <w:rPr>
                    <w:rStyle w:val="Hyperlink"/>
                    <w:rFonts w:ascii="Arial" w:hAnsi="Arial" w:cs="Arial"/>
                    <w:noProof/>
                  </w:rPr>
                  <w:t>Concluding Summary.</w:t>
                </w:r>
                <w:r>
                  <w:rPr>
                    <w:noProof/>
                    <w:webHidden/>
                  </w:rPr>
                  <w:tab/>
                </w:r>
                <w:r>
                  <w:rPr>
                    <w:noProof/>
                    <w:webHidden/>
                  </w:rPr>
                  <w:fldChar w:fldCharType="begin"/>
                </w:r>
                <w:r>
                  <w:rPr>
                    <w:noProof/>
                    <w:webHidden/>
                  </w:rPr>
                  <w:instrText xml:space="preserve"> PAGEREF _Toc240143334 \h </w:instrText>
                </w:r>
                <w:r>
                  <w:rPr>
                    <w:noProof/>
                    <w:webHidden/>
                  </w:rPr>
                </w:r>
                <w:r>
                  <w:rPr>
                    <w:noProof/>
                    <w:webHidden/>
                  </w:rPr>
                  <w:fldChar w:fldCharType="separate"/>
                </w:r>
                <w:r>
                  <w:rPr>
                    <w:noProof/>
                    <w:webHidden/>
                  </w:rPr>
                  <w:t>53</w:t>
                </w:r>
                <w:r>
                  <w:rPr>
                    <w:noProof/>
                    <w:webHidden/>
                  </w:rPr>
                  <w:fldChar w:fldCharType="end"/>
                </w:r>
              </w:hyperlink>
            </w:p>
            <w:p w14:paraId="3F2F112F" w14:textId="15A58AAC"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5" w:history="1">
                <w:r w:rsidRPr="003C7F1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_Toc240143335 \h </w:instrText>
                </w:r>
                <w:r>
                  <w:rPr>
                    <w:noProof/>
                    <w:webHidden/>
                  </w:rPr>
                </w:r>
                <w:r>
                  <w:rPr>
                    <w:noProof/>
                    <w:webHidden/>
                  </w:rPr>
                  <w:fldChar w:fldCharType="separate"/>
                </w:r>
                <w:r>
                  <w:rPr>
                    <w:noProof/>
                    <w:webHidden/>
                  </w:rPr>
                  <w:t>54</w:t>
                </w:r>
                <w:r>
                  <w:rPr>
                    <w:noProof/>
                    <w:webHidden/>
                  </w:rPr>
                  <w:fldChar w:fldCharType="end"/>
                </w:r>
              </w:hyperlink>
            </w:p>
            <w:p w14:paraId="0BB305A1" w14:textId="5CA07FA5"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6" w:history="1">
                <w:r w:rsidRPr="003C7F18">
                  <w:rPr>
                    <w:rStyle w:val="Hyperlink"/>
                    <w:rFonts w:asciiTheme="minorBidi" w:hAnsiTheme="minorBidi"/>
                    <w:noProof/>
                  </w:rPr>
                  <w:t>Appendix 1: PICO Framework and Search Strategy</w:t>
                </w:r>
                <w:r>
                  <w:rPr>
                    <w:noProof/>
                    <w:webHidden/>
                  </w:rPr>
                  <w:tab/>
                </w:r>
                <w:r>
                  <w:rPr>
                    <w:noProof/>
                    <w:webHidden/>
                  </w:rPr>
                  <w:fldChar w:fldCharType="begin"/>
                </w:r>
                <w:r>
                  <w:rPr>
                    <w:noProof/>
                    <w:webHidden/>
                  </w:rPr>
                  <w:instrText xml:space="preserve"> PAGEREF _Toc240143336 \h </w:instrText>
                </w:r>
                <w:r>
                  <w:rPr>
                    <w:noProof/>
                    <w:webHidden/>
                  </w:rPr>
                </w:r>
                <w:r>
                  <w:rPr>
                    <w:noProof/>
                    <w:webHidden/>
                  </w:rPr>
                  <w:fldChar w:fldCharType="separate"/>
                </w:r>
                <w:r>
                  <w:rPr>
                    <w:noProof/>
                    <w:webHidden/>
                  </w:rPr>
                  <w:t>68</w:t>
                </w:r>
                <w:r>
                  <w:rPr>
                    <w:noProof/>
                    <w:webHidden/>
                  </w:rPr>
                  <w:fldChar w:fldCharType="end"/>
                </w:r>
              </w:hyperlink>
            </w:p>
            <w:p w14:paraId="6DEBA4E3" w14:textId="08B1170F"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7" w:history="1">
                <w:r w:rsidRPr="003C7F18">
                  <w:rPr>
                    <w:rStyle w:val="Hyperlink"/>
                    <w:rFonts w:ascii="Arial" w:hAnsi="Arial" w:cs="Arial"/>
                    <w:noProof/>
                  </w:rPr>
                  <w:t>Appendix 2: Study Inclusion and Exclusion Criteria</w:t>
                </w:r>
                <w:r>
                  <w:rPr>
                    <w:noProof/>
                    <w:webHidden/>
                  </w:rPr>
                  <w:tab/>
                </w:r>
                <w:r>
                  <w:rPr>
                    <w:noProof/>
                    <w:webHidden/>
                  </w:rPr>
                  <w:fldChar w:fldCharType="begin"/>
                </w:r>
                <w:r>
                  <w:rPr>
                    <w:noProof/>
                    <w:webHidden/>
                  </w:rPr>
                  <w:instrText xml:space="preserve"> PAGEREF _Toc240143337 \h </w:instrText>
                </w:r>
                <w:r>
                  <w:rPr>
                    <w:noProof/>
                    <w:webHidden/>
                  </w:rPr>
                </w:r>
                <w:r>
                  <w:rPr>
                    <w:noProof/>
                    <w:webHidden/>
                  </w:rPr>
                  <w:fldChar w:fldCharType="separate"/>
                </w:r>
                <w:r>
                  <w:rPr>
                    <w:noProof/>
                    <w:webHidden/>
                  </w:rPr>
                  <w:t>69</w:t>
                </w:r>
                <w:r>
                  <w:rPr>
                    <w:noProof/>
                    <w:webHidden/>
                  </w:rPr>
                  <w:fldChar w:fldCharType="end"/>
                </w:r>
              </w:hyperlink>
            </w:p>
            <w:p w14:paraId="04218989" w14:textId="61E96AC2"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8" w:history="1">
                <w:r w:rsidRPr="003C7F18">
                  <w:rPr>
                    <w:rStyle w:val="Hyperlink"/>
                    <w:rFonts w:ascii="Arial" w:eastAsia="Calibri" w:hAnsi="Arial" w:cs="Arial"/>
                    <w:noProof/>
                  </w:rPr>
                  <w:t xml:space="preserve">Appendix 3: </w:t>
                </w:r>
                <w:r w:rsidRPr="003C7F18">
                  <w:rPr>
                    <w:rStyle w:val="Hyperlink"/>
                    <w:rFonts w:ascii="Arial" w:hAnsi="Arial" w:cs="Arial"/>
                    <w:noProof/>
                  </w:rPr>
                  <w:t>Appendix 3: PRISMA 2020 Flow Diagram</w:t>
                </w:r>
                <w:r>
                  <w:rPr>
                    <w:noProof/>
                    <w:webHidden/>
                  </w:rPr>
                  <w:tab/>
                </w:r>
                <w:r>
                  <w:rPr>
                    <w:noProof/>
                    <w:webHidden/>
                  </w:rPr>
                  <w:fldChar w:fldCharType="begin"/>
                </w:r>
                <w:r>
                  <w:rPr>
                    <w:noProof/>
                    <w:webHidden/>
                  </w:rPr>
                  <w:instrText xml:space="preserve"> PAGEREF _Toc240143338 \h </w:instrText>
                </w:r>
                <w:r>
                  <w:rPr>
                    <w:noProof/>
                    <w:webHidden/>
                  </w:rPr>
                </w:r>
                <w:r>
                  <w:rPr>
                    <w:noProof/>
                    <w:webHidden/>
                  </w:rPr>
                  <w:fldChar w:fldCharType="separate"/>
                </w:r>
                <w:r>
                  <w:rPr>
                    <w:noProof/>
                    <w:webHidden/>
                  </w:rPr>
                  <w:t>70</w:t>
                </w:r>
                <w:r>
                  <w:rPr>
                    <w:noProof/>
                    <w:webHidden/>
                  </w:rPr>
                  <w:fldChar w:fldCharType="end"/>
                </w:r>
              </w:hyperlink>
            </w:p>
            <w:p w14:paraId="15A603FF" w14:textId="7FAA9F83"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39" w:history="1">
                <w:r w:rsidRPr="003C7F18">
                  <w:rPr>
                    <w:rStyle w:val="Hyperlink"/>
                    <w:rFonts w:ascii="Arial" w:eastAsia="Calibri" w:hAnsi="Arial" w:cs="Arial"/>
                    <w:noProof/>
                  </w:rPr>
                  <w:t>Appendix 4: CASP Quality Appraisal</w:t>
                </w:r>
                <w:r>
                  <w:rPr>
                    <w:noProof/>
                    <w:webHidden/>
                  </w:rPr>
                  <w:tab/>
                </w:r>
                <w:r>
                  <w:rPr>
                    <w:noProof/>
                    <w:webHidden/>
                  </w:rPr>
                  <w:fldChar w:fldCharType="begin"/>
                </w:r>
                <w:r>
                  <w:rPr>
                    <w:noProof/>
                    <w:webHidden/>
                  </w:rPr>
                  <w:instrText xml:space="preserve"> PAGEREF _Toc240143339 \h </w:instrText>
                </w:r>
                <w:r>
                  <w:rPr>
                    <w:noProof/>
                    <w:webHidden/>
                  </w:rPr>
                </w:r>
                <w:r>
                  <w:rPr>
                    <w:noProof/>
                    <w:webHidden/>
                  </w:rPr>
                  <w:fldChar w:fldCharType="separate"/>
                </w:r>
                <w:r>
                  <w:rPr>
                    <w:noProof/>
                    <w:webHidden/>
                  </w:rPr>
                  <w:t>71</w:t>
                </w:r>
                <w:r>
                  <w:rPr>
                    <w:noProof/>
                    <w:webHidden/>
                  </w:rPr>
                  <w:fldChar w:fldCharType="end"/>
                </w:r>
              </w:hyperlink>
            </w:p>
            <w:p w14:paraId="1CF3FC18" w14:textId="220C3FAB"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40" w:history="1">
                <w:r w:rsidRPr="003C7F18">
                  <w:rPr>
                    <w:rStyle w:val="Hyperlink"/>
                    <w:rFonts w:ascii="Arial" w:eastAsia="Calibri" w:hAnsi="Arial" w:cs="Arial"/>
                    <w:noProof/>
                  </w:rPr>
                  <w:t>Appendix 5: Characteristics of the Included Studies</w:t>
                </w:r>
                <w:r>
                  <w:rPr>
                    <w:noProof/>
                    <w:webHidden/>
                  </w:rPr>
                  <w:tab/>
                </w:r>
                <w:r>
                  <w:rPr>
                    <w:noProof/>
                    <w:webHidden/>
                  </w:rPr>
                  <w:fldChar w:fldCharType="begin"/>
                </w:r>
                <w:r>
                  <w:rPr>
                    <w:noProof/>
                    <w:webHidden/>
                  </w:rPr>
                  <w:instrText xml:space="preserve"> PAGEREF _Toc240143340 \h </w:instrText>
                </w:r>
                <w:r>
                  <w:rPr>
                    <w:noProof/>
                    <w:webHidden/>
                  </w:rPr>
                </w:r>
                <w:r>
                  <w:rPr>
                    <w:noProof/>
                    <w:webHidden/>
                  </w:rPr>
                  <w:fldChar w:fldCharType="separate"/>
                </w:r>
                <w:r>
                  <w:rPr>
                    <w:noProof/>
                    <w:webHidden/>
                  </w:rPr>
                  <w:t>72</w:t>
                </w:r>
                <w:r>
                  <w:rPr>
                    <w:noProof/>
                    <w:webHidden/>
                  </w:rPr>
                  <w:fldChar w:fldCharType="end"/>
                </w:r>
              </w:hyperlink>
            </w:p>
            <w:p w14:paraId="571AEFDF" w14:textId="6FDB793E" w:rsidR="00AA6C99" w:rsidRDefault="00AA6C99">
              <w:pPr>
                <w:pStyle w:val="TOC1"/>
                <w:tabs>
                  <w:tab w:val="right" w:leader="dot" w:pos="9016"/>
                </w:tabs>
                <w:rPr>
                  <w:rFonts w:asciiTheme="minorHAnsi" w:eastAsiaTheme="minorEastAsia" w:hAnsiTheme="minorHAnsi" w:cstheme="minorBidi"/>
                  <w:noProof/>
                  <w:color w:val="auto"/>
                  <w:szCs w:val="24"/>
                  <w:lang w:eastAsia="en-GB"/>
                </w:rPr>
              </w:pPr>
              <w:hyperlink w:anchor="_Toc240143341" w:history="1">
                <w:r w:rsidRPr="003C7F18">
                  <w:rPr>
                    <w:rStyle w:val="Hyperlink"/>
                    <w:noProof/>
                  </w:rPr>
                  <w:t>Appendix 6: Characteristics of Selected Articles</w:t>
                </w:r>
                <w:r>
                  <w:rPr>
                    <w:noProof/>
                    <w:webHidden/>
                  </w:rPr>
                  <w:tab/>
                </w:r>
                <w:r>
                  <w:rPr>
                    <w:noProof/>
                    <w:webHidden/>
                  </w:rPr>
                  <w:fldChar w:fldCharType="begin"/>
                </w:r>
                <w:r>
                  <w:rPr>
                    <w:noProof/>
                    <w:webHidden/>
                  </w:rPr>
                  <w:instrText xml:space="preserve"> PAGEREF _Toc240143341 \h </w:instrText>
                </w:r>
                <w:r>
                  <w:rPr>
                    <w:noProof/>
                    <w:webHidden/>
                  </w:rPr>
                </w:r>
                <w:r>
                  <w:rPr>
                    <w:noProof/>
                    <w:webHidden/>
                  </w:rPr>
                  <w:fldChar w:fldCharType="separate"/>
                </w:r>
                <w:r>
                  <w:rPr>
                    <w:noProof/>
                    <w:webHidden/>
                  </w:rPr>
                  <w:t>74</w:t>
                </w:r>
                <w:r>
                  <w:rPr>
                    <w:noProof/>
                    <w:webHidden/>
                  </w:rPr>
                  <w:fldChar w:fldCharType="end"/>
                </w:r>
              </w:hyperlink>
            </w:p>
            <w:p w14:paraId="12B8ED92" w14:textId="3F711EF8" w:rsidR="00A23649" w:rsidRDefault="00A23649" w:rsidP="00A23649">
              <w:r>
                <w:rPr>
                  <w:b/>
                  <w:bCs/>
                </w:rPr>
                <w:fldChar w:fldCharType="end"/>
              </w:r>
            </w:p>
          </w:sdtContent>
        </w:sdt>
        <w:p w14:paraId="74597129" w14:textId="77777777" w:rsidR="00C75B65" w:rsidRDefault="00000000">
          <w:pPr>
            <w:rPr>
              <w:rFonts w:asciiTheme="minorBidi" w:hAnsiTheme="minorBidi"/>
            </w:rPr>
          </w:pPr>
        </w:p>
      </w:sdtContent>
    </w:sdt>
    <w:bookmarkStart w:id="4" w:name="_Toc12213" w:displacedByCustomXml="prev"/>
    <w:p w14:paraId="1028A266" w14:textId="5E7973B9" w:rsidR="000555DE" w:rsidRPr="00C75B65" w:rsidRDefault="000555DE">
      <w:pPr>
        <w:rPr>
          <w:rFonts w:asciiTheme="minorBidi" w:hAnsiTheme="minorBidi"/>
        </w:rPr>
      </w:pPr>
      <w:r w:rsidRPr="007F1C8A">
        <w:rPr>
          <w:rFonts w:asciiTheme="minorBidi" w:hAnsiTheme="minorBidi"/>
        </w:rPr>
        <w:br w:type="page"/>
      </w:r>
    </w:p>
    <w:p w14:paraId="26D3E5D0" w14:textId="4977B35C" w:rsidR="009F64C5" w:rsidRPr="00C75B65" w:rsidRDefault="009F64C5">
      <w:pPr>
        <w:pStyle w:val="Heading1"/>
        <w:ind w:left="12" w:right="4"/>
        <w:rPr>
          <w:rFonts w:ascii="Arial" w:hAnsi="Arial" w:cs="Arial"/>
          <w:sz w:val="28"/>
          <w:szCs w:val="28"/>
        </w:rPr>
      </w:pPr>
      <w:bookmarkStart w:id="5" w:name="_Toc240143257"/>
      <w:r w:rsidRPr="00C75B65">
        <w:rPr>
          <w:rFonts w:ascii="Arial" w:hAnsi="Arial" w:cs="Arial"/>
          <w:sz w:val="28"/>
          <w:szCs w:val="28"/>
        </w:rPr>
        <w:lastRenderedPageBreak/>
        <w:t>List of tables</w:t>
      </w:r>
      <w:bookmarkEnd w:id="5"/>
      <w:r w:rsidRPr="00C75B65">
        <w:rPr>
          <w:rFonts w:ascii="Arial" w:hAnsi="Arial" w:cs="Arial"/>
          <w:sz w:val="28"/>
          <w:szCs w:val="28"/>
        </w:rPr>
        <w:t xml:space="preserve"> </w:t>
      </w:r>
      <w:bookmarkEnd w:id="4"/>
    </w:p>
    <w:p w14:paraId="2A242D90" w14:textId="77777777" w:rsidR="009F64C5" w:rsidRPr="003F3B50" w:rsidRDefault="009F64C5">
      <w:pPr>
        <w:spacing w:after="172"/>
        <w:rPr>
          <w:rFonts w:ascii="Arial" w:hAnsi="Arial" w:cs="Arial"/>
          <w:i/>
          <w:iCs/>
        </w:rPr>
      </w:pPr>
      <w:r w:rsidRPr="003F3B50">
        <w:rPr>
          <w:rFonts w:ascii="Arial" w:eastAsia="Calibri" w:hAnsi="Arial" w:cs="Arial"/>
          <w:i/>
          <w:iCs/>
        </w:rPr>
        <w:t xml:space="preserve"> </w:t>
      </w:r>
    </w:p>
    <w:p w14:paraId="6DD17FA5" w14:textId="77777777" w:rsidR="009F64C5" w:rsidRPr="003F3B50" w:rsidRDefault="009F64C5">
      <w:pPr>
        <w:spacing w:after="205"/>
        <w:rPr>
          <w:rFonts w:ascii="Arial" w:hAnsi="Arial" w:cs="Arial"/>
          <w:i/>
          <w:iCs/>
        </w:rPr>
      </w:pPr>
      <w:r w:rsidRPr="003F3B50">
        <w:rPr>
          <w:rFonts w:ascii="Arial" w:hAnsi="Arial" w:cs="Arial"/>
          <w:i/>
          <w:iCs/>
        </w:rPr>
        <w:t xml:space="preserve"> </w:t>
      </w:r>
    </w:p>
    <w:p w14:paraId="1EA37B4D" w14:textId="4CCC87CD" w:rsidR="00A23649" w:rsidRPr="003F3B50" w:rsidRDefault="009F64C5" w:rsidP="00A23649">
      <w:pPr>
        <w:rPr>
          <w:rFonts w:ascii="Arial" w:eastAsia="Calibri" w:hAnsi="Arial" w:cs="Arial"/>
          <w:i/>
          <w:iCs/>
          <w:kern w:val="3"/>
          <w:lang w:eastAsia="en-US"/>
          <w14:ligatures w14:val="none"/>
        </w:rPr>
      </w:pPr>
      <w:r w:rsidRPr="003F3B50">
        <w:rPr>
          <w:rFonts w:ascii="Arial" w:hAnsi="Arial" w:cs="Arial"/>
          <w:b/>
          <w:bCs/>
          <w:i/>
          <w:iCs/>
        </w:rPr>
        <w:t>Table 1</w:t>
      </w:r>
      <w:r w:rsidRPr="003F3B50">
        <w:rPr>
          <w:rFonts w:ascii="Arial" w:hAnsi="Arial" w:cs="Arial"/>
          <w:i/>
          <w:iCs/>
        </w:rPr>
        <w:t>:</w:t>
      </w:r>
      <w:r w:rsidR="00A23649" w:rsidRPr="003F3B50">
        <w:rPr>
          <w:rFonts w:ascii="Arial" w:eastAsia="Calibri" w:hAnsi="Arial" w:cs="Arial"/>
          <w:i/>
          <w:iCs/>
          <w:kern w:val="3"/>
          <w:lang w:eastAsia="en-US"/>
          <w14:ligatures w14:val="none"/>
        </w:rPr>
        <w:t xml:space="preserve"> Summary of the search strategy used to identify eligible </w:t>
      </w:r>
      <w:r w:rsidR="00A23649" w:rsidRPr="003F3B50">
        <w:rPr>
          <w:rFonts w:ascii="Arial" w:eastAsia="Calibri" w:hAnsi="Arial" w:cs="Arial"/>
          <w:i/>
          <w:iCs/>
          <w:kern w:val="3"/>
          <w:lang w:eastAsia="en-US"/>
          <w14:ligatures w14:val="none"/>
        </w:rPr>
        <w:t>studies (PICO).</w:t>
      </w:r>
    </w:p>
    <w:p w14:paraId="191ACBB0" w14:textId="00BE0B9F" w:rsidR="009F64C5" w:rsidRPr="003F3B50" w:rsidRDefault="009F64C5">
      <w:pPr>
        <w:spacing w:after="214"/>
        <w:rPr>
          <w:rFonts w:ascii="Arial" w:hAnsi="Arial" w:cs="Arial"/>
          <w:i/>
          <w:iCs/>
        </w:rPr>
      </w:pPr>
    </w:p>
    <w:p w14:paraId="3240FA9B" w14:textId="77777777" w:rsidR="00A23649" w:rsidRPr="003F3B50" w:rsidRDefault="009F64C5" w:rsidP="00A23649">
      <w:pPr>
        <w:spacing w:after="169"/>
        <w:rPr>
          <w:rFonts w:ascii="Arial" w:eastAsia="Calibri" w:hAnsi="Arial" w:cs="Arial"/>
          <w:i/>
          <w:iCs/>
          <w:kern w:val="3"/>
          <w:lang w:eastAsia="en-US"/>
          <w14:ligatures w14:val="none"/>
        </w:rPr>
      </w:pPr>
      <w:r w:rsidRPr="003F3B50">
        <w:rPr>
          <w:rFonts w:ascii="Arial" w:hAnsi="Arial" w:cs="Arial"/>
          <w:b/>
          <w:bCs/>
          <w:i/>
          <w:iCs/>
        </w:rPr>
        <w:t>Table 2</w:t>
      </w:r>
      <w:r w:rsidRPr="003F3B50">
        <w:rPr>
          <w:rFonts w:ascii="Arial" w:hAnsi="Arial" w:cs="Arial"/>
          <w:i/>
          <w:iCs/>
        </w:rPr>
        <w:t xml:space="preserve">: </w:t>
      </w:r>
      <w:bookmarkStart w:id="6" w:name="_Toc12214"/>
      <w:r w:rsidR="00A23649" w:rsidRPr="003F3B50">
        <w:rPr>
          <w:rFonts w:ascii="Arial" w:eastAsia="Calibri" w:hAnsi="Arial" w:cs="Arial"/>
          <w:i/>
          <w:iCs/>
          <w:kern w:val="3"/>
          <w:lang w:eastAsia="en-US"/>
          <w14:ligatures w14:val="none"/>
        </w:rPr>
        <w:t>Inclusion and exclusion criteria applied during study selection.</w:t>
      </w:r>
    </w:p>
    <w:p w14:paraId="4679C8F1" w14:textId="77777777" w:rsidR="00A23649" w:rsidRPr="003F3B50" w:rsidRDefault="00A23649" w:rsidP="00A23649">
      <w:pPr>
        <w:spacing w:after="169"/>
        <w:rPr>
          <w:rFonts w:ascii="Arial" w:eastAsia="Calibri" w:hAnsi="Arial" w:cs="Arial"/>
          <w:i/>
          <w:iCs/>
          <w:kern w:val="3"/>
          <w:lang w:eastAsia="en-US"/>
          <w14:ligatures w14:val="none"/>
        </w:rPr>
      </w:pPr>
    </w:p>
    <w:p w14:paraId="29D5B0FF" w14:textId="77777777" w:rsidR="00A23649" w:rsidRPr="003F3B50" w:rsidRDefault="00A23649" w:rsidP="00A23649">
      <w:pPr>
        <w:spacing w:line="360" w:lineRule="auto"/>
        <w:rPr>
          <w:rFonts w:ascii="Arial" w:eastAsia="Calibri" w:hAnsi="Arial" w:cs="Arial"/>
          <w:i/>
          <w:iCs/>
          <w:kern w:val="3"/>
          <w:lang w:eastAsia="en-US"/>
          <w14:ligatures w14:val="none"/>
        </w:rPr>
      </w:pPr>
      <w:r w:rsidRPr="003F3B50">
        <w:rPr>
          <w:rFonts w:ascii="Arial" w:eastAsia="Calibri" w:hAnsi="Arial" w:cs="Arial"/>
          <w:b/>
          <w:bCs/>
          <w:i/>
          <w:iCs/>
          <w:kern w:val="3"/>
          <w:lang w:eastAsia="en-US"/>
          <w14:ligatures w14:val="none"/>
        </w:rPr>
        <w:t>Table 3</w:t>
      </w:r>
      <w:r w:rsidRPr="003F3B50">
        <w:rPr>
          <w:rFonts w:ascii="Arial" w:eastAsia="Calibri" w:hAnsi="Arial" w:cs="Arial"/>
          <w:i/>
          <w:iCs/>
          <w:kern w:val="3"/>
          <w:lang w:eastAsia="en-US"/>
          <w14:ligatures w14:val="none"/>
        </w:rPr>
        <w:t xml:space="preserve">: </w:t>
      </w:r>
      <w:r w:rsidRPr="003F3B50">
        <w:rPr>
          <w:rFonts w:ascii="Arial" w:eastAsia="Calibri" w:hAnsi="Arial" w:cs="Arial"/>
          <w:i/>
          <w:iCs/>
          <w:kern w:val="3"/>
          <w:lang w:eastAsia="en-US"/>
          <w14:ligatures w14:val="none"/>
        </w:rPr>
        <w:t>PRISMA 2020 flow diagram illustrating the study selection process for the systematic review.</w:t>
      </w:r>
    </w:p>
    <w:p w14:paraId="05F3DD57" w14:textId="77777777" w:rsidR="00A23649" w:rsidRPr="003F3B50" w:rsidRDefault="00A23649" w:rsidP="00A23649">
      <w:pPr>
        <w:suppressAutoHyphens/>
        <w:autoSpaceDN w:val="0"/>
        <w:spacing w:line="360" w:lineRule="auto"/>
        <w:rPr>
          <w:rFonts w:ascii="Arial" w:eastAsia="Calibri" w:hAnsi="Arial" w:cs="Arial"/>
          <w:i/>
          <w:iCs/>
          <w:kern w:val="3"/>
          <w:lang w:eastAsia="en-US"/>
          <w14:ligatures w14:val="none"/>
        </w:rPr>
      </w:pPr>
      <w:r w:rsidRPr="003F3B50">
        <w:rPr>
          <w:rFonts w:ascii="Arial" w:eastAsia="Calibri" w:hAnsi="Arial" w:cs="Arial"/>
          <w:i/>
          <w:iCs/>
          <w:kern w:val="3"/>
          <w:lang w:eastAsia="en-US"/>
          <w14:ligatures w14:val="none"/>
        </w:rPr>
        <w:t>Source: Adapted from Page et al. (2021) using the author's systematic review data.</w:t>
      </w:r>
    </w:p>
    <w:p w14:paraId="2F39A5EE" w14:textId="77777777" w:rsidR="00A23649" w:rsidRPr="003F3B50" w:rsidRDefault="00A23649" w:rsidP="00A23649">
      <w:pPr>
        <w:suppressAutoHyphens/>
        <w:autoSpaceDN w:val="0"/>
        <w:spacing w:line="360" w:lineRule="auto"/>
        <w:rPr>
          <w:rFonts w:ascii="Arial" w:eastAsia="Calibri" w:hAnsi="Arial" w:cs="Arial"/>
          <w:i/>
          <w:iCs/>
          <w:kern w:val="3"/>
          <w:lang w:eastAsia="en-US"/>
          <w14:ligatures w14:val="none"/>
        </w:rPr>
      </w:pPr>
    </w:p>
    <w:p w14:paraId="0A2966B3" w14:textId="60E7A49A" w:rsidR="00A23649" w:rsidRPr="003F3B50" w:rsidRDefault="00A23649" w:rsidP="00A23649">
      <w:pPr>
        <w:spacing w:line="360" w:lineRule="auto"/>
        <w:rPr>
          <w:rFonts w:ascii="Arial" w:eastAsia="Calibri" w:hAnsi="Arial" w:cs="Arial"/>
          <w:i/>
          <w:iCs/>
          <w:kern w:val="3"/>
          <w:lang w:eastAsia="en-US"/>
          <w14:ligatures w14:val="none"/>
        </w:rPr>
      </w:pPr>
      <w:r w:rsidRPr="003F3B50">
        <w:rPr>
          <w:rFonts w:ascii="Arial" w:eastAsia="Calibri" w:hAnsi="Arial" w:cs="Arial"/>
          <w:b/>
          <w:bCs/>
          <w:i/>
          <w:iCs/>
          <w:kern w:val="3"/>
          <w:lang w:eastAsia="en-US"/>
          <w14:ligatures w14:val="none"/>
        </w:rPr>
        <w:t xml:space="preserve">Table 4: </w:t>
      </w:r>
      <w:r w:rsidRPr="003F3B50">
        <w:rPr>
          <w:rFonts w:ascii="Arial" w:eastAsia="Calibri" w:hAnsi="Arial" w:cs="Arial"/>
          <w:i/>
          <w:iCs/>
          <w:kern w:val="3"/>
          <w:lang w:eastAsia="en-US"/>
          <w14:ligatures w14:val="none"/>
        </w:rPr>
        <w:t>Critical appraisal of included studies using the CASP Qualitative Checklist</w:t>
      </w:r>
    </w:p>
    <w:p w14:paraId="69534B75" w14:textId="7155A776" w:rsidR="00A23649" w:rsidRPr="003F3B50" w:rsidRDefault="00A23649" w:rsidP="00A23649">
      <w:pPr>
        <w:suppressAutoHyphens/>
        <w:autoSpaceDN w:val="0"/>
        <w:spacing w:line="360" w:lineRule="auto"/>
        <w:rPr>
          <w:rFonts w:ascii="Arial" w:eastAsia="Calibri" w:hAnsi="Arial" w:cs="Arial"/>
          <w:b/>
          <w:bCs/>
          <w:i/>
          <w:iCs/>
          <w:kern w:val="3"/>
          <w:lang w:eastAsia="en-US"/>
          <w14:ligatures w14:val="none"/>
        </w:rPr>
      </w:pPr>
    </w:p>
    <w:p w14:paraId="3B0A7E84" w14:textId="270047C0" w:rsidR="00A23649" w:rsidRPr="003F3B50" w:rsidRDefault="00A23649" w:rsidP="00A23649">
      <w:pPr>
        <w:rPr>
          <w:rFonts w:ascii="Arial" w:eastAsia="Times New Roman" w:hAnsi="Arial" w:cs="Arial"/>
          <w:i/>
          <w:iCs/>
          <w:kern w:val="3"/>
          <w:lang w:eastAsia="en-GB"/>
          <w14:ligatures w14:val="none"/>
        </w:rPr>
      </w:pPr>
      <w:r w:rsidRPr="003F3B50">
        <w:rPr>
          <w:rFonts w:ascii="Arial" w:hAnsi="Arial" w:cs="Arial"/>
          <w:b/>
          <w:bCs/>
          <w:i/>
          <w:iCs/>
        </w:rPr>
        <w:t xml:space="preserve">Table 5: </w:t>
      </w:r>
      <w:r w:rsidRPr="003F3B50">
        <w:rPr>
          <w:rFonts w:ascii="Arial" w:eastAsia="Times New Roman" w:hAnsi="Arial" w:cs="Arial"/>
          <w:i/>
          <w:iCs/>
          <w:kern w:val="3"/>
          <w:lang w:eastAsia="en-GB"/>
          <w14:ligatures w14:val="none"/>
        </w:rPr>
        <w:t>Study Characteristics of Included Studies</w:t>
      </w:r>
    </w:p>
    <w:p w14:paraId="6F09C7DE" w14:textId="77777777" w:rsidR="00A23649" w:rsidRPr="003F3B50" w:rsidRDefault="00A23649" w:rsidP="00A23649">
      <w:pPr>
        <w:rPr>
          <w:rFonts w:ascii="Arial" w:eastAsia="Times New Roman" w:hAnsi="Arial" w:cs="Arial"/>
          <w:i/>
          <w:iCs/>
          <w:kern w:val="3"/>
          <w:lang w:eastAsia="en-GB"/>
          <w14:ligatures w14:val="none"/>
        </w:rPr>
      </w:pPr>
    </w:p>
    <w:p w14:paraId="63F36FE4" w14:textId="5D41FEF0" w:rsidR="003F3B50" w:rsidRPr="003F3B50" w:rsidRDefault="003F3B50" w:rsidP="00A23649">
      <w:pPr>
        <w:rPr>
          <w:rFonts w:ascii="Arial" w:eastAsia="Calibri" w:hAnsi="Arial" w:cs="Arial"/>
          <w:i/>
          <w:iCs/>
          <w:kern w:val="3"/>
          <w:lang w:eastAsia="en-US"/>
          <w14:ligatures w14:val="none"/>
        </w:rPr>
      </w:pPr>
      <w:r w:rsidRPr="003F3B50">
        <w:rPr>
          <w:rFonts w:ascii="Arial" w:eastAsia="Calibri" w:hAnsi="Arial" w:cs="Arial"/>
          <w:i/>
          <w:iCs/>
          <w:kern w:val="3"/>
          <w:lang w:eastAsia="en-US"/>
          <w14:ligatures w14:val="none"/>
        </w:rPr>
        <w:t xml:space="preserve">Table 6: Characteristics of Selected Articles </w:t>
      </w:r>
    </w:p>
    <w:p w14:paraId="279143F6" w14:textId="1CA46CE4" w:rsidR="000555DE" w:rsidRPr="00A23649" w:rsidRDefault="000555DE" w:rsidP="00A23649">
      <w:pPr>
        <w:spacing w:after="169"/>
        <w:rPr>
          <w:rFonts w:ascii="Arial" w:eastAsia="Times New Roman" w:hAnsi="Arial" w:cs="Arial"/>
          <w:b/>
          <w:bCs/>
          <w:color w:val="000000"/>
          <w:sz w:val="24"/>
        </w:rPr>
      </w:pPr>
      <w:r w:rsidRPr="00A23649">
        <w:rPr>
          <w:rFonts w:ascii="Arial" w:hAnsi="Arial" w:cs="Arial"/>
          <w:b/>
          <w:bCs/>
        </w:rPr>
        <w:br w:type="page"/>
      </w:r>
    </w:p>
    <w:p w14:paraId="1B3F9B95" w14:textId="41D79E70" w:rsidR="0058569D" w:rsidRPr="00C75B65" w:rsidRDefault="00C75B65" w:rsidP="0058569D">
      <w:pPr>
        <w:pStyle w:val="Heading1"/>
        <w:spacing w:after="169" w:line="249" w:lineRule="auto"/>
        <w:ind w:right="0"/>
        <w:jc w:val="left"/>
        <w:rPr>
          <w:rFonts w:ascii="Arial" w:hAnsi="Arial" w:cs="Arial"/>
          <w:sz w:val="28"/>
          <w:szCs w:val="28"/>
        </w:rPr>
      </w:pPr>
      <w:r>
        <w:rPr>
          <w:rFonts w:asciiTheme="minorBidi" w:hAnsiTheme="minorBidi" w:cstheme="minorBidi"/>
        </w:rPr>
        <w:lastRenderedPageBreak/>
        <w:t xml:space="preserve">                                                  </w:t>
      </w:r>
      <w:bookmarkStart w:id="7" w:name="_Toc240143258"/>
      <w:r w:rsidR="009F64C5" w:rsidRPr="00C75B65">
        <w:rPr>
          <w:rFonts w:ascii="Arial" w:hAnsi="Arial" w:cs="Arial"/>
          <w:sz w:val="28"/>
          <w:szCs w:val="28"/>
        </w:rPr>
        <w:t xml:space="preserve">List of </w:t>
      </w:r>
      <w:bookmarkEnd w:id="6"/>
      <w:r w:rsidR="0058569D" w:rsidRPr="00C75B65">
        <w:rPr>
          <w:rFonts w:ascii="Arial" w:hAnsi="Arial" w:cs="Arial"/>
          <w:sz w:val="28"/>
          <w:szCs w:val="28"/>
        </w:rPr>
        <w:t>abbreviations</w:t>
      </w:r>
      <w:bookmarkEnd w:id="7"/>
    </w:p>
    <w:p w14:paraId="2C46C774" w14:textId="77777777" w:rsidR="0058569D" w:rsidRPr="00C75B65" w:rsidRDefault="0058569D" w:rsidP="0058569D">
      <w:pPr>
        <w:pStyle w:val="Heading1"/>
        <w:spacing w:after="169" w:line="249" w:lineRule="auto"/>
        <w:ind w:right="0"/>
        <w:jc w:val="left"/>
        <w:rPr>
          <w:rFonts w:ascii="Arial" w:hAnsi="Arial" w:cs="Arial"/>
          <w:sz w:val="28"/>
          <w:szCs w:val="28"/>
        </w:rPr>
      </w:pPr>
    </w:p>
    <w:p w14:paraId="6B738AA2" w14:textId="77777777" w:rsidR="0058569D" w:rsidRPr="00C75B65" w:rsidRDefault="0058569D" w:rsidP="0058569D">
      <w:pPr>
        <w:pStyle w:val="Heading1"/>
        <w:spacing w:after="169" w:line="249" w:lineRule="auto"/>
        <w:ind w:right="0"/>
        <w:jc w:val="left"/>
        <w:rPr>
          <w:rFonts w:ascii="Arial" w:hAnsi="Arial" w:cs="Arial"/>
          <w:sz w:val="28"/>
          <w:szCs w:val="28"/>
        </w:rPr>
      </w:pPr>
    </w:p>
    <w:p w14:paraId="20D40ECD" w14:textId="77777777" w:rsidR="0058569D" w:rsidRPr="00C75B65" w:rsidRDefault="0058569D" w:rsidP="0058569D">
      <w:pPr>
        <w:pStyle w:val="Heading1"/>
        <w:spacing w:after="169" w:line="249" w:lineRule="auto"/>
        <w:ind w:right="0"/>
        <w:jc w:val="left"/>
        <w:rPr>
          <w:rFonts w:ascii="Arial" w:hAnsi="Arial" w:cs="Arial"/>
          <w:sz w:val="28"/>
          <w:szCs w:val="28"/>
        </w:rPr>
      </w:pPr>
    </w:p>
    <w:p w14:paraId="34772463" w14:textId="77777777" w:rsidR="0058569D" w:rsidRPr="00C75B65" w:rsidRDefault="0058569D" w:rsidP="0058569D">
      <w:pPr>
        <w:pStyle w:val="Heading1"/>
        <w:spacing w:after="169" w:line="249" w:lineRule="auto"/>
        <w:ind w:right="0"/>
        <w:jc w:val="left"/>
        <w:rPr>
          <w:rFonts w:ascii="Arial" w:hAnsi="Arial" w:cs="Arial"/>
          <w:sz w:val="28"/>
          <w:szCs w:val="28"/>
        </w:rPr>
      </w:pPr>
    </w:p>
    <w:p w14:paraId="57DFA89A" w14:textId="02488DDE" w:rsidR="0058569D" w:rsidRPr="00C75B65" w:rsidRDefault="0058569D" w:rsidP="00373EC4">
      <w:r w:rsidRPr="00373EC4">
        <w:drawing>
          <wp:inline distT="0" distB="0" distL="0" distR="0" wp14:anchorId="561791E4" wp14:editId="1DBF5CA8">
            <wp:extent cx="5730240" cy="472440"/>
            <wp:effectExtent l="0" t="0" r="3810" b="0"/>
            <wp:docPr id="2032318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240" cy="472440"/>
                    </a:xfrm>
                    <a:prstGeom prst="rect">
                      <a:avLst/>
                    </a:prstGeom>
                    <a:noFill/>
                    <a:ln>
                      <a:noFill/>
                    </a:ln>
                  </pic:spPr>
                </pic:pic>
              </a:graphicData>
            </a:graphic>
          </wp:inline>
        </w:drawing>
      </w:r>
    </w:p>
    <w:tbl>
      <w:tblPr>
        <w:tblStyle w:val="TableGrid"/>
        <w:tblW w:w="0" w:type="auto"/>
        <w:tblInd w:w="59" w:type="dxa"/>
        <w:tblLook w:val="04A0" w:firstRow="1" w:lastRow="0" w:firstColumn="1" w:lastColumn="0" w:noHBand="0" w:noVBand="1"/>
      </w:tblPr>
      <w:tblGrid>
        <w:gridCol w:w="4479"/>
        <w:gridCol w:w="4478"/>
      </w:tblGrid>
      <w:tr w:rsidR="0058569D" w14:paraId="153456BF" w14:textId="77777777" w:rsidTr="0058569D">
        <w:tc>
          <w:tcPr>
            <w:tcW w:w="4479" w:type="dxa"/>
          </w:tcPr>
          <w:p w14:paraId="5E22C9E7" w14:textId="76094186" w:rsidR="0058569D" w:rsidRPr="0058569D" w:rsidRDefault="0058569D" w:rsidP="0058569D">
            <w:pPr>
              <w:spacing w:after="158"/>
              <w:rPr>
                <w:rFonts w:asciiTheme="minorBidi" w:eastAsia="Times New Roman" w:hAnsiTheme="minorBidi"/>
                <w:b/>
                <w:iCs/>
              </w:rPr>
            </w:pPr>
            <w:r w:rsidRPr="0058569D">
              <w:rPr>
                <w:rFonts w:asciiTheme="minorBidi" w:eastAsia="Times New Roman" w:hAnsiTheme="minorBidi"/>
                <w:b/>
                <w:iCs/>
              </w:rPr>
              <w:t>CASP</w:t>
            </w:r>
          </w:p>
        </w:tc>
        <w:tc>
          <w:tcPr>
            <w:tcW w:w="4478" w:type="dxa"/>
          </w:tcPr>
          <w:p w14:paraId="77A878EF" w14:textId="7834FE7A" w:rsidR="0058569D" w:rsidRPr="0058569D" w:rsidRDefault="0058569D" w:rsidP="0058569D">
            <w:pPr>
              <w:spacing w:after="158"/>
              <w:rPr>
                <w:rFonts w:asciiTheme="minorBidi" w:eastAsia="Times New Roman" w:hAnsiTheme="minorBidi"/>
                <w:bCs/>
                <w:iCs/>
              </w:rPr>
            </w:pPr>
            <w:r>
              <w:rPr>
                <w:rFonts w:asciiTheme="minorBidi" w:eastAsia="Times New Roman" w:hAnsiTheme="minorBidi"/>
                <w:bCs/>
                <w:iCs/>
              </w:rPr>
              <w:t xml:space="preserve">Critical Appraisal Skills </w:t>
            </w:r>
            <w:r w:rsidR="00C75B65">
              <w:rPr>
                <w:rFonts w:asciiTheme="minorBidi" w:eastAsia="Times New Roman" w:hAnsiTheme="minorBidi"/>
                <w:bCs/>
                <w:iCs/>
              </w:rPr>
              <w:t>Programme</w:t>
            </w:r>
          </w:p>
        </w:tc>
      </w:tr>
      <w:tr w:rsidR="0058569D" w14:paraId="608FB927" w14:textId="77777777" w:rsidTr="0058569D">
        <w:tc>
          <w:tcPr>
            <w:tcW w:w="4479" w:type="dxa"/>
          </w:tcPr>
          <w:p w14:paraId="13F0A2D9" w14:textId="45427D4C" w:rsidR="0058569D" w:rsidRPr="0058569D" w:rsidRDefault="0058569D" w:rsidP="0058569D">
            <w:pPr>
              <w:spacing w:after="158"/>
              <w:rPr>
                <w:rFonts w:ascii="Arial" w:eastAsia="Times New Roman" w:hAnsi="Arial" w:cs="Arial"/>
                <w:b/>
                <w:iCs/>
              </w:rPr>
            </w:pPr>
            <w:r>
              <w:rPr>
                <w:rFonts w:ascii="Arial" w:eastAsia="Times New Roman" w:hAnsi="Arial" w:cs="Arial"/>
                <w:b/>
                <w:iCs/>
              </w:rPr>
              <w:t>GP</w:t>
            </w:r>
          </w:p>
        </w:tc>
        <w:tc>
          <w:tcPr>
            <w:tcW w:w="4478" w:type="dxa"/>
          </w:tcPr>
          <w:p w14:paraId="11A420EC" w14:textId="187FAE7E" w:rsidR="0058569D" w:rsidRPr="0058569D" w:rsidRDefault="00C75B65" w:rsidP="0058569D">
            <w:pPr>
              <w:spacing w:after="158"/>
              <w:rPr>
                <w:rFonts w:asciiTheme="minorBidi" w:eastAsia="Times New Roman" w:hAnsiTheme="minorBidi"/>
                <w:bCs/>
                <w:iCs/>
              </w:rPr>
            </w:pPr>
            <w:r>
              <w:rPr>
                <w:rFonts w:asciiTheme="minorBidi" w:eastAsia="Times New Roman" w:hAnsiTheme="minorBidi"/>
                <w:bCs/>
                <w:iCs/>
              </w:rPr>
              <w:t>General Practitioner</w:t>
            </w:r>
          </w:p>
        </w:tc>
      </w:tr>
      <w:tr w:rsidR="0058569D" w14:paraId="70891725" w14:textId="77777777" w:rsidTr="0058569D">
        <w:tc>
          <w:tcPr>
            <w:tcW w:w="4479" w:type="dxa"/>
          </w:tcPr>
          <w:p w14:paraId="04BEE896" w14:textId="66093DC2"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JBI</w:t>
            </w:r>
          </w:p>
        </w:tc>
        <w:tc>
          <w:tcPr>
            <w:tcW w:w="4478" w:type="dxa"/>
          </w:tcPr>
          <w:p w14:paraId="2AED66AF" w14:textId="0EC4F0B7"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Joanna Briggs Institute</w:t>
            </w:r>
          </w:p>
        </w:tc>
      </w:tr>
      <w:tr w:rsidR="0058569D" w14:paraId="697FA6C3" w14:textId="77777777" w:rsidTr="0058569D">
        <w:tc>
          <w:tcPr>
            <w:tcW w:w="4479" w:type="dxa"/>
          </w:tcPr>
          <w:p w14:paraId="5649E2E5" w14:textId="29EF416A"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NHS</w:t>
            </w:r>
          </w:p>
        </w:tc>
        <w:tc>
          <w:tcPr>
            <w:tcW w:w="4478" w:type="dxa"/>
          </w:tcPr>
          <w:p w14:paraId="6B926027" w14:textId="3428A436"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National Health Service</w:t>
            </w:r>
          </w:p>
        </w:tc>
      </w:tr>
      <w:tr w:rsidR="0058569D" w14:paraId="10F56DCF" w14:textId="77777777" w:rsidTr="0058569D">
        <w:tc>
          <w:tcPr>
            <w:tcW w:w="4479" w:type="dxa"/>
          </w:tcPr>
          <w:p w14:paraId="612D6493" w14:textId="7927B806"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PRISMA</w:t>
            </w:r>
          </w:p>
        </w:tc>
        <w:tc>
          <w:tcPr>
            <w:tcW w:w="4478" w:type="dxa"/>
          </w:tcPr>
          <w:p w14:paraId="25783E29" w14:textId="6D110E0C"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Preferred Reporting Items for Systematic Reviews and Meta-Analysis</w:t>
            </w:r>
          </w:p>
        </w:tc>
      </w:tr>
      <w:tr w:rsidR="0058569D" w14:paraId="762615D2" w14:textId="77777777" w:rsidTr="0058569D">
        <w:tc>
          <w:tcPr>
            <w:tcW w:w="4479" w:type="dxa"/>
          </w:tcPr>
          <w:p w14:paraId="273E6C4A" w14:textId="393CB3F8"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UK</w:t>
            </w:r>
          </w:p>
        </w:tc>
        <w:tc>
          <w:tcPr>
            <w:tcW w:w="4478" w:type="dxa"/>
          </w:tcPr>
          <w:p w14:paraId="20CD1186" w14:textId="3D948BE0"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United Kingdom</w:t>
            </w:r>
          </w:p>
        </w:tc>
      </w:tr>
      <w:tr w:rsidR="0058569D" w14:paraId="5A689D87" w14:textId="77777777" w:rsidTr="0058569D">
        <w:tc>
          <w:tcPr>
            <w:tcW w:w="4479" w:type="dxa"/>
          </w:tcPr>
          <w:p w14:paraId="2E2018D2" w14:textId="0441F6A6" w:rsidR="0058569D" w:rsidRPr="0058569D" w:rsidRDefault="0058569D" w:rsidP="0058569D">
            <w:pPr>
              <w:spacing w:after="158"/>
              <w:rPr>
                <w:rFonts w:asciiTheme="minorBidi" w:eastAsia="Times New Roman" w:hAnsiTheme="minorBidi"/>
                <w:b/>
                <w:iCs/>
              </w:rPr>
            </w:pPr>
            <w:r>
              <w:rPr>
                <w:rFonts w:asciiTheme="minorBidi" w:eastAsia="Times New Roman" w:hAnsiTheme="minorBidi"/>
                <w:b/>
                <w:iCs/>
              </w:rPr>
              <w:t>UTAUT</w:t>
            </w:r>
          </w:p>
        </w:tc>
        <w:tc>
          <w:tcPr>
            <w:tcW w:w="4478" w:type="dxa"/>
          </w:tcPr>
          <w:p w14:paraId="2064E9C3" w14:textId="48BAB3A9" w:rsidR="0058569D" w:rsidRPr="00C75B65" w:rsidRDefault="00C75B65" w:rsidP="00C75B65">
            <w:pPr>
              <w:spacing w:after="158"/>
              <w:rPr>
                <w:rFonts w:asciiTheme="minorBidi" w:eastAsia="Times New Roman" w:hAnsiTheme="minorBidi"/>
                <w:bCs/>
                <w:iCs/>
              </w:rPr>
            </w:pPr>
            <w:r>
              <w:rPr>
                <w:rFonts w:asciiTheme="minorBidi" w:eastAsia="Times New Roman" w:hAnsiTheme="minorBidi"/>
                <w:bCs/>
                <w:iCs/>
              </w:rPr>
              <w:t>Unified Theory of Acceptance and Use of Technology</w:t>
            </w:r>
          </w:p>
        </w:tc>
      </w:tr>
    </w:tbl>
    <w:p w14:paraId="44D4B17D" w14:textId="77777777" w:rsidR="0058569D" w:rsidRDefault="0058569D" w:rsidP="0058569D">
      <w:pPr>
        <w:spacing w:after="158"/>
        <w:ind w:left="59"/>
        <w:rPr>
          <w:rFonts w:asciiTheme="minorBidi" w:eastAsia="Times New Roman" w:hAnsiTheme="minorBidi"/>
          <w:b/>
          <w:i/>
        </w:rPr>
      </w:pPr>
    </w:p>
    <w:p w14:paraId="0A8DF892" w14:textId="3BA2FE52" w:rsidR="009F64C5" w:rsidRPr="007F1C8A" w:rsidRDefault="009F64C5" w:rsidP="0058569D">
      <w:pPr>
        <w:spacing w:after="158"/>
        <w:rPr>
          <w:rFonts w:asciiTheme="minorBidi" w:hAnsiTheme="minorBidi"/>
        </w:rPr>
      </w:pPr>
      <w:r w:rsidRPr="007F1C8A">
        <w:rPr>
          <w:rFonts w:asciiTheme="minorBidi" w:eastAsia="Times New Roman" w:hAnsiTheme="minorBidi"/>
          <w:b/>
          <w:i/>
        </w:rPr>
        <w:t xml:space="preserve"> </w:t>
      </w:r>
      <w:r w:rsidRPr="007F1C8A">
        <w:rPr>
          <w:rFonts w:asciiTheme="minorBidi" w:eastAsia="Times New Roman" w:hAnsiTheme="minorBidi"/>
          <w:b/>
          <w:i/>
        </w:rPr>
        <w:tab/>
        <w:t xml:space="preserve"> </w:t>
      </w:r>
    </w:p>
    <w:p w14:paraId="27F005A8" w14:textId="3D8B2972" w:rsidR="000555DE" w:rsidRPr="007F1C8A" w:rsidRDefault="000555DE">
      <w:pPr>
        <w:rPr>
          <w:rFonts w:asciiTheme="minorBidi" w:eastAsia="Times New Roman" w:hAnsiTheme="minorBidi"/>
          <w:b/>
          <w:color w:val="000000"/>
          <w:sz w:val="24"/>
        </w:rPr>
      </w:pPr>
      <w:bookmarkStart w:id="8" w:name="_Toc12215"/>
      <w:r w:rsidRPr="007F1C8A">
        <w:rPr>
          <w:rFonts w:asciiTheme="minorBidi" w:hAnsiTheme="minorBidi"/>
        </w:rPr>
        <w:br w:type="page"/>
      </w:r>
    </w:p>
    <w:bookmarkEnd w:id="8"/>
    <w:p w14:paraId="53439232" w14:textId="48C694FA" w:rsidR="009F64C5" w:rsidRPr="007F1C8A" w:rsidRDefault="009F64C5">
      <w:pPr>
        <w:spacing w:after="0"/>
        <w:rPr>
          <w:rFonts w:asciiTheme="minorBidi" w:hAnsiTheme="minorBidi"/>
        </w:rPr>
      </w:pPr>
    </w:p>
    <w:p w14:paraId="624C71A9" w14:textId="3180CA0B" w:rsidR="009F64C5" w:rsidRPr="00373EC4" w:rsidRDefault="00BC67C0">
      <w:pPr>
        <w:pStyle w:val="Heading1"/>
        <w:spacing w:after="649"/>
        <w:ind w:left="12" w:right="3"/>
        <w:rPr>
          <w:rFonts w:ascii="Arial" w:hAnsi="Arial" w:cs="Arial"/>
          <w:sz w:val="28"/>
          <w:szCs w:val="28"/>
        </w:rPr>
      </w:pPr>
      <w:bookmarkStart w:id="9" w:name="_Toc12216"/>
      <w:bookmarkStart w:id="10" w:name="_Toc240143259"/>
      <w:r w:rsidRPr="00373EC4">
        <w:rPr>
          <w:rFonts w:ascii="Arial" w:hAnsi="Arial" w:cs="Arial"/>
          <w:sz w:val="28"/>
          <w:szCs w:val="28"/>
        </w:rPr>
        <w:t xml:space="preserve">Chapter 1: </w:t>
      </w:r>
      <w:r w:rsidR="009F64C5" w:rsidRPr="00373EC4">
        <w:rPr>
          <w:rFonts w:ascii="Arial" w:hAnsi="Arial" w:cs="Arial"/>
          <w:sz w:val="28"/>
          <w:szCs w:val="28"/>
        </w:rPr>
        <w:t>Introduction</w:t>
      </w:r>
      <w:bookmarkEnd w:id="10"/>
      <w:r w:rsidR="009F64C5" w:rsidRPr="00373EC4">
        <w:rPr>
          <w:rFonts w:ascii="Arial" w:hAnsi="Arial" w:cs="Arial"/>
          <w:sz w:val="28"/>
          <w:szCs w:val="28"/>
        </w:rPr>
        <w:t xml:space="preserve"> </w:t>
      </w:r>
      <w:bookmarkEnd w:id="9"/>
    </w:p>
    <w:p w14:paraId="2A2390A9" w14:textId="77777777" w:rsidR="00C75B65" w:rsidRDefault="00C75B65">
      <w:pPr>
        <w:pStyle w:val="Heading1"/>
        <w:spacing w:after="610"/>
        <w:ind w:left="12" w:right="6"/>
        <w:rPr>
          <w:rFonts w:asciiTheme="minorBidi" w:hAnsiTheme="minorBidi" w:cstheme="minorBidi"/>
        </w:rPr>
      </w:pPr>
      <w:bookmarkStart w:id="11" w:name="_Toc12217"/>
    </w:p>
    <w:p w14:paraId="1978F4F2" w14:textId="77777777" w:rsidR="00C75B65" w:rsidRPr="00373EC4" w:rsidRDefault="00C75B65" w:rsidP="00373EC4">
      <w:pPr>
        <w:pStyle w:val="Heading2"/>
        <w:rPr>
          <w:rFonts w:ascii="Arial" w:hAnsi="Arial" w:cs="Arial"/>
        </w:rPr>
      </w:pPr>
      <w:bookmarkStart w:id="12" w:name="_Toc237944305"/>
      <w:bookmarkStart w:id="13" w:name="_Toc240143260"/>
      <w:r w:rsidRPr="00373EC4">
        <w:rPr>
          <w:rFonts w:ascii="Arial" w:hAnsi="Arial" w:cs="Arial"/>
        </w:rPr>
        <w:t>1.1 Introduction</w:t>
      </w:r>
      <w:bookmarkEnd w:id="12"/>
      <w:bookmarkEnd w:id="13"/>
    </w:p>
    <w:p w14:paraId="5059ACB3" w14:textId="77777777" w:rsidR="00C75B65" w:rsidRDefault="00C75B65" w:rsidP="00C75B65">
      <w:pPr>
        <w:spacing w:line="360" w:lineRule="auto"/>
        <w:jc w:val="both"/>
        <w:rPr>
          <w:rFonts w:ascii="Arial" w:hAnsi="Arial" w:cs="Arial"/>
        </w:rPr>
      </w:pPr>
      <w:r>
        <w:rPr>
          <w:rFonts w:ascii="Arial" w:hAnsi="Arial" w:cs="Arial"/>
        </w:rPr>
        <w:t xml:space="preserve">This chapter develops the research topic and context for the study. It explores the growing significance of digital exclusion in the UK public health and social care context, focusing specifically on older adults aged 65 and over. This chapter defines the essential concepts of this investigation, outlines the background to the study, identifies the research problem, and explains the rationale and significance of the investigation. </w:t>
      </w:r>
    </w:p>
    <w:p w14:paraId="1B431F21" w14:textId="77777777" w:rsidR="00C75B65" w:rsidRDefault="00C75B65" w:rsidP="00C75B65">
      <w:pPr>
        <w:spacing w:line="360" w:lineRule="auto"/>
        <w:jc w:val="both"/>
        <w:rPr>
          <w:rFonts w:ascii="Arial" w:hAnsi="Arial" w:cs="Arial"/>
        </w:rPr>
      </w:pPr>
      <w:r>
        <w:rPr>
          <w:rFonts w:ascii="Arial" w:hAnsi="Arial" w:cs="Arial"/>
        </w:rPr>
        <w:t>Also, it outlines the research aim, objectives, and research question; provides a brief overview of the methodological approach applied; and finally outlines the dissertation structure.</w:t>
      </w:r>
    </w:p>
    <w:p w14:paraId="790DEF21" w14:textId="77777777" w:rsidR="00C75B65" w:rsidRDefault="00C75B65" w:rsidP="00C75B65">
      <w:pPr>
        <w:spacing w:line="360" w:lineRule="auto"/>
        <w:jc w:val="both"/>
        <w:rPr>
          <w:rFonts w:ascii="Arial" w:hAnsi="Arial" w:cs="Arial"/>
        </w:rPr>
      </w:pPr>
    </w:p>
    <w:p w14:paraId="269BC365" w14:textId="77777777" w:rsidR="00C75B65" w:rsidRPr="00373EC4" w:rsidRDefault="00C75B65" w:rsidP="00373EC4">
      <w:pPr>
        <w:pStyle w:val="Heading2"/>
        <w:rPr>
          <w:rFonts w:ascii="Arial" w:hAnsi="Arial" w:cs="Arial"/>
        </w:rPr>
      </w:pPr>
      <w:bookmarkStart w:id="14" w:name="_Toc237944306"/>
      <w:bookmarkStart w:id="15" w:name="_Toc240143261"/>
      <w:r w:rsidRPr="00373EC4">
        <w:rPr>
          <w:rFonts w:ascii="Arial" w:hAnsi="Arial" w:cs="Arial"/>
        </w:rPr>
        <w:t>1.2 Background and Context of the Study</w:t>
      </w:r>
      <w:bookmarkEnd w:id="14"/>
      <w:bookmarkEnd w:id="15"/>
    </w:p>
    <w:p w14:paraId="40A3BDA7" w14:textId="77777777" w:rsidR="00C75B65" w:rsidRDefault="00C75B65" w:rsidP="00C75B65">
      <w:pPr>
        <w:spacing w:line="360" w:lineRule="auto"/>
        <w:jc w:val="both"/>
        <w:rPr>
          <w:rFonts w:ascii="Arial" w:hAnsi="Arial" w:cs="Arial"/>
        </w:rPr>
      </w:pPr>
    </w:p>
    <w:p w14:paraId="64AF7FD7"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UK healthcare access has been fundamentally transformed by the speedy digital transformation of health and social care. This has not benefited everyone. Digital exclusion is a critical public health challenge that may exacerbate health inequities, particularly among older people, as the NHS adopts digital-first forms of care. </w:t>
      </w:r>
      <w:r>
        <w:rPr>
          <w:rFonts w:ascii="Arial" w:eastAsia="Times New Roman" w:hAnsi="Arial" w:cs="Arial"/>
          <w:b/>
          <w:bCs/>
          <w:kern w:val="0"/>
          <w:lang w:eastAsia="en-GB"/>
        </w:rPr>
        <w:t>Studies have found that 31%</w:t>
      </w:r>
      <w:r>
        <w:rPr>
          <w:rFonts w:ascii="Arial" w:eastAsia="Times New Roman" w:hAnsi="Arial" w:cs="Arial"/>
          <w:kern w:val="0"/>
          <w:lang w:eastAsia="en-GB"/>
        </w:rPr>
        <w:t xml:space="preserve"> of UK citizens do not access health services online, and around </w:t>
      </w:r>
      <w:r>
        <w:rPr>
          <w:rFonts w:ascii="Arial" w:eastAsia="Times New Roman" w:hAnsi="Arial" w:cs="Arial"/>
          <w:b/>
          <w:bCs/>
          <w:kern w:val="0"/>
          <w:lang w:eastAsia="en-GB"/>
        </w:rPr>
        <w:t>8 million people</w:t>
      </w:r>
      <w:r>
        <w:rPr>
          <w:rFonts w:ascii="Arial" w:eastAsia="Times New Roman" w:hAnsi="Arial" w:cs="Arial"/>
          <w:kern w:val="0"/>
          <w:lang w:eastAsia="en-GB"/>
        </w:rPr>
        <w:t xml:space="preserve"> do not have the skills required to fully engage in a digital society. </w:t>
      </w:r>
      <w:r>
        <w:rPr>
          <w:rFonts w:ascii="Arial" w:eastAsia="Times New Roman" w:hAnsi="Arial" w:cs="Arial"/>
          <w:b/>
          <w:bCs/>
          <w:kern w:val="0"/>
          <w:lang w:eastAsia="en-GB"/>
        </w:rPr>
        <w:t>77% of people</w:t>
      </w:r>
      <w:r>
        <w:rPr>
          <w:rFonts w:ascii="Arial" w:eastAsia="Times New Roman" w:hAnsi="Arial" w:cs="Arial"/>
          <w:kern w:val="0"/>
          <w:lang w:eastAsia="en-GB"/>
        </w:rPr>
        <w:t xml:space="preserve"> without basic digital skills are now over 65, </w:t>
      </w:r>
      <w:r>
        <w:rPr>
          <w:rFonts w:ascii="Arial" w:eastAsia="Times New Roman" w:hAnsi="Arial" w:cs="Arial"/>
          <w:b/>
          <w:bCs/>
          <w:kern w:val="0"/>
          <w:lang w:eastAsia="en-GB"/>
        </w:rPr>
        <w:t>and 29%</w:t>
      </w:r>
      <w:r>
        <w:rPr>
          <w:rFonts w:ascii="Arial" w:eastAsia="Times New Roman" w:hAnsi="Arial" w:cs="Arial"/>
          <w:kern w:val="0"/>
          <w:lang w:eastAsia="en-GB"/>
        </w:rPr>
        <w:t xml:space="preserve"> feel left behind in crucial areas, as vital services are moving online (Good Things Foundation, 2025). </w:t>
      </w:r>
    </w:p>
    <w:p w14:paraId="3BC84295" w14:textId="77777777" w:rsidR="00C75B65" w:rsidRDefault="00C75B65" w:rsidP="00C75B65">
      <w:pPr>
        <w:spacing w:before="100" w:after="100" w:line="360" w:lineRule="auto"/>
        <w:jc w:val="both"/>
      </w:pPr>
      <w:r>
        <w:rPr>
          <w:rFonts w:ascii="Arial" w:eastAsia="Times New Roman" w:hAnsi="Arial" w:cs="Arial"/>
          <w:kern w:val="0"/>
          <w:lang w:eastAsia="en-GB"/>
        </w:rPr>
        <w:t xml:space="preserve">These results indicate that online marginalisation has become a central issue in equity in health and social care in the UK. Digital transformation is an essential focus area in both the NHS and social care. The NHS App, online appointments, electronic prescriptions, patient portals and remote consultations are used to improve healthcare access, service delivery, patient experience, and integrated care (Department of Health and Social Care, 2022). NHS England (2023) understands that inclusive digital innovation in healthcare improves healthcare equity rather than restricts it. Vulnerable groups could also be excluded from digital services due to low levels of digital literacy, confidence, financial constraints, suboptimal digital </w:t>
      </w:r>
      <w:r>
        <w:rPr>
          <w:rFonts w:ascii="Arial" w:eastAsia="Times New Roman" w:hAnsi="Arial" w:cs="Arial"/>
          <w:kern w:val="0"/>
          <w:lang w:eastAsia="en-GB"/>
        </w:rPr>
        <w:lastRenderedPageBreak/>
        <w:t>infrastructure, physical or cognitive impairment, or lack of social support (Good Things Foundation, 2024).</w:t>
      </w:r>
    </w:p>
    <w:p w14:paraId="0CAF220D"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Social inequality is closely associated with digital marginalisation. Helsper and Reisdorf (2017) argue that digital isolation has the potential to entrench socioeconomic inequality. As a growing social determinant of health, digital exclusion might undermine access to healthcare information, digital health services, communication with healthcare experts, self-management assistance, and social participation. </w:t>
      </w:r>
    </w:p>
    <w:p w14:paraId="35BA10FC"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Older people, 65 years and older, are especially at risk of digital disruption. Older adults use the web more often, yet access to, confidence in, and readiness for digital activities are lopsided and disparate (Ofcom, 2023). This is particularly relevant in the UK, where older people are more likely to have long-term diseases and use health and social care more frequently (Office for National Statistics, 2018; Kingston et al., 2018). </w:t>
      </w:r>
    </w:p>
    <w:p w14:paraId="3E2A593B"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During the COVID-19 pandemic, the expansion of remote consultation and internet healthcare increased, exposing digital inequities (Watts, 2020). Digitally excluded elderly persons may find it difficult to manage long-term ailments, obtain health information, schedule appointments, and communicate with healthcare experts (Kunonga et al., 2021). Obstacles to service engagement, social isolation, and health disparities could get worse (Seifert, Cotten and Xie, 2021). </w:t>
      </w:r>
    </w:p>
    <w:p w14:paraId="79AE036C" w14:textId="77777777" w:rsidR="00C75B65" w:rsidRDefault="00C75B65" w:rsidP="00C75B65">
      <w:pPr>
        <w:spacing w:before="100" w:after="100" w:line="360" w:lineRule="auto"/>
        <w:jc w:val="both"/>
        <w:rPr>
          <w:rFonts w:ascii="Arial" w:eastAsia="Times New Roman" w:hAnsi="Arial" w:cs="Arial"/>
          <w:kern w:val="0"/>
          <w:lang w:eastAsia="en-GB"/>
        </w:rPr>
      </w:pPr>
      <w:r>
        <w:rPr>
          <w:rFonts w:ascii="Arial" w:eastAsia="Times New Roman" w:hAnsi="Arial" w:cs="Arial"/>
          <w:kern w:val="0"/>
          <w:lang w:eastAsia="en-GB"/>
        </w:rPr>
        <w:t>Therefore, understanding the impact of digital exclusion on older people’s access to public health and social care can serve to inform UK healthcare policies for equity and inclusion.</w:t>
      </w:r>
    </w:p>
    <w:p w14:paraId="23C64205" w14:textId="77777777" w:rsidR="00C75B65" w:rsidRDefault="00C75B65" w:rsidP="00C75B65">
      <w:pPr>
        <w:jc w:val="both"/>
      </w:pPr>
    </w:p>
    <w:p w14:paraId="07DF6FFE" w14:textId="77777777" w:rsidR="00C75B65" w:rsidRPr="00373EC4" w:rsidRDefault="00C75B65" w:rsidP="00373EC4">
      <w:pPr>
        <w:pStyle w:val="Heading2"/>
        <w:rPr>
          <w:rFonts w:ascii="Arial" w:hAnsi="Arial" w:cs="Arial"/>
        </w:rPr>
      </w:pPr>
      <w:bookmarkStart w:id="16" w:name="_Toc237944307"/>
      <w:bookmarkStart w:id="17" w:name="_Toc240143262"/>
      <w:r w:rsidRPr="00373EC4">
        <w:rPr>
          <w:rFonts w:ascii="Arial" w:hAnsi="Arial" w:cs="Arial"/>
        </w:rPr>
        <w:t>1.3 Definition of Key Terms</w:t>
      </w:r>
      <w:bookmarkEnd w:id="16"/>
      <w:bookmarkEnd w:id="17"/>
    </w:p>
    <w:p w14:paraId="21D82344" w14:textId="77777777" w:rsidR="00C75B65" w:rsidRPr="00373EC4" w:rsidRDefault="00C75B65" w:rsidP="00C75B65">
      <w:pPr>
        <w:pStyle w:val="Heading3"/>
        <w:jc w:val="both"/>
        <w:rPr>
          <w:rFonts w:ascii="Arial" w:hAnsi="Arial" w:cs="Arial"/>
          <w:sz w:val="22"/>
        </w:rPr>
      </w:pPr>
      <w:bookmarkStart w:id="18" w:name="_Toc237944308"/>
      <w:bookmarkStart w:id="19" w:name="_Toc240143263"/>
      <w:r w:rsidRPr="00373EC4">
        <w:rPr>
          <w:rFonts w:ascii="Arial" w:hAnsi="Arial" w:cs="Arial"/>
          <w:sz w:val="22"/>
        </w:rPr>
        <w:t>1.3.1 Digital Exclusion</w:t>
      </w:r>
      <w:bookmarkEnd w:id="18"/>
      <w:bookmarkEnd w:id="19"/>
    </w:p>
    <w:p w14:paraId="7BCD9FD2" w14:textId="77777777" w:rsidR="00C75B65" w:rsidRPr="002C532A" w:rsidRDefault="00C75B65" w:rsidP="002C532A">
      <w:pPr>
        <w:spacing w:line="360" w:lineRule="auto"/>
        <w:jc w:val="both"/>
      </w:pPr>
      <w:r w:rsidRPr="002C532A">
        <w:rPr>
          <w:rFonts w:ascii="Arial" w:hAnsi="Arial" w:cs="Arial"/>
          <w:shd w:val="clear" w:color="auto" w:fill="FFFFFF"/>
        </w:rPr>
        <w:t>Digital exclusion refers to people's lack of access to, use of, and benefit from digital technology due to low technical skills, affordability, poor internet access, disability, or lack of confidence (Helsper, 2012; Good Things Foundation, 2024). Digital exclusion can significantly restrict access to online appointments, electronic health records, remote consultations, and other digital health services, resulting in health inequities (NHS England, 2023).</w:t>
      </w:r>
    </w:p>
    <w:p w14:paraId="1A793D5E" w14:textId="77777777" w:rsidR="00C75B65" w:rsidRPr="00373EC4" w:rsidRDefault="00C75B65" w:rsidP="00C75B65">
      <w:pPr>
        <w:pStyle w:val="Heading3"/>
        <w:jc w:val="both"/>
        <w:rPr>
          <w:rFonts w:ascii="Arial" w:hAnsi="Arial" w:cs="Arial"/>
          <w:sz w:val="22"/>
        </w:rPr>
      </w:pPr>
      <w:bookmarkStart w:id="20" w:name="_Toc237944309"/>
      <w:bookmarkStart w:id="21" w:name="_Toc240143264"/>
      <w:r w:rsidRPr="00373EC4">
        <w:rPr>
          <w:rFonts w:ascii="Arial" w:hAnsi="Arial" w:cs="Arial"/>
          <w:sz w:val="22"/>
        </w:rPr>
        <w:t>1.3.2 Digital Inclusion</w:t>
      </w:r>
      <w:bookmarkEnd w:id="20"/>
      <w:bookmarkEnd w:id="21"/>
    </w:p>
    <w:p w14:paraId="3833FF37" w14:textId="77777777" w:rsidR="00C75B65" w:rsidRPr="002C532A" w:rsidRDefault="00C75B65" w:rsidP="002C532A">
      <w:pPr>
        <w:spacing w:line="360" w:lineRule="auto"/>
        <w:jc w:val="both"/>
        <w:rPr>
          <w:rFonts w:ascii="Arial" w:hAnsi="Arial" w:cs="Arial"/>
        </w:rPr>
      </w:pPr>
      <w:r w:rsidRPr="002C532A">
        <w:rPr>
          <w:rFonts w:ascii="Arial" w:hAnsi="Arial" w:cs="Arial"/>
          <w:shd w:val="clear" w:color="auto" w:fill="FFFFFF"/>
        </w:rPr>
        <w:t>In other words, providing everyone with the opportunity, skills, confidence, incentive, and access needed to participate fully in a digital society is digital inclusion (Good Things Foundation, 2024). Digital inclusion in healthcare also means that technological breakthroughs increase access for all demographic groups rather than worsening inequalities (NHS England, 2023). </w:t>
      </w:r>
    </w:p>
    <w:p w14:paraId="3DD2A012" w14:textId="77777777" w:rsidR="00C75B65" w:rsidRPr="00373EC4" w:rsidRDefault="00C75B65" w:rsidP="00C75B65">
      <w:pPr>
        <w:pStyle w:val="Heading3"/>
        <w:jc w:val="both"/>
        <w:rPr>
          <w:rFonts w:ascii="Arial" w:hAnsi="Arial" w:cs="Arial"/>
          <w:sz w:val="22"/>
        </w:rPr>
      </w:pPr>
      <w:bookmarkStart w:id="22" w:name="_Toc237944310"/>
      <w:bookmarkStart w:id="23" w:name="_Toc240143265"/>
      <w:r w:rsidRPr="00373EC4">
        <w:rPr>
          <w:rFonts w:ascii="Arial" w:hAnsi="Arial" w:cs="Arial"/>
          <w:sz w:val="22"/>
        </w:rPr>
        <w:lastRenderedPageBreak/>
        <w:t>1.3.3 Digital Health</w:t>
      </w:r>
      <w:bookmarkEnd w:id="22"/>
      <w:bookmarkEnd w:id="23"/>
    </w:p>
    <w:p w14:paraId="5453AA21" w14:textId="77777777" w:rsidR="00C75B65" w:rsidRDefault="00C75B65" w:rsidP="00C75B65">
      <w:pPr>
        <w:jc w:val="both"/>
      </w:pPr>
      <w:r>
        <w:rPr>
          <w:shd w:val="clear" w:color="auto" w:fill="FFFFFF"/>
        </w:rPr>
        <w:t>It is the use of technology to promote health, healthcare, and public health, according to the World Health Organisation (2021). Examples include electronic health records, telemedicine, remote monitoring, mobile health apps, and online appointment systems. Digital health is central to NHS reform and integrated care in the UK (Department of Health and Social Care, 2022a).</w:t>
      </w:r>
    </w:p>
    <w:p w14:paraId="28B29ACB" w14:textId="77777777" w:rsidR="00C75B65" w:rsidRDefault="00C75B65" w:rsidP="00C75B65">
      <w:pPr>
        <w:pStyle w:val="Heading3"/>
        <w:jc w:val="both"/>
      </w:pPr>
      <w:bookmarkStart w:id="24" w:name="_Toc237944311"/>
      <w:bookmarkStart w:id="25" w:name="_Toc240143266"/>
      <w:r>
        <w:t>1.3.4 Older Adults</w:t>
      </w:r>
      <w:bookmarkEnd w:id="24"/>
      <w:bookmarkEnd w:id="25"/>
    </w:p>
    <w:p w14:paraId="66E91950" w14:textId="77777777" w:rsidR="00C75B65" w:rsidRDefault="00C75B65" w:rsidP="00C75B65">
      <w:pPr>
        <w:spacing w:line="360" w:lineRule="auto"/>
        <w:jc w:val="both"/>
      </w:pPr>
      <w:r>
        <w:rPr>
          <w:rFonts w:ascii="Arial" w:hAnsi="Arial" w:cs="Arial"/>
          <w:spacing w:val="8"/>
          <w:sz w:val="23"/>
          <w:szCs w:val="23"/>
          <w:shd w:val="clear" w:color="auto" w:fill="FFFFFF"/>
        </w:rPr>
        <w:t>Older adults for this dissertation encompass those 65 and older, being in line with the UK population as well as the ageing and health literature (Office for National Statistics, 2018; Age UK, 2024). This population is the focus of the study as they are more digitally excluded and use health and social care more frequently.</w:t>
      </w:r>
    </w:p>
    <w:p w14:paraId="177CFB6A" w14:textId="77777777" w:rsidR="00C75B65" w:rsidRDefault="00C75B65" w:rsidP="00C75B65">
      <w:pPr>
        <w:jc w:val="both"/>
      </w:pPr>
    </w:p>
    <w:p w14:paraId="30C5D3D2" w14:textId="77777777" w:rsidR="00C75B65" w:rsidRPr="00373EC4" w:rsidRDefault="00C75B65" w:rsidP="00373EC4">
      <w:pPr>
        <w:pStyle w:val="Heading2"/>
        <w:rPr>
          <w:rFonts w:ascii="Arial" w:hAnsi="Arial" w:cs="Arial"/>
        </w:rPr>
      </w:pPr>
      <w:bookmarkStart w:id="26" w:name="_Toc237944312"/>
      <w:bookmarkStart w:id="27" w:name="_Toc240143267"/>
      <w:r w:rsidRPr="00373EC4">
        <w:rPr>
          <w:rFonts w:ascii="Arial" w:hAnsi="Arial" w:cs="Arial"/>
        </w:rPr>
        <w:t>1.4 Background to Digital Exclusion in the United Kingdom</w:t>
      </w:r>
      <w:bookmarkEnd w:id="26"/>
      <w:bookmarkEnd w:id="27"/>
    </w:p>
    <w:p w14:paraId="305BEF9D" w14:textId="77777777" w:rsidR="00C75B65" w:rsidRDefault="00C75B65" w:rsidP="00C75B65">
      <w:pPr>
        <w:spacing w:line="360" w:lineRule="auto"/>
        <w:jc w:val="both"/>
        <w:rPr>
          <w:rFonts w:ascii="Arial" w:hAnsi="Arial" w:cs="Arial"/>
        </w:rPr>
      </w:pPr>
      <w:r>
        <w:rPr>
          <w:rFonts w:ascii="Arial" w:hAnsi="Arial" w:cs="Arial"/>
        </w:rPr>
        <w:t xml:space="preserve">Digitisation in health and social care has changed the way in which UK healthcare services work over the last decade. The UK government is adopting digital innovation to enhance technology access to healthcare, efficiency and integration. The Inclusive Digital Healthcare Framework from NHS England supports technology in care and reduces digital exclusion. The COVID-19 pandemic made telehealth and internet appointments more prevalent. Differences persist for those without the training and income to use those technologies. </w:t>
      </w:r>
    </w:p>
    <w:p w14:paraId="52042915" w14:textId="77777777" w:rsidR="00C75B65" w:rsidRDefault="00C75B65" w:rsidP="00C75B65">
      <w:pPr>
        <w:spacing w:line="360" w:lineRule="auto"/>
        <w:jc w:val="both"/>
        <w:rPr>
          <w:rFonts w:ascii="Arial" w:hAnsi="Arial" w:cs="Arial"/>
        </w:rPr>
      </w:pPr>
      <w:r>
        <w:rPr>
          <w:rFonts w:ascii="Arial" w:hAnsi="Arial" w:cs="Arial"/>
        </w:rPr>
        <w:t xml:space="preserve">But such developments have impacted older people most severely, leaving a wide divide in digital access, confidence and literacy despite their growing internet use. That digital exclusion leaves millions without crucial public services. This is also driven by lower education, poverty, impairments and lack of digital support. Digital exclusion exacerbates social health disparities, making it important for public health. </w:t>
      </w:r>
    </w:p>
    <w:p w14:paraId="04A8FCAC" w14:textId="77777777" w:rsidR="00C75B65" w:rsidRDefault="00C75B65" w:rsidP="00C75B65">
      <w:pPr>
        <w:spacing w:line="360" w:lineRule="auto"/>
        <w:jc w:val="both"/>
        <w:rPr>
          <w:rFonts w:ascii="Arial" w:hAnsi="Arial" w:cs="Arial"/>
        </w:rPr>
      </w:pPr>
      <w:r>
        <w:rPr>
          <w:rFonts w:ascii="Arial" w:hAnsi="Arial" w:cs="Arial"/>
        </w:rPr>
        <w:t xml:space="preserve">Older people use health information and services less often in relation to digital coverage, with poorer health service use due to the absence of digital coverage. Poor internet access to various groups, especially the elderly, is contributing to a deterioration of the pre-existing digital divide and healthcare inequalities in the UK. Kunonga et al. (2021) highlight the substantial barriers older persons experience in accessing health services, and Harvey, Hastings, and Chowdhury (2021) show that dependency on digital resources can lead to harm. </w:t>
      </w:r>
    </w:p>
    <w:p w14:paraId="61F2177E" w14:textId="77777777" w:rsidR="00C75B65" w:rsidRDefault="00C75B65" w:rsidP="00C75B65">
      <w:pPr>
        <w:spacing w:line="360" w:lineRule="auto"/>
        <w:jc w:val="both"/>
        <w:rPr>
          <w:rFonts w:ascii="Arial" w:hAnsi="Arial" w:cs="Arial"/>
        </w:rPr>
      </w:pPr>
      <w:r>
        <w:rPr>
          <w:rFonts w:ascii="Arial" w:hAnsi="Arial" w:cs="Arial"/>
        </w:rPr>
        <w:t>Digital inclusion and technology need to be encouraged together to provide equal healthcare for all. Understand how digitally excluded older persons view life so that both policy and service designs can develop in line with their realities. Hence, digital transformation reduces health disparities for older people.</w:t>
      </w:r>
    </w:p>
    <w:p w14:paraId="1F7C21C7" w14:textId="77777777" w:rsidR="00C75B65" w:rsidRPr="00373EC4" w:rsidRDefault="00C75B65" w:rsidP="00373EC4">
      <w:pPr>
        <w:pStyle w:val="Heading2"/>
        <w:rPr>
          <w:rFonts w:ascii="Arial" w:hAnsi="Arial" w:cs="Arial"/>
        </w:rPr>
      </w:pPr>
      <w:bookmarkStart w:id="28" w:name="_Toc237944313"/>
      <w:bookmarkStart w:id="29" w:name="_Toc240143268"/>
      <w:r w:rsidRPr="00373EC4">
        <w:rPr>
          <w:rFonts w:ascii="Arial" w:hAnsi="Arial" w:cs="Arial"/>
        </w:rPr>
        <w:lastRenderedPageBreak/>
        <w:t>1.5 Problem Statement</w:t>
      </w:r>
      <w:bookmarkEnd w:id="28"/>
      <w:bookmarkEnd w:id="29"/>
    </w:p>
    <w:p w14:paraId="7828A36F" w14:textId="77777777" w:rsidR="00C75B65" w:rsidRDefault="00C75B65" w:rsidP="00C75B65">
      <w:pPr>
        <w:spacing w:line="360" w:lineRule="auto"/>
        <w:jc w:val="both"/>
        <w:rPr>
          <w:rFonts w:ascii="Arial" w:hAnsi="Arial" w:cs="Arial"/>
        </w:rPr>
      </w:pPr>
      <w:r>
        <w:rPr>
          <w:rFonts w:ascii="Arial" w:hAnsi="Arial" w:cs="Arial"/>
        </w:rPr>
        <w:t>The UK’s health and social care system is increasingly digitally driven to improve patient participation and efficiency. Older adults (65+) with digital exclusion face daunting barriers (e.g., low digital literacy, lack of confidence, affordability issues, physical limitations, and inadequate access to technology), which may reduce their engagement with digital services. While attempts to enhance access have been made, these barriers remain (Age UK, 2024; Good Things Foundation, 2024).</w:t>
      </w:r>
    </w:p>
    <w:p w14:paraId="4A12D8DA" w14:textId="77777777" w:rsidR="00C75B65" w:rsidRDefault="00C75B65" w:rsidP="00C75B65">
      <w:pPr>
        <w:spacing w:line="360" w:lineRule="auto"/>
        <w:jc w:val="both"/>
        <w:rPr>
          <w:rFonts w:ascii="Arial" w:hAnsi="Arial" w:cs="Arial"/>
        </w:rPr>
      </w:pPr>
      <w:r>
        <w:rPr>
          <w:rFonts w:ascii="Arial" w:hAnsi="Arial" w:cs="Arial"/>
        </w:rPr>
        <w:t>Studies suggest that among older persons in the UK, low digital confidence, low levels of ability, and socioeconomic disadvantage lead to digital exclusion. Although digital technologies have applications in healthcare, they may worsen disparities without adequate support. There is a notable deficit of information about older people’s experiences of digital exclusion with respect to their access to public health and social care services. Considering these issues, this dissertation seeks to examine how digital exclusion impacts the experiences of older people using these services in the UK and its implications for health policy and service design in a more inclusive context.</w:t>
      </w:r>
    </w:p>
    <w:p w14:paraId="50160307" w14:textId="77777777" w:rsidR="00C75B65" w:rsidRDefault="00C75B65" w:rsidP="00C75B65">
      <w:pPr>
        <w:jc w:val="both"/>
      </w:pPr>
    </w:p>
    <w:p w14:paraId="777F0998" w14:textId="77777777" w:rsidR="00C75B65" w:rsidRPr="00373EC4" w:rsidRDefault="00C75B65" w:rsidP="00373EC4">
      <w:pPr>
        <w:pStyle w:val="Heading2"/>
        <w:rPr>
          <w:rFonts w:ascii="Arial" w:hAnsi="Arial" w:cs="Arial"/>
        </w:rPr>
      </w:pPr>
      <w:bookmarkStart w:id="30" w:name="_Toc237944314"/>
      <w:bookmarkStart w:id="31" w:name="_Toc240143269"/>
      <w:r w:rsidRPr="00373EC4">
        <w:rPr>
          <w:rFonts w:ascii="Arial" w:hAnsi="Arial" w:cs="Arial"/>
        </w:rPr>
        <w:t>1.6 Rationale for the Study</w:t>
      </w:r>
      <w:bookmarkEnd w:id="30"/>
      <w:bookmarkEnd w:id="31"/>
    </w:p>
    <w:p w14:paraId="5F9FF531" w14:textId="77777777" w:rsidR="00C75B65" w:rsidRDefault="00C75B65" w:rsidP="00C75B65">
      <w:pPr>
        <w:pStyle w:val="NormalWeb"/>
        <w:spacing w:line="360" w:lineRule="auto"/>
        <w:jc w:val="both"/>
        <w:rPr>
          <w:rFonts w:ascii="Arial" w:hAnsi="Arial" w:cs="Arial"/>
          <w:sz w:val="22"/>
          <w:szCs w:val="22"/>
        </w:rPr>
      </w:pPr>
      <w:r>
        <w:rPr>
          <w:rFonts w:ascii="Arial" w:hAnsi="Arial" w:cs="Arial"/>
          <w:sz w:val="22"/>
          <w:szCs w:val="22"/>
        </w:rPr>
        <w:t xml:space="preserve">Digital technologies have made service availability, efficiency, and patient focus in the UK all the better (Department of Health and Social Care, 2022a; NHS England, 2023). The digital exclusion problem is now a major public health issue, especially for the older generations who are more likely to face barriers like limited digital literacy, reduced technology confidence, financial constraints, and physical or cognitive disabilities (Good Things Foundation, 2024; Age UK, 2024). As healthcare providers go digital-first, tackling health disparities has become both a legal and practical issue. </w:t>
      </w:r>
    </w:p>
    <w:p w14:paraId="168E4513" w14:textId="77777777" w:rsidR="00C75B65" w:rsidRDefault="00C75B65" w:rsidP="00C75B65">
      <w:pPr>
        <w:pStyle w:val="NormalWeb"/>
        <w:spacing w:line="360" w:lineRule="auto"/>
        <w:jc w:val="both"/>
        <w:rPr>
          <w:rFonts w:ascii="Arial" w:hAnsi="Arial" w:cs="Arial"/>
          <w:sz w:val="22"/>
          <w:szCs w:val="22"/>
        </w:rPr>
      </w:pPr>
      <w:r>
        <w:rPr>
          <w:rFonts w:ascii="Arial" w:hAnsi="Arial" w:cs="Arial"/>
          <w:sz w:val="22"/>
          <w:szCs w:val="22"/>
        </w:rPr>
        <w:t xml:space="preserve">Research indicates that digital marginalisation negatively impacts older persons' access to health and social care. Previous scoping and systematic assessments had identified multiple limitations, including the absence of digital skills and internet access, affordability, and the presence of disability (Kruse et al., 2020; Kunonga, 2021; Xue, 2026). Several studies have investigated digital health interventions and telehealth services, elucidating their potential benefits and the challenges facing the elderly (Chagnon et al., 2023; Ko et al., 2025). These studies indicate that digital exclusion still stands in the way of equal healthcare access. </w:t>
      </w:r>
    </w:p>
    <w:p w14:paraId="6AFCAF6F" w14:textId="77777777" w:rsidR="00C75B65" w:rsidRDefault="00C75B65" w:rsidP="00C75B65">
      <w:pPr>
        <w:pStyle w:val="NormalWeb"/>
        <w:spacing w:line="360" w:lineRule="auto"/>
        <w:jc w:val="both"/>
        <w:rPr>
          <w:rFonts w:ascii="Arial" w:hAnsi="Arial" w:cs="Arial"/>
          <w:sz w:val="22"/>
          <w:szCs w:val="22"/>
        </w:rPr>
      </w:pPr>
      <w:r>
        <w:rPr>
          <w:rFonts w:ascii="Arial" w:hAnsi="Arial" w:cs="Arial"/>
          <w:sz w:val="22"/>
          <w:szCs w:val="22"/>
        </w:rPr>
        <w:t xml:space="preserve">The evidence on the experience of older adults using public health and social care services in the UK is international or specifically targeted at digital interventions (e.g., telehealth), </w:t>
      </w:r>
      <w:r>
        <w:rPr>
          <w:rFonts w:ascii="Arial" w:hAnsi="Arial" w:cs="Arial"/>
          <w:sz w:val="22"/>
          <w:szCs w:val="22"/>
        </w:rPr>
        <w:lastRenderedPageBreak/>
        <w:t xml:space="preserve">especially some studies focused on self-management technologies. After the COVID-19 pandemic, digital-first healthcare has massively increased, transforming the delivery of many NHS and social care services and requiring more up-to-date data that is in line with UK policy and practice. </w:t>
      </w:r>
    </w:p>
    <w:p w14:paraId="7AE324BD" w14:textId="77777777" w:rsidR="00C75B65" w:rsidRDefault="00C75B65" w:rsidP="00C75B65">
      <w:pPr>
        <w:pStyle w:val="NormalWeb"/>
        <w:spacing w:line="360" w:lineRule="auto"/>
        <w:jc w:val="both"/>
        <w:rPr>
          <w:rFonts w:ascii="Arial" w:hAnsi="Arial" w:cs="Arial"/>
          <w:sz w:val="22"/>
          <w:szCs w:val="22"/>
        </w:rPr>
      </w:pPr>
      <w:r>
        <w:rPr>
          <w:rFonts w:ascii="Arial" w:hAnsi="Arial" w:cs="Arial"/>
          <w:sz w:val="22"/>
          <w:szCs w:val="22"/>
        </w:rPr>
        <w:t>Hence, this dissertation completes a qualitative systematic review to collect existing information on how digital exclusion impacts older people in their access to UK public health and social care services. The project aims to develop digital health and social care to identify barriers, explore lived experience, and consider policy and practice impacts.</w:t>
      </w:r>
    </w:p>
    <w:p w14:paraId="77056AC1" w14:textId="77777777" w:rsidR="00C75B65" w:rsidRPr="00373EC4" w:rsidRDefault="00C75B65" w:rsidP="00C75B65">
      <w:pPr>
        <w:pStyle w:val="Heading3"/>
        <w:jc w:val="both"/>
        <w:rPr>
          <w:rFonts w:ascii="Arial" w:hAnsi="Arial" w:cs="Arial"/>
          <w:sz w:val="22"/>
        </w:rPr>
      </w:pPr>
      <w:bookmarkStart w:id="32" w:name="_Toc237944315"/>
      <w:bookmarkStart w:id="33" w:name="_Toc240143270"/>
      <w:r w:rsidRPr="00373EC4">
        <w:rPr>
          <w:rFonts w:ascii="Arial" w:hAnsi="Arial" w:cs="Arial"/>
          <w:sz w:val="22"/>
        </w:rPr>
        <w:t>1.6.1 Significance of the Study</w:t>
      </w:r>
      <w:bookmarkEnd w:id="32"/>
      <w:bookmarkEnd w:id="33"/>
    </w:p>
    <w:p w14:paraId="25DD774F" w14:textId="77777777" w:rsidR="00C75B65" w:rsidRDefault="00C75B65" w:rsidP="00C75B65">
      <w:pPr>
        <w:spacing w:line="360" w:lineRule="auto"/>
        <w:jc w:val="both"/>
      </w:pPr>
      <w:r>
        <w:rPr>
          <w:rStyle w:val="Strong"/>
          <w:rFonts w:ascii="Arial" w:hAnsi="Arial" w:cs="Arial"/>
          <w:b w:val="0"/>
          <w:bCs w:val="0"/>
        </w:rPr>
        <w:t xml:space="preserve">Older people in the UK experience significant challenges in adopting digital technology, and digital exclusion is emerging as a public health problem that may play a role in health inequities (NHS England, 2023; Good Things Foundation, 2024). This systematic study examines older individuals’ digital exclusion and barriers to digital health and social care services. Findings will assist practitioners, service providers, and the government in devising ways of providing even greater digital accessibility, with a view to enhancing access to health care and reducing inequalities in health status. </w:t>
      </w:r>
    </w:p>
    <w:p w14:paraId="3C36DBA7" w14:textId="77777777" w:rsidR="00C75B65" w:rsidRDefault="00C75B65" w:rsidP="00C75B65">
      <w:pPr>
        <w:spacing w:line="360" w:lineRule="auto"/>
        <w:jc w:val="both"/>
      </w:pPr>
      <w:r>
        <w:rPr>
          <w:rStyle w:val="Strong"/>
          <w:rFonts w:ascii="Arial" w:hAnsi="Arial" w:cs="Arial"/>
          <w:b w:val="0"/>
          <w:bCs w:val="0"/>
        </w:rPr>
        <w:t>The study seeks to investigate the experiences of older adults who are using digital health and support healthcare practitioners to bring about more person-centred, inclusive healthcare for older adults. It should further seek to map the knowledge gaps, along with recommendations for further research, policy and practice in UK public health and social care. It aims to foster digital health systems that facilitate more egalitarian development that can potentially reduce the marginalisation of older adults. (NHS England, 2023)</w:t>
      </w:r>
    </w:p>
    <w:p w14:paraId="1F957A39" w14:textId="77777777" w:rsidR="00C75B65" w:rsidRDefault="00C75B65" w:rsidP="00C75B65">
      <w:pPr>
        <w:spacing w:line="360" w:lineRule="auto"/>
        <w:jc w:val="both"/>
      </w:pPr>
    </w:p>
    <w:p w14:paraId="447EAD68" w14:textId="77777777" w:rsidR="00C75B65" w:rsidRPr="00373EC4" w:rsidRDefault="00C75B65" w:rsidP="00C75B65">
      <w:pPr>
        <w:pStyle w:val="Heading3"/>
        <w:jc w:val="both"/>
        <w:rPr>
          <w:rFonts w:ascii="Arial" w:hAnsi="Arial" w:cs="Arial"/>
          <w:sz w:val="22"/>
        </w:rPr>
      </w:pPr>
      <w:bookmarkStart w:id="34" w:name="_Toc237944316"/>
      <w:bookmarkStart w:id="35" w:name="_Toc240143271"/>
      <w:r w:rsidRPr="00373EC4">
        <w:rPr>
          <w:rFonts w:ascii="Arial" w:hAnsi="Arial" w:cs="Arial"/>
          <w:sz w:val="22"/>
        </w:rPr>
        <w:t>1.6.2 Aim of the Study</w:t>
      </w:r>
      <w:bookmarkEnd w:id="34"/>
      <w:bookmarkEnd w:id="35"/>
    </w:p>
    <w:p w14:paraId="4ACF3A4F" w14:textId="77777777" w:rsidR="00C75B65" w:rsidRDefault="00C75B65" w:rsidP="00C75B65">
      <w:pPr>
        <w:spacing w:line="360" w:lineRule="auto"/>
        <w:jc w:val="both"/>
        <w:rPr>
          <w:rFonts w:ascii="Arial" w:hAnsi="Arial" w:cs="Arial"/>
        </w:rPr>
      </w:pPr>
      <w:r>
        <w:rPr>
          <w:rFonts w:ascii="Arial" w:hAnsi="Arial" w:cs="Arial"/>
        </w:rPr>
        <w:t>To explore the lived experiences of digital exclusion among older adults (aged 65+) and how this influences their access to public health and social care services in the UK.</w:t>
      </w:r>
    </w:p>
    <w:p w14:paraId="0AFCC623" w14:textId="77777777" w:rsidR="00C75B65" w:rsidRDefault="00C75B65" w:rsidP="00C75B65">
      <w:pPr>
        <w:spacing w:line="360" w:lineRule="auto"/>
        <w:jc w:val="both"/>
        <w:rPr>
          <w:rFonts w:ascii="Arial" w:hAnsi="Arial" w:cs="Arial"/>
        </w:rPr>
      </w:pPr>
    </w:p>
    <w:p w14:paraId="1E49F399" w14:textId="77777777" w:rsidR="00C75B65" w:rsidRPr="00373EC4" w:rsidRDefault="00C75B65" w:rsidP="00C75B65">
      <w:pPr>
        <w:pStyle w:val="Heading3"/>
        <w:jc w:val="both"/>
        <w:rPr>
          <w:rFonts w:ascii="Arial" w:hAnsi="Arial" w:cs="Arial"/>
          <w:sz w:val="22"/>
        </w:rPr>
      </w:pPr>
      <w:bookmarkStart w:id="36" w:name="_Toc237944317"/>
      <w:bookmarkStart w:id="37" w:name="_Toc240143272"/>
      <w:r w:rsidRPr="00373EC4">
        <w:rPr>
          <w:rFonts w:ascii="Arial" w:hAnsi="Arial" w:cs="Arial"/>
          <w:sz w:val="22"/>
        </w:rPr>
        <w:t>1.6.3 Research Objectives</w:t>
      </w:r>
      <w:bookmarkEnd w:id="36"/>
      <w:bookmarkEnd w:id="37"/>
    </w:p>
    <w:p w14:paraId="161307FB" w14:textId="77777777" w:rsidR="00C75B65" w:rsidRDefault="00C75B65" w:rsidP="00C75B65">
      <w:pPr>
        <w:spacing w:line="360" w:lineRule="auto"/>
        <w:jc w:val="both"/>
        <w:rPr>
          <w:rFonts w:ascii="Arial" w:hAnsi="Arial" w:cs="Arial"/>
        </w:rPr>
      </w:pPr>
      <w:r>
        <w:rPr>
          <w:rFonts w:ascii="Arial" w:hAnsi="Arial" w:cs="Arial"/>
        </w:rPr>
        <w:t>To investigate the barriers that older adults encounter when accessing digital health and social care services.</w:t>
      </w:r>
    </w:p>
    <w:p w14:paraId="7325E207" w14:textId="07BDC961" w:rsidR="00C75B65" w:rsidRDefault="00C75B65" w:rsidP="00C75B65">
      <w:pPr>
        <w:spacing w:line="360" w:lineRule="auto"/>
        <w:jc w:val="both"/>
        <w:rPr>
          <w:rFonts w:ascii="Arial" w:hAnsi="Arial" w:cs="Arial"/>
        </w:rPr>
      </w:pPr>
      <w:r>
        <w:rPr>
          <w:rFonts w:ascii="Arial" w:hAnsi="Arial" w:cs="Arial"/>
        </w:rPr>
        <w:t xml:space="preserve">To explore older </w:t>
      </w:r>
      <w:r w:rsidR="002C532A">
        <w:rPr>
          <w:rFonts w:ascii="Arial" w:hAnsi="Arial" w:cs="Arial"/>
        </w:rPr>
        <w:t>adults</w:t>
      </w:r>
      <w:r>
        <w:rPr>
          <w:rFonts w:ascii="Arial" w:hAnsi="Arial" w:cs="Arial"/>
        </w:rPr>
        <w:t xml:space="preserve"> lived experiences and perceptions of digital health and social care systems.</w:t>
      </w:r>
    </w:p>
    <w:p w14:paraId="0F5D0914" w14:textId="77777777" w:rsidR="00C75B65" w:rsidRDefault="00C75B65" w:rsidP="00C75B65">
      <w:pPr>
        <w:spacing w:line="360" w:lineRule="auto"/>
        <w:jc w:val="both"/>
        <w:rPr>
          <w:rFonts w:ascii="Arial" w:hAnsi="Arial" w:cs="Arial"/>
        </w:rPr>
      </w:pPr>
      <w:r>
        <w:rPr>
          <w:rFonts w:ascii="Arial" w:hAnsi="Arial" w:cs="Arial"/>
        </w:rPr>
        <w:lastRenderedPageBreak/>
        <w:t>To investigate the consequences of digital exclusion for older adults' autonomy, inclusion, and engagement with services.</w:t>
      </w:r>
    </w:p>
    <w:p w14:paraId="7F31F258" w14:textId="77777777" w:rsidR="00C75B65" w:rsidRDefault="00C75B65" w:rsidP="00C75B65">
      <w:pPr>
        <w:spacing w:line="360" w:lineRule="auto"/>
        <w:jc w:val="both"/>
        <w:rPr>
          <w:rFonts w:ascii="Arial" w:hAnsi="Arial" w:cs="Arial"/>
        </w:rPr>
      </w:pPr>
      <w:r>
        <w:rPr>
          <w:rFonts w:ascii="Arial" w:hAnsi="Arial" w:cs="Arial"/>
        </w:rPr>
        <w:t>To analyse the implications of digital exclusion for public health and social care policy and practice in the UK.</w:t>
      </w:r>
    </w:p>
    <w:p w14:paraId="3A2B0F02" w14:textId="77777777" w:rsidR="00C75B65" w:rsidRPr="00373EC4" w:rsidRDefault="00C75B65" w:rsidP="00C75B65">
      <w:pPr>
        <w:pStyle w:val="Heading3"/>
        <w:jc w:val="both"/>
        <w:rPr>
          <w:rFonts w:ascii="Arial" w:hAnsi="Arial" w:cs="Arial"/>
          <w:sz w:val="22"/>
        </w:rPr>
      </w:pPr>
      <w:bookmarkStart w:id="38" w:name="_Toc237944318"/>
      <w:bookmarkStart w:id="39" w:name="_Toc240143273"/>
      <w:r w:rsidRPr="00373EC4">
        <w:rPr>
          <w:rFonts w:ascii="Arial" w:hAnsi="Arial" w:cs="Arial"/>
          <w:sz w:val="22"/>
        </w:rPr>
        <w:t>1.6.4 Research Question</w:t>
      </w:r>
      <w:bookmarkEnd w:id="38"/>
      <w:bookmarkEnd w:id="39"/>
    </w:p>
    <w:p w14:paraId="20EB8F14" w14:textId="77777777" w:rsidR="00C75B65" w:rsidRDefault="00C75B65" w:rsidP="00C75B65">
      <w:pPr>
        <w:spacing w:line="360" w:lineRule="auto"/>
        <w:jc w:val="both"/>
        <w:rPr>
          <w:rFonts w:ascii="Arial" w:hAnsi="Arial" w:cs="Arial"/>
        </w:rPr>
      </w:pPr>
      <w:r>
        <w:rPr>
          <w:rFonts w:ascii="Arial" w:hAnsi="Arial" w:cs="Arial"/>
        </w:rPr>
        <w:t>How does digital exclusion affect older adults' (aged 65+) experiences of accessing public health and social care services in the UK?</w:t>
      </w:r>
    </w:p>
    <w:p w14:paraId="07DCB375" w14:textId="77777777" w:rsidR="00C75B65" w:rsidRDefault="00C75B65" w:rsidP="00C75B65">
      <w:pPr>
        <w:spacing w:line="360" w:lineRule="auto"/>
        <w:jc w:val="both"/>
        <w:rPr>
          <w:rFonts w:ascii="Arial" w:hAnsi="Arial" w:cs="Arial"/>
        </w:rPr>
      </w:pPr>
    </w:p>
    <w:p w14:paraId="38DD4408" w14:textId="77777777" w:rsidR="00C75B65" w:rsidRPr="00373EC4" w:rsidRDefault="00C75B65" w:rsidP="00373EC4">
      <w:pPr>
        <w:pStyle w:val="Heading2"/>
        <w:rPr>
          <w:rFonts w:ascii="Arial" w:hAnsi="Arial" w:cs="Arial"/>
        </w:rPr>
      </w:pPr>
      <w:bookmarkStart w:id="40" w:name="_Toc237944319"/>
      <w:bookmarkStart w:id="41" w:name="_Toc240143274"/>
      <w:r w:rsidRPr="00373EC4">
        <w:rPr>
          <w:rFonts w:ascii="Arial" w:hAnsi="Arial" w:cs="Arial"/>
        </w:rPr>
        <w:t>1.7 Overview of the Research Methodology</w:t>
      </w:r>
      <w:bookmarkEnd w:id="40"/>
      <w:bookmarkEnd w:id="41"/>
    </w:p>
    <w:p w14:paraId="1B87A70C" w14:textId="77777777" w:rsidR="00C75B65" w:rsidRDefault="00C75B65" w:rsidP="00C75B65">
      <w:pPr>
        <w:spacing w:line="360" w:lineRule="auto"/>
        <w:jc w:val="both"/>
        <w:rPr>
          <w:rFonts w:ascii="Arial" w:hAnsi="Arial" w:cs="Arial"/>
        </w:rPr>
      </w:pPr>
      <w:r>
        <w:rPr>
          <w:rFonts w:ascii="Arial" w:hAnsi="Arial" w:cs="Arial"/>
        </w:rPr>
        <w:t xml:space="preserve">This dissertation explores the influence of digital exclusion on older adults’ experiences of using public health and social care services in the UK, using a qualitative systematic review and existing peer-reviewed literature rather than new data. A systematic review is selected because it uses transparent and rigorous methods for search, analysis and synthesis of evidence, minimising bias. The study will adhere to the PRISMA 2020 framework for selecting and evaluating studies and will construct the research question using the PICO framework, whilst evaluating methodological quality using CASP checklists. (Ahmed et al., 2025). </w:t>
      </w:r>
    </w:p>
    <w:p w14:paraId="3E203D6B" w14:textId="77777777" w:rsidR="00C75B65" w:rsidRDefault="00C75B65" w:rsidP="00C75B65">
      <w:pPr>
        <w:spacing w:line="360" w:lineRule="auto"/>
        <w:jc w:val="both"/>
        <w:rPr>
          <w:rFonts w:ascii="Arial" w:hAnsi="Arial" w:cs="Arial"/>
        </w:rPr>
      </w:pPr>
      <w:r>
        <w:rPr>
          <w:rFonts w:ascii="Arial" w:hAnsi="Arial" w:cs="Arial"/>
        </w:rPr>
        <w:t xml:space="preserve">Digital exclusion for older individuals: experience and perceptions. So, the study draws on interpretivist and inductive methods to explore participants’ experiences with qualitative evidence (Saunders, Lewis and Thornhill, 2023). The data from the included studies will be analysed thematically to identify themes and patterns relevant to the research question (Clarke and Braun, 2017). </w:t>
      </w:r>
    </w:p>
    <w:p w14:paraId="75E10557" w14:textId="77777777" w:rsidR="00C75B65" w:rsidRPr="00373EC4" w:rsidRDefault="00C75B65" w:rsidP="001F6351">
      <w:pPr>
        <w:pStyle w:val="Heading2"/>
        <w:rPr>
          <w:rFonts w:ascii="Arial" w:hAnsi="Arial" w:cs="Arial"/>
          <w:szCs w:val="24"/>
        </w:rPr>
      </w:pPr>
      <w:bookmarkStart w:id="42" w:name="_Toc237944320"/>
      <w:bookmarkStart w:id="43" w:name="_Toc240143275"/>
      <w:r w:rsidRPr="00373EC4">
        <w:rPr>
          <w:rFonts w:ascii="Arial" w:hAnsi="Arial" w:cs="Arial"/>
        </w:rPr>
        <w:t>1.8 Structure of the Dissertation</w:t>
      </w:r>
      <w:bookmarkEnd w:id="42"/>
      <w:bookmarkEnd w:id="43"/>
    </w:p>
    <w:p w14:paraId="5496C1C8" w14:textId="77777777" w:rsidR="00C75B65" w:rsidRDefault="00C75B65" w:rsidP="00C75B65">
      <w:pPr>
        <w:spacing w:line="360" w:lineRule="auto"/>
        <w:jc w:val="both"/>
        <w:rPr>
          <w:rFonts w:ascii="Arial" w:hAnsi="Arial" w:cs="Arial"/>
        </w:rPr>
      </w:pPr>
      <w:r>
        <w:rPr>
          <w:rFonts w:ascii="Arial" w:hAnsi="Arial" w:cs="Arial"/>
        </w:rPr>
        <w:t xml:space="preserve">This is a five-chapter dissertation that works together to address the research question and objectives. </w:t>
      </w:r>
    </w:p>
    <w:p w14:paraId="3694F424" w14:textId="77777777" w:rsidR="00C75B65" w:rsidRDefault="00C75B65" w:rsidP="00C75B65">
      <w:pPr>
        <w:spacing w:line="360" w:lineRule="auto"/>
        <w:jc w:val="both"/>
        <w:rPr>
          <w:rFonts w:ascii="Arial" w:hAnsi="Arial" w:cs="Arial"/>
        </w:rPr>
      </w:pPr>
      <w:r>
        <w:rPr>
          <w:rFonts w:ascii="Arial" w:hAnsi="Arial" w:cs="Arial"/>
        </w:rPr>
        <w:t xml:space="preserve">Chapter One defines the research topic, identifies key concepts and context, and presents the research problem, significance, and methodology on digital exclusion in the UK. Chapter Two discusses the existing literature on digital exclusion and the accessibility of public health services for older people, with a focus on themes, strengths, limitations, and knowledge gaps. The research methods to be used in Chapter Three include a qualitative systematic review design, interpretivist philosophy, search strategy, criteria for the search, and thematic analysis. Findings of the systematic review are described in Chapter Four, which synthesises the evidence into themes representative of older adults’ experiences of digital exclusion. Chapter </w:t>
      </w:r>
      <w:r>
        <w:rPr>
          <w:rFonts w:ascii="Arial" w:hAnsi="Arial" w:cs="Arial"/>
        </w:rPr>
        <w:lastRenderedPageBreak/>
        <w:t>Five highlights the implications of these results for public health policy and social care practice, as well as guides future research and provides an answer to the research question.</w:t>
      </w:r>
    </w:p>
    <w:p w14:paraId="6A4304DD" w14:textId="77777777" w:rsidR="00C75B65" w:rsidRDefault="00C75B65" w:rsidP="00C75B65">
      <w:pPr>
        <w:pStyle w:val="Heading1"/>
        <w:spacing w:after="610"/>
        <w:ind w:right="6"/>
        <w:jc w:val="left"/>
        <w:rPr>
          <w:rFonts w:asciiTheme="minorBidi" w:hAnsiTheme="minorBidi" w:cstheme="minorBidi"/>
        </w:rPr>
      </w:pPr>
    </w:p>
    <w:p w14:paraId="36A4A591" w14:textId="77777777" w:rsidR="00C75B65" w:rsidRDefault="00C75B65" w:rsidP="00C75B65">
      <w:pPr>
        <w:pStyle w:val="Heading1"/>
        <w:spacing w:after="610"/>
        <w:ind w:right="6"/>
        <w:jc w:val="left"/>
        <w:rPr>
          <w:rFonts w:asciiTheme="minorBidi" w:hAnsiTheme="minorBidi" w:cstheme="minorBidi"/>
        </w:rPr>
      </w:pPr>
    </w:p>
    <w:p w14:paraId="121CDA14" w14:textId="281E8A19" w:rsidR="009F64C5" w:rsidRPr="001F6351" w:rsidRDefault="008D6BF7">
      <w:pPr>
        <w:pStyle w:val="Heading1"/>
        <w:spacing w:after="610"/>
        <w:ind w:left="12" w:right="6"/>
        <w:rPr>
          <w:rFonts w:ascii="Arial" w:hAnsi="Arial" w:cs="Arial"/>
          <w:sz w:val="28"/>
          <w:szCs w:val="28"/>
        </w:rPr>
      </w:pPr>
      <w:bookmarkStart w:id="44" w:name="_Toc240143276"/>
      <w:r w:rsidRPr="001F6351">
        <w:rPr>
          <w:rFonts w:ascii="Arial" w:hAnsi="Arial" w:cs="Arial"/>
          <w:sz w:val="28"/>
          <w:szCs w:val="28"/>
        </w:rPr>
        <w:t>Chapter</w:t>
      </w:r>
      <w:r w:rsidR="00DD7AA5" w:rsidRPr="001F6351">
        <w:rPr>
          <w:rFonts w:ascii="Arial" w:hAnsi="Arial" w:cs="Arial"/>
          <w:sz w:val="28"/>
          <w:szCs w:val="28"/>
        </w:rPr>
        <w:t xml:space="preserve"> 2</w:t>
      </w:r>
      <w:r w:rsidRPr="001F6351">
        <w:rPr>
          <w:rFonts w:ascii="Arial" w:hAnsi="Arial" w:cs="Arial"/>
          <w:sz w:val="28"/>
          <w:szCs w:val="28"/>
        </w:rPr>
        <w:t xml:space="preserve">: </w:t>
      </w:r>
      <w:r w:rsidR="009F64C5" w:rsidRPr="001F6351">
        <w:rPr>
          <w:rFonts w:ascii="Arial" w:hAnsi="Arial" w:cs="Arial"/>
          <w:sz w:val="28"/>
          <w:szCs w:val="28"/>
        </w:rPr>
        <w:t>Literature review/theoretical framework</w:t>
      </w:r>
      <w:bookmarkEnd w:id="44"/>
      <w:r w:rsidR="009F64C5" w:rsidRPr="001F6351">
        <w:rPr>
          <w:rFonts w:ascii="Arial" w:hAnsi="Arial" w:cs="Arial"/>
          <w:sz w:val="28"/>
          <w:szCs w:val="28"/>
        </w:rPr>
        <w:t xml:space="preserve"> </w:t>
      </w:r>
      <w:bookmarkEnd w:id="11"/>
    </w:p>
    <w:p w14:paraId="5794B558" w14:textId="77777777" w:rsidR="00C75B65" w:rsidRPr="001F6351" w:rsidRDefault="00C75B65" w:rsidP="00C75B65">
      <w:pPr>
        <w:pStyle w:val="Heading2"/>
        <w:rPr>
          <w:rFonts w:ascii="Arial" w:hAnsi="Arial" w:cs="Arial"/>
          <w:sz w:val="22"/>
        </w:rPr>
      </w:pPr>
      <w:bookmarkStart w:id="45" w:name="_Toc12218"/>
      <w:bookmarkStart w:id="46" w:name="_Toc237944323"/>
      <w:bookmarkStart w:id="47" w:name="_Toc240143277"/>
      <w:r w:rsidRPr="001F6351">
        <w:rPr>
          <w:rFonts w:ascii="Arial" w:hAnsi="Arial" w:cs="Arial"/>
          <w:sz w:val="22"/>
        </w:rPr>
        <w:t>2.1 Introduction</w:t>
      </w:r>
      <w:bookmarkEnd w:id="46"/>
      <w:bookmarkEnd w:id="47"/>
      <w:r w:rsidRPr="001F6351">
        <w:rPr>
          <w:rFonts w:ascii="Arial" w:hAnsi="Arial" w:cs="Arial"/>
          <w:sz w:val="22"/>
        </w:rPr>
        <w:t xml:space="preserve">  </w:t>
      </w:r>
    </w:p>
    <w:p w14:paraId="7EFDDC7D" w14:textId="77777777" w:rsidR="00C75B65" w:rsidRDefault="00C75B65" w:rsidP="00C75B65">
      <w:pPr>
        <w:spacing w:line="360" w:lineRule="auto"/>
        <w:jc w:val="both"/>
        <w:rPr>
          <w:rFonts w:ascii="Arial" w:hAnsi="Arial" w:cs="Arial"/>
        </w:rPr>
      </w:pPr>
      <w:r>
        <w:rPr>
          <w:rFonts w:ascii="Arial" w:hAnsi="Arial" w:cs="Arial"/>
        </w:rPr>
        <w:t xml:space="preserve">Digitalisation in health and public services in the UK has changed access to UK health and social care. Following the COVID-19 crisis, online booking of appointments, electronic health records, remote consultations, and mobile health apps have become integral to the delivery of health services (NHS England, 2023; Farre et al., 2023). This transition made services more efficient and remote care viable but also underscored barriers to digital access and participation. </w:t>
      </w:r>
    </w:p>
    <w:p w14:paraId="6C009A59" w14:textId="77777777" w:rsidR="00C75B65" w:rsidRDefault="00C75B65" w:rsidP="00C75B65">
      <w:pPr>
        <w:spacing w:line="360" w:lineRule="auto"/>
        <w:jc w:val="both"/>
        <w:rPr>
          <w:rFonts w:ascii="Arial" w:hAnsi="Arial" w:cs="Arial"/>
        </w:rPr>
      </w:pPr>
      <w:r>
        <w:rPr>
          <w:rFonts w:ascii="Arial" w:hAnsi="Arial" w:cs="Arial"/>
        </w:rPr>
        <w:t xml:space="preserve">Seniors face digital exclusion more than adults to varying degrees; individual, economic, and structural barriers that preclude elderly participation in the transformation of health care systems result in digital exclusion. Digital constraint is more than just not having an internet connection or having a phone online. These include inequalities in digital abilities, confidence, motivation, affordability, and ability to effectively use digital technology to enhance health. When digital-first approaches are adopted by healthcare providers, these gaps impact public health and social care access. </w:t>
      </w:r>
    </w:p>
    <w:p w14:paraId="6E2E3ABF" w14:textId="77777777" w:rsidR="00C75B65" w:rsidRDefault="00C75B65" w:rsidP="00C75B65">
      <w:pPr>
        <w:spacing w:line="360" w:lineRule="auto"/>
        <w:jc w:val="both"/>
        <w:rPr>
          <w:rFonts w:ascii="Arial" w:hAnsi="Arial" w:cs="Arial"/>
        </w:rPr>
      </w:pPr>
      <w:r>
        <w:rPr>
          <w:rFonts w:ascii="Arial" w:hAnsi="Arial" w:cs="Arial"/>
        </w:rPr>
        <w:t xml:space="preserve">Research shows digitally excluded older persons have lower access to the health care system, more delays in treatment, and fewer prospects for prevention and self-management (Kaihlanen et al., 2022; Husain, 2022; Erku, 2023). In this chapter, the literature assessing digital exclusion rates among older people will be critically reviewed for its effects on UK public health and social care services. </w:t>
      </w:r>
    </w:p>
    <w:p w14:paraId="7E90994F" w14:textId="77777777" w:rsidR="00C75B65" w:rsidRDefault="00C75B65" w:rsidP="00C75B65">
      <w:pPr>
        <w:spacing w:line="360" w:lineRule="auto"/>
        <w:jc w:val="both"/>
        <w:rPr>
          <w:rFonts w:ascii="Arial" w:hAnsi="Arial" w:cs="Arial"/>
        </w:rPr>
      </w:pPr>
      <w:r>
        <w:rPr>
          <w:rFonts w:ascii="Arial" w:hAnsi="Arial" w:cs="Arial"/>
        </w:rPr>
        <w:t xml:space="preserve">Digital isolation among older people is reviewed, and healthcare and social care digital changes are then discussed. The chapter then discusses barriers to digital exclusion, health inequities, and digital inclusion initiatives. Finally, Helsper's Corresponding Fields Model serves as the theoretical foundation for this dissertation. This assessment demonstrates gaps in the literature and underpins the conceptual framework for the qualitative systematic review in the following chapters. </w:t>
      </w:r>
    </w:p>
    <w:p w14:paraId="0C566982" w14:textId="77777777" w:rsidR="00C75B65" w:rsidRDefault="00C75B65" w:rsidP="00C75B65">
      <w:pPr>
        <w:spacing w:line="360" w:lineRule="auto"/>
        <w:jc w:val="both"/>
        <w:rPr>
          <w:rFonts w:ascii="Arial" w:hAnsi="Arial" w:cs="Arial"/>
        </w:rPr>
      </w:pPr>
    </w:p>
    <w:p w14:paraId="6A1A52CD" w14:textId="77777777" w:rsidR="00C75B65" w:rsidRPr="001F6351" w:rsidRDefault="00C75B65" w:rsidP="00C75B65">
      <w:pPr>
        <w:pStyle w:val="Heading2"/>
        <w:rPr>
          <w:rFonts w:ascii="Arial" w:hAnsi="Arial" w:cs="Arial"/>
        </w:rPr>
      </w:pPr>
      <w:bookmarkStart w:id="48" w:name="_Toc237944324"/>
      <w:bookmarkStart w:id="49" w:name="_Toc240143278"/>
      <w:r w:rsidRPr="001F6351">
        <w:rPr>
          <w:rStyle w:val="normaltextrun"/>
          <w:rFonts w:ascii="Arial" w:hAnsi="Arial" w:cs="Arial"/>
        </w:rPr>
        <w:t>2.1. Understanding Digital Exclusion Among Older Adults</w:t>
      </w:r>
      <w:bookmarkEnd w:id="48"/>
      <w:bookmarkEnd w:id="49"/>
    </w:p>
    <w:p w14:paraId="0EE7739E" w14:textId="77777777" w:rsidR="00C75B65" w:rsidRPr="001F6351" w:rsidRDefault="00C75B65" w:rsidP="00C75B65">
      <w:pPr>
        <w:pStyle w:val="Heading3"/>
        <w:rPr>
          <w:rFonts w:ascii="Arial" w:hAnsi="Arial" w:cs="Arial"/>
          <w:sz w:val="22"/>
        </w:rPr>
      </w:pPr>
      <w:bookmarkStart w:id="50" w:name="_Toc237944325"/>
      <w:bookmarkStart w:id="51" w:name="_Toc240143279"/>
      <w:r w:rsidRPr="001F6351">
        <w:rPr>
          <w:rStyle w:val="normaltextrun"/>
          <w:rFonts w:ascii="Arial" w:hAnsi="Arial" w:cs="Arial"/>
          <w:sz w:val="22"/>
        </w:rPr>
        <w:t>2.1.1 Conceptualising Digital Exclusion</w:t>
      </w:r>
      <w:bookmarkEnd w:id="50"/>
      <w:bookmarkEnd w:id="51"/>
    </w:p>
    <w:p w14:paraId="604B3283" w14:textId="77777777" w:rsidR="00C75B65" w:rsidRDefault="00C75B65" w:rsidP="00C75B65">
      <w:pPr>
        <w:spacing w:line="360" w:lineRule="auto"/>
        <w:jc w:val="both"/>
        <w:rPr>
          <w:rFonts w:ascii="Arial" w:hAnsi="Arial" w:cs="Arial"/>
        </w:rPr>
      </w:pPr>
      <w:r>
        <w:rPr>
          <w:rFonts w:ascii="Arial" w:hAnsi="Arial" w:cs="Arial"/>
        </w:rPr>
        <w:t xml:space="preserve">Digital exclusion is not just about having access to the internet. In the early study of the digital divide, these gaps were largely concentrated in physical access to digital technologies. They were between people who had internet connectivity and those who did not. As a result of widespread acceptance of digital technologies into day-to-day living patterns, the idea has broadened to contain gaps in digital skills, confidence, motivation, cost, and the ability to create meaningful results through technology. This broader framework acknowledges that digital technology does not necessarily offer an efficient path into a digital society. </w:t>
      </w:r>
    </w:p>
    <w:p w14:paraId="3FDDBBAF" w14:textId="77777777" w:rsidR="00C75B65" w:rsidRDefault="00C75B65" w:rsidP="00C75B65">
      <w:pPr>
        <w:spacing w:line="360" w:lineRule="auto"/>
        <w:jc w:val="both"/>
        <w:rPr>
          <w:rFonts w:ascii="Arial" w:hAnsi="Arial" w:cs="Arial"/>
        </w:rPr>
      </w:pPr>
      <w:r>
        <w:rPr>
          <w:rFonts w:ascii="Arial" w:hAnsi="Arial" w:cs="Arial"/>
        </w:rPr>
        <w:t xml:space="preserve">The contemporary literature exposes multiple individual, social and structural causes of digital exclusion. Wilson and Brittain (2022) explain the concept of digital exclusion as a process in which individuals are disadvantaged depending on their digital capabilities, socioeconomic status, and support. Mubarak and Suomi (2022) assert that digital inclusion entails more than just technology infrastructure but includes digital literacy, motivation, affordability, and the meaningful use of digital technologies. These perspectives stress the complexity of digital engagement, as opposed to digital access. </w:t>
      </w:r>
    </w:p>
    <w:p w14:paraId="3875F839" w14:textId="77777777" w:rsidR="00C75B65" w:rsidRDefault="00C75B65" w:rsidP="00C75B65">
      <w:pPr>
        <w:spacing w:line="360" w:lineRule="auto"/>
        <w:jc w:val="both"/>
        <w:rPr>
          <w:rFonts w:ascii="Arial" w:hAnsi="Arial" w:cs="Arial"/>
        </w:rPr>
      </w:pPr>
      <w:r>
        <w:rPr>
          <w:rFonts w:ascii="Arial" w:hAnsi="Arial" w:cs="Arial"/>
        </w:rPr>
        <w:t xml:space="preserve">Digital exclusion is gaining more critical importance in healthcare, given that many health and social care services need online access. Users who employ online appointment booking, electronic prescriptions, patient portals, and virtual consultations require technical capabilities and confidence to access digital systems (Kaihlanen et al., 2022; Farre, 2023). So even in places with internet connections, those lacking these skills may still have minimal healthcare access. The trend reveals that the problem of digital exclusion is a public health concern that influences access to and equitable distribution of healthcare. (Wilson and Brittain, 2022; Marmot et al., 2020). </w:t>
      </w:r>
    </w:p>
    <w:p w14:paraId="20C07FC5" w14:textId="77777777" w:rsidR="00C75B65" w:rsidRDefault="00C75B65" w:rsidP="00C75B65">
      <w:pPr>
        <w:spacing w:line="360" w:lineRule="auto"/>
        <w:jc w:val="both"/>
        <w:rPr>
          <w:rFonts w:ascii="Arial" w:hAnsi="Arial" w:cs="Arial"/>
        </w:rPr>
      </w:pPr>
      <w:r>
        <w:rPr>
          <w:rFonts w:ascii="Arial" w:hAnsi="Arial" w:cs="Arial"/>
        </w:rPr>
        <w:t xml:space="preserve">There is consensus that digital exclusion is multi-dimensional; however, the literature is scattered. Different studies make use of different definitions and measurements, which creates difficulties for comparisons focus on digital skills, others on access and motivation, or on health. Without conceptual coherence, it is hard to judge interventions’ benefits and compare results between populations. Nevertheless, it is well established in the literature that digital exclusion is more than technology alone but is a complex phenomenon that is influenced by social, economic and individual factors (Helsper, 2012; Helsper and Reisdorf, 2017; Wilson and Brittain, 2022). </w:t>
      </w:r>
    </w:p>
    <w:p w14:paraId="13F272F9" w14:textId="77777777" w:rsidR="00C75B65" w:rsidRPr="001F6351" w:rsidRDefault="00C75B65" w:rsidP="00C75B65">
      <w:pPr>
        <w:pStyle w:val="Heading3"/>
        <w:jc w:val="both"/>
        <w:rPr>
          <w:rFonts w:ascii="Arial" w:hAnsi="Arial" w:cs="Arial"/>
          <w:sz w:val="22"/>
        </w:rPr>
      </w:pPr>
      <w:bookmarkStart w:id="52" w:name="_Toc237944326"/>
      <w:bookmarkStart w:id="53" w:name="_Toc240143280"/>
      <w:r w:rsidRPr="001F6351">
        <w:rPr>
          <w:rFonts w:ascii="Arial" w:hAnsi="Arial" w:cs="Arial"/>
          <w:sz w:val="22"/>
        </w:rPr>
        <w:lastRenderedPageBreak/>
        <w:t>2.1.2 Vulnerability of older adults</w:t>
      </w:r>
      <w:bookmarkEnd w:id="52"/>
      <w:bookmarkEnd w:id="53"/>
    </w:p>
    <w:p w14:paraId="57317C18" w14:textId="77777777" w:rsidR="00C75B65" w:rsidRDefault="00C75B65" w:rsidP="00C75B65">
      <w:pPr>
        <w:spacing w:line="360" w:lineRule="auto"/>
        <w:jc w:val="both"/>
        <w:rPr>
          <w:rFonts w:ascii="Arial" w:hAnsi="Arial" w:cs="Arial"/>
        </w:rPr>
      </w:pPr>
      <w:r>
        <w:rPr>
          <w:rFonts w:ascii="Arial" w:hAnsi="Arial" w:cs="Arial"/>
        </w:rPr>
        <w:t>Older people are always at risk of digital isolation. Internet use among those 65 years old and older has grown dramatically, yet digital confidence, computer skills, and engagement have not kept pace with those of younger age groups. As healthcare providers move toward digital service delivery that prioritises a digital-first approach, these gaps widen, creating barriers for non-digital users. Age does not account for the fragility of older people per se. It is the result of several influences from later in life. Low digital knowledge, confidence, and exposure in older people pose challenges to digital engagement (Kaihlanen et al., 2022).</w:t>
      </w:r>
    </w:p>
    <w:p w14:paraId="2072830E" w14:textId="77777777" w:rsidR="00C75B65" w:rsidRDefault="00C75B65" w:rsidP="00C75B65">
      <w:pPr>
        <w:spacing w:line="360" w:lineRule="auto"/>
        <w:jc w:val="both"/>
        <w:rPr>
          <w:rFonts w:ascii="Arial" w:hAnsi="Arial" w:cs="Arial"/>
        </w:rPr>
      </w:pPr>
      <w:r>
        <w:rPr>
          <w:rFonts w:ascii="Arial" w:hAnsi="Arial" w:cs="Arial"/>
        </w:rPr>
        <w:t xml:space="preserve"> As Husain et al. (2022) note, these issues often co-occur with chronic health conditions, disability, cognitive decline, and social isolation, further compounding disadvantage. It allows us to see digital exclusion as the joint effect of age and social factors in digital healthcare use. Socioeconomic inequality compounds digital isolation among older people. Disadvantaged income and formal education may make it challenging to buy digital hardware or reliable internet infrastructure, and persons who live alone or live in rural areas may have limited possibilities for informal digital support from family or social networks. Digital skills alone will not eliminate digital exclusion; rather, Wilson and Brittain (2022) argue, digital participation is affected by structural as well as individual differences. </w:t>
      </w:r>
    </w:p>
    <w:p w14:paraId="641A7DDC" w14:textId="77777777" w:rsidR="00C75B65" w:rsidRDefault="00C75B65" w:rsidP="00C75B65">
      <w:pPr>
        <w:spacing w:line="360" w:lineRule="auto"/>
        <w:jc w:val="both"/>
        <w:rPr>
          <w:rFonts w:ascii="Arial" w:hAnsi="Arial" w:cs="Arial"/>
        </w:rPr>
      </w:pPr>
      <w:r>
        <w:rPr>
          <w:rFonts w:ascii="Arial" w:hAnsi="Arial" w:cs="Arial"/>
        </w:rPr>
        <w:t xml:space="preserve">However, the literature warns against viewing older people as a monolithic group. Chadwick et al. (2024) reveal that older adults are active users of digital health services when the system is adequately supported, designed, and trained. That goes against deficit-based notions of ageing as technological incompetence and emphasises the need for supportive digital environments. </w:t>
      </w:r>
    </w:p>
    <w:p w14:paraId="675B4F97" w14:textId="77777777" w:rsidR="00C75B65" w:rsidRDefault="00C75B65" w:rsidP="00C75B65">
      <w:pPr>
        <w:spacing w:line="360" w:lineRule="auto"/>
        <w:jc w:val="both"/>
        <w:rPr>
          <w:rFonts w:ascii="Arial" w:hAnsi="Arial" w:cs="Arial"/>
        </w:rPr>
      </w:pPr>
      <w:r>
        <w:rPr>
          <w:rFonts w:ascii="Arial" w:hAnsi="Arial" w:cs="Arial"/>
        </w:rPr>
        <w:t>Despite growing awareness of how multiple dimensions of digital exclusion impact opportunities for older people to access public health and adult social care services, few studies in the UK have investigated this issue (Wilson and Brittain, 2022; Chadwick et al., 2024). Most of these studies have focused on health or individual difficulties (Kaihlanen et al., 2022; Farre et al., 2023; Husain et al., 2022). There is thus a need to synthesise older adults' experiences across the health and social care system. This gap is what the qualitative systematic review is addressing (Page et al., 2021; Aromataris and Munn, 2020).</w:t>
      </w:r>
    </w:p>
    <w:p w14:paraId="3509388F" w14:textId="77777777" w:rsidR="00C75B65" w:rsidRPr="001F6351" w:rsidRDefault="00C75B65" w:rsidP="00C75B65">
      <w:pPr>
        <w:pStyle w:val="Heading2"/>
        <w:rPr>
          <w:rFonts w:ascii="Arial" w:hAnsi="Arial" w:cs="Arial"/>
        </w:rPr>
      </w:pPr>
      <w:bookmarkStart w:id="54" w:name="_Toc237944327"/>
      <w:bookmarkStart w:id="55" w:name="_Toc240143281"/>
      <w:r w:rsidRPr="001F6351">
        <w:rPr>
          <w:rFonts w:ascii="Arial" w:hAnsi="Arial" w:cs="Arial"/>
        </w:rPr>
        <w:t>2.2 Digital Transformation of Public Health and Social Care</w:t>
      </w:r>
      <w:bookmarkEnd w:id="54"/>
      <w:bookmarkEnd w:id="55"/>
    </w:p>
    <w:p w14:paraId="3DCBA496" w14:textId="77777777" w:rsidR="00C75B65" w:rsidRPr="001F6351" w:rsidRDefault="00C75B65" w:rsidP="00C75B65">
      <w:pPr>
        <w:pStyle w:val="Heading3"/>
        <w:jc w:val="both"/>
        <w:rPr>
          <w:rFonts w:ascii="Arial" w:hAnsi="Arial" w:cs="Arial"/>
          <w:sz w:val="22"/>
        </w:rPr>
      </w:pPr>
      <w:bookmarkStart w:id="56" w:name="_Toc237944328"/>
      <w:bookmarkStart w:id="57" w:name="_Toc240143282"/>
      <w:r w:rsidRPr="001F6351">
        <w:rPr>
          <w:rFonts w:ascii="Arial" w:hAnsi="Arial" w:cs="Arial"/>
          <w:sz w:val="22"/>
        </w:rPr>
        <w:t>2.2.1 The Evolution of Digital Health and Social Care Services</w:t>
      </w:r>
      <w:bookmarkEnd w:id="56"/>
      <w:bookmarkEnd w:id="57"/>
    </w:p>
    <w:p w14:paraId="4875D1C7" w14:textId="77777777" w:rsidR="00C75B65" w:rsidRDefault="00C75B65" w:rsidP="00C75B65">
      <w:pPr>
        <w:spacing w:line="360" w:lineRule="auto"/>
        <w:jc w:val="both"/>
        <w:rPr>
          <w:rFonts w:ascii="Arial" w:hAnsi="Arial" w:cs="Arial"/>
        </w:rPr>
      </w:pPr>
      <w:r>
        <w:rPr>
          <w:rFonts w:ascii="Arial" w:hAnsi="Arial" w:cs="Arial"/>
        </w:rPr>
        <w:t xml:space="preserve">In the last decade, UK health, social care and public services have experienced significant digital transformation, particularly in the aftermath of the COVID-19 pandemic. Digital innovation policies at the national level have led to widespread adoption of online appointment </w:t>
      </w:r>
      <w:r>
        <w:rPr>
          <w:rFonts w:ascii="Arial" w:hAnsi="Arial" w:cs="Arial"/>
        </w:rPr>
        <w:lastRenderedPageBreak/>
        <w:t xml:space="preserve">systems, electronic health records, patient portals, remote consultations and digital self-management solutions to accelerate the efficiency and accessibility of services (NHS England, 2023). These improvements have made it easier for health services to provide care in a remote environment, but they have changed the way patients engage with providers, with digital access now a necessity if they are to access crucial care. </w:t>
      </w:r>
    </w:p>
    <w:p w14:paraId="6AFD9D7A" w14:textId="77777777" w:rsidR="00C75B65" w:rsidRDefault="00C75B65" w:rsidP="00C75B65">
      <w:pPr>
        <w:spacing w:line="360" w:lineRule="auto"/>
        <w:jc w:val="both"/>
        <w:rPr>
          <w:rFonts w:ascii="Arial" w:hAnsi="Arial" w:cs="Arial"/>
        </w:rPr>
      </w:pPr>
      <w:r>
        <w:rPr>
          <w:rFonts w:ascii="Arial" w:hAnsi="Arial" w:cs="Arial"/>
        </w:rPr>
        <w:t xml:space="preserve">Digital transformation is often touted as a quality and sustainability tool for healthcare. Erku et al. (2023). Also argued that digital health technology is a tool for enhancing patient-provider interaction, supporting continuity, disease prevention, and self-management. Digital innovations, when supported by organisations, can improve service effectiveness and patient experience (Farre et al., 2023). These results complement the policy objective of digital innovation in healthcare to make the healthcare system more integrated, responsive and patient-centred. </w:t>
      </w:r>
    </w:p>
    <w:p w14:paraId="1E8F3786" w14:textId="77777777" w:rsidR="00C75B65" w:rsidRDefault="00C75B65" w:rsidP="00C75B65">
      <w:pPr>
        <w:spacing w:line="360" w:lineRule="auto"/>
        <w:jc w:val="both"/>
        <w:rPr>
          <w:rFonts w:ascii="Arial" w:hAnsi="Arial" w:cs="Arial"/>
        </w:rPr>
      </w:pPr>
      <w:r>
        <w:rPr>
          <w:rFonts w:ascii="Arial" w:hAnsi="Arial" w:cs="Arial"/>
        </w:rPr>
        <w:t xml:space="preserve">Nevertheless, the literature demonstrates that the benefits of digital transformation are not distributed evenly. Digital technology could ease access to services, but new obstacles have arisen for those without digital accessibility or confidence. Kaihlanen et al. (2022) state that digital healthcare success relies on technical availability, digital literacy, health literacy, and trust in the digital systems of users. According to Husain et al. (2022), during the pandemic-style rapid digital adoption, continuity of service was prioritised over accessibility, unintentionally disadvantaging people who are at risk of digital exclusion, such as elderly persons. </w:t>
      </w:r>
    </w:p>
    <w:p w14:paraId="7751E039" w14:textId="77777777" w:rsidR="00C75B65" w:rsidRDefault="00C75B65" w:rsidP="00C75B65">
      <w:pPr>
        <w:spacing w:line="360" w:lineRule="auto"/>
        <w:jc w:val="both"/>
        <w:rPr>
          <w:rFonts w:ascii="Arial" w:hAnsi="Arial" w:cs="Arial"/>
        </w:rPr>
      </w:pPr>
      <w:r>
        <w:rPr>
          <w:rFonts w:ascii="Arial" w:hAnsi="Arial" w:cs="Arial"/>
        </w:rPr>
        <w:t>The move to digital healthcare illustrates a fundamental health policy conflict. Through digital technologies, healthcare efficiency, wait times, and patient autonomy can be greatly improved. (Kunonga et al., 2021; Erku et al., 2023; NHS England, 2023). A reliance on digital delivery alone, without consideration for digitally excluded people, could compound health inequities (Marmot et al., 2020; Wilson and Brittain, 2022). Digital transformation is only effective when it is supported by inclusive implementation, equitable access to technology, and alternative models of care for individuals who are unable to engage with digital services (NHS England, 2023; Good Things Foundation, 2023; Erku et al., 2023).</w:t>
      </w:r>
    </w:p>
    <w:p w14:paraId="1B13F507" w14:textId="77777777" w:rsidR="00C75B65" w:rsidRDefault="00C75B65" w:rsidP="00C75B65">
      <w:pPr>
        <w:spacing w:line="360" w:lineRule="auto"/>
        <w:jc w:val="both"/>
        <w:rPr>
          <w:rFonts w:ascii="Arial" w:hAnsi="Arial" w:cs="Arial"/>
        </w:rPr>
      </w:pPr>
    </w:p>
    <w:p w14:paraId="67ABCD01" w14:textId="77777777" w:rsidR="00C75B65" w:rsidRPr="001F6351" w:rsidRDefault="00C75B65" w:rsidP="00C75B65">
      <w:pPr>
        <w:pStyle w:val="Heading3"/>
        <w:jc w:val="both"/>
        <w:rPr>
          <w:rFonts w:ascii="Arial" w:hAnsi="Arial" w:cs="Arial"/>
          <w:sz w:val="22"/>
        </w:rPr>
      </w:pPr>
      <w:bookmarkStart w:id="58" w:name="_Toc237944329"/>
      <w:bookmarkStart w:id="59" w:name="_Toc240143283"/>
      <w:r w:rsidRPr="001F6351">
        <w:rPr>
          <w:rFonts w:ascii="Arial" w:hAnsi="Arial" w:cs="Arial"/>
          <w:sz w:val="22"/>
        </w:rPr>
        <w:t>2.2.2 Implications for Access to Public Health and Social Care</w:t>
      </w:r>
      <w:bookmarkEnd w:id="58"/>
      <w:bookmarkEnd w:id="59"/>
    </w:p>
    <w:p w14:paraId="44E499CC" w14:textId="77777777" w:rsidR="00C75B65" w:rsidRDefault="00C75B65" w:rsidP="00C75B65">
      <w:pPr>
        <w:spacing w:line="360" w:lineRule="auto"/>
        <w:jc w:val="both"/>
        <w:rPr>
          <w:rFonts w:ascii="Arial" w:hAnsi="Arial" w:cs="Arial"/>
        </w:rPr>
      </w:pPr>
      <w:r>
        <w:rPr>
          <w:rFonts w:ascii="Arial" w:hAnsi="Arial" w:cs="Arial"/>
        </w:rPr>
        <w:t xml:space="preserve">The digitalisation of public health and social care has changed the way that older people access services. Making appointments with their GP, receiving repeat prescriptions, reviewing test results, and attending appointments are today often carried out online or through mobile applications (NHS England, 2023). While these new technologies have made it much simpler </w:t>
      </w:r>
      <w:r>
        <w:rPr>
          <w:rFonts w:ascii="Arial" w:hAnsi="Arial" w:cs="Arial"/>
        </w:rPr>
        <w:lastRenderedPageBreak/>
        <w:t xml:space="preserve">for digitally literate people to navigate the digital world, they have also forced their patients to navigate complex digital systems. </w:t>
      </w:r>
    </w:p>
    <w:p w14:paraId="10ECF94F" w14:textId="77777777" w:rsidR="00C75B65" w:rsidRDefault="00C75B65" w:rsidP="00C75B65">
      <w:pPr>
        <w:spacing w:line="360" w:lineRule="auto"/>
        <w:jc w:val="both"/>
        <w:rPr>
          <w:rFonts w:ascii="Arial" w:hAnsi="Arial" w:cs="Arial"/>
        </w:rPr>
      </w:pPr>
      <w:r>
        <w:rPr>
          <w:rFonts w:ascii="Arial" w:hAnsi="Arial" w:cs="Arial"/>
        </w:rPr>
        <w:t xml:space="preserve">Digital change seems to be having mixed effects on older people. According to Kunonga et al. (2021), interventions in digital healthcare, which are supported and implemented in an accessible manner, can also improve access, levels of patient involvement, and continuity of care. Erku et al. (2023) found that digital technologies facilitate the improvement of primary healthcare by enhancing communication, preventive care, and long-term condition management. Inclusive digital innovation can improve healthcare outcomes, as suggested by these findings. </w:t>
      </w:r>
    </w:p>
    <w:p w14:paraId="6E250923" w14:textId="77777777" w:rsidR="00C75B65" w:rsidRDefault="00C75B65" w:rsidP="00C75B65">
      <w:pPr>
        <w:spacing w:line="360" w:lineRule="auto"/>
        <w:jc w:val="both"/>
        <w:rPr>
          <w:rFonts w:ascii="Arial" w:hAnsi="Arial" w:cs="Arial"/>
        </w:rPr>
      </w:pPr>
      <w:r>
        <w:rPr>
          <w:rFonts w:ascii="Arial" w:hAnsi="Arial" w:cs="Arial"/>
        </w:rPr>
        <w:t xml:space="preserve">Qualitative studies indicate that older individuals are still failing to access digital health services. In areas where face-to-face care became scarce. For instance, Farre et al. (2023) found that some patients experienced frustration and uncertainty when computerised technologies replaced traditional ways. Chadwick et al. (2024) found that older individuals preferred digital services that integrated with the delivery of healthcare. These findings indicate that to gain equitable access among diverse patient populations, flexible provision of services is essential. </w:t>
      </w:r>
    </w:p>
    <w:p w14:paraId="1DDC81D2" w14:textId="77777777" w:rsidR="00C75B65" w:rsidRDefault="00C75B65" w:rsidP="00C75B65">
      <w:pPr>
        <w:spacing w:line="360" w:lineRule="auto"/>
        <w:jc w:val="both"/>
        <w:rPr>
          <w:rFonts w:ascii="Arial" w:hAnsi="Arial" w:cs="Arial"/>
        </w:rPr>
      </w:pPr>
      <w:r>
        <w:rPr>
          <w:rFonts w:ascii="Arial" w:hAnsi="Arial" w:cs="Arial"/>
        </w:rPr>
        <w:t xml:space="preserve">It is also documented in the literature that digital technologies enhance care coordination, remote monitoring, and communication between service users, carers, and professionals in adult social care. These technologies may promote independence and care management of digitally excluded older persons, but there is little evidence. There is a paucity of research regarding digital exclusion in adult social care, with existing studies focusing on healthcare services (Wilson and Brittain, 2022; Chadwick et al., 2024). </w:t>
      </w:r>
    </w:p>
    <w:p w14:paraId="2F6D23BE" w14:textId="77777777" w:rsidR="00C75B65" w:rsidRDefault="00C75B65" w:rsidP="00C75B65">
      <w:pPr>
        <w:spacing w:line="360" w:lineRule="auto"/>
        <w:jc w:val="both"/>
        <w:rPr>
          <w:rFonts w:ascii="Arial" w:hAnsi="Arial" w:cs="Arial"/>
        </w:rPr>
      </w:pPr>
      <w:r>
        <w:rPr>
          <w:rFonts w:ascii="Arial" w:hAnsi="Arial" w:cs="Arial"/>
        </w:rPr>
        <w:t xml:space="preserve">Recent evidence indicates that the digital transformation of public health and social care has significantly changed the organisation and delivery of services (NHS England, 2023; Erku et al., 2023). However, the potential benefits of digital transformation can only be realised if implementation is inclusive and takes account of older adults' diverse needs, abilities and circumstances (Good Things Foundation, 2023; Centre for Ageing Better, 2023). Without appropriate support, digital transformation may unintentionally increase barriers to accessing health and social care services and contribute to widening existing health inequalities (Wilson and Brittain, 2022; Marmot et al., 2020).  </w:t>
      </w:r>
    </w:p>
    <w:p w14:paraId="0900EA52" w14:textId="77777777" w:rsidR="00C75B65" w:rsidRDefault="00C75B65" w:rsidP="00C75B65">
      <w:pPr>
        <w:spacing w:line="360" w:lineRule="auto"/>
        <w:jc w:val="both"/>
        <w:rPr>
          <w:rFonts w:ascii="Arial" w:hAnsi="Arial" w:cs="Arial"/>
        </w:rPr>
      </w:pPr>
      <w:r>
        <w:rPr>
          <w:rFonts w:ascii="Arial" w:hAnsi="Arial" w:cs="Arial"/>
        </w:rPr>
        <w:t xml:space="preserve"> Hence, there is a need to address this gap in information with a qualitative systematic review to assess the impact of digital exclusion on older people's access to UK public health and social care services (Aromataris and Munn, 2020; Page et al., 2021).</w:t>
      </w:r>
    </w:p>
    <w:p w14:paraId="032A0B68" w14:textId="77777777" w:rsidR="00C75B65" w:rsidRDefault="00C75B65" w:rsidP="00C75B65">
      <w:pPr>
        <w:spacing w:line="360" w:lineRule="auto"/>
        <w:jc w:val="both"/>
        <w:rPr>
          <w:rFonts w:ascii="Arial" w:hAnsi="Arial" w:cs="Arial"/>
        </w:rPr>
      </w:pPr>
    </w:p>
    <w:p w14:paraId="7F04506C" w14:textId="77777777" w:rsidR="00C75B65" w:rsidRPr="001F6351" w:rsidRDefault="00C75B65" w:rsidP="005E785B">
      <w:pPr>
        <w:pStyle w:val="Heading2"/>
        <w:rPr>
          <w:rFonts w:ascii="Arial" w:hAnsi="Arial" w:cs="Arial"/>
        </w:rPr>
      </w:pPr>
      <w:bookmarkStart w:id="60" w:name="_Toc237944330"/>
      <w:bookmarkStart w:id="61" w:name="_Toc240143284"/>
      <w:r w:rsidRPr="001F6351">
        <w:rPr>
          <w:rFonts w:ascii="Arial" w:hAnsi="Arial" w:cs="Arial"/>
        </w:rPr>
        <w:lastRenderedPageBreak/>
        <w:t>2.3. Barriers to Digital Inclusion</w:t>
      </w:r>
      <w:bookmarkEnd w:id="60"/>
      <w:bookmarkEnd w:id="61"/>
    </w:p>
    <w:p w14:paraId="638E2F8D" w14:textId="77777777" w:rsidR="00C75B65" w:rsidRPr="001F6351" w:rsidRDefault="00C75B65" w:rsidP="00C75B65">
      <w:pPr>
        <w:pStyle w:val="Heading3"/>
        <w:jc w:val="both"/>
        <w:rPr>
          <w:rFonts w:ascii="Arial" w:hAnsi="Arial" w:cs="Arial"/>
          <w:sz w:val="22"/>
        </w:rPr>
      </w:pPr>
      <w:bookmarkStart w:id="62" w:name="_Toc237944331"/>
      <w:bookmarkStart w:id="63" w:name="_Toc240143285"/>
      <w:r w:rsidRPr="001F6351">
        <w:rPr>
          <w:rFonts w:ascii="Arial" w:hAnsi="Arial" w:cs="Arial"/>
          <w:sz w:val="22"/>
        </w:rPr>
        <w:t>2.3.1 Individual Factors: Digital Skills, Confidence and Motivation</w:t>
      </w:r>
      <w:bookmarkEnd w:id="62"/>
      <w:bookmarkEnd w:id="63"/>
    </w:p>
    <w:p w14:paraId="60C32FC7" w14:textId="77777777" w:rsidR="00C75B65" w:rsidRDefault="00C75B65" w:rsidP="00C75B65">
      <w:pPr>
        <w:spacing w:line="360" w:lineRule="auto"/>
        <w:jc w:val="both"/>
        <w:rPr>
          <w:rFonts w:ascii="Arial" w:hAnsi="Arial" w:cs="Arial"/>
        </w:rPr>
      </w:pPr>
      <w:r>
        <w:rPr>
          <w:rFonts w:ascii="Arial" w:hAnsi="Arial" w:cs="Arial"/>
        </w:rPr>
        <w:t xml:space="preserve">Modern research indicates that inadequate digital skills are mischaracterised as a cause of older persons’ digital exclusion. Digital exclusion is a result of digital literacy, confidence, motivation, and technological experience (Kaihlanen et al., 2022; Wilson and Brittain, 2022). There are several criteria related to the adoption of digital technologies, including the successful use of digital technologies for securing the services and support services necessary for social and public health (PH and Social Care) benefits as well. </w:t>
      </w:r>
    </w:p>
    <w:p w14:paraId="3B0CD34A" w14:textId="77777777" w:rsidR="00C75B65" w:rsidRDefault="00C75B65" w:rsidP="00C75B65">
      <w:pPr>
        <w:spacing w:line="360" w:lineRule="auto"/>
        <w:jc w:val="both"/>
        <w:rPr>
          <w:rFonts w:ascii="Arial" w:hAnsi="Arial" w:cs="Arial"/>
        </w:rPr>
      </w:pPr>
      <w:r>
        <w:rPr>
          <w:rFonts w:ascii="Arial" w:hAnsi="Arial" w:cs="Arial"/>
        </w:rPr>
        <w:t xml:space="preserve">Digital participation is closely associated with digital literacy. Kaihlanen et al. (2022) define digital health literacy as the capacity to locate, understand, critically assess, and employ digital health information to guide healthcare choices. Seniors have limited access to online appointment systems, patient portals, and mobile health applications due to low digital literacy, making it a challenge for them to participate in digital healthcare. Wilson and Brittain (2022) argue that there is a danger that over-emphasising digital skills will exclude the impact of social and environmental factors on digital participation, such as training and support. </w:t>
      </w:r>
    </w:p>
    <w:p w14:paraId="76128A3B" w14:textId="77777777" w:rsidR="00C75B65" w:rsidRDefault="00C75B65" w:rsidP="00C75B65">
      <w:pPr>
        <w:spacing w:line="360" w:lineRule="auto"/>
        <w:jc w:val="both"/>
        <w:rPr>
          <w:rFonts w:ascii="Arial" w:hAnsi="Arial" w:cs="Arial"/>
        </w:rPr>
      </w:pPr>
      <w:r>
        <w:rPr>
          <w:rFonts w:ascii="Arial" w:hAnsi="Arial" w:cs="Arial"/>
        </w:rPr>
        <w:t xml:space="preserve">Technology usage is also reliant on confidence. Many older populations are anxious regarding errors, privacy, security, and digital technology, as reported in qualitative research (Husain et al., 2022; Chadwick, 2024). And worries can prevent engagement, even with technical savvy. Yet, tailored coaching, frequent practice, and reassurance from reliable family members or public health professionals help strengthen older persons’ confidence (Clohessy et al., 2024). And as it turns out, digital confidence can be built with support. </w:t>
      </w:r>
    </w:p>
    <w:p w14:paraId="404DFD28" w14:textId="77777777" w:rsidR="00C75B65" w:rsidRDefault="00C75B65" w:rsidP="00C75B65">
      <w:pPr>
        <w:spacing w:line="360" w:lineRule="auto"/>
        <w:jc w:val="both"/>
        <w:rPr>
          <w:rFonts w:ascii="Arial" w:hAnsi="Arial" w:cs="Arial"/>
        </w:rPr>
      </w:pPr>
      <w:r>
        <w:rPr>
          <w:rFonts w:ascii="Arial" w:hAnsi="Arial" w:cs="Arial"/>
        </w:rPr>
        <w:t xml:space="preserve">Another very important dimension of digital inclusion, motivation, is often overlooked. For some elderly individuals, little personal benefit can be brought by adopting digital tools, even when conventional healthcare is already available (Wilson and Brittain, 2022; Helsper and Reisdorf, 2017). People who, in the opinion of some, prefer non-technology-based care are more likely to appreciate physical contact with health professionals (Farre et al., 2020; Husain et al., 2022). These data belie the claim that resistance to technology leads to non-use. They highlight the importance of understanding personal preferences and the need for digitalisation to support rather than supplant previous models of care (Wilson and Brittain, 2022; Farre et al., 2020). </w:t>
      </w:r>
    </w:p>
    <w:p w14:paraId="0AF5CDF6" w14:textId="77777777" w:rsidR="00C75B65" w:rsidRDefault="00C75B65" w:rsidP="00C75B65">
      <w:pPr>
        <w:spacing w:line="360" w:lineRule="auto"/>
        <w:jc w:val="both"/>
        <w:rPr>
          <w:rFonts w:ascii="Arial" w:hAnsi="Arial" w:cs="Arial"/>
        </w:rPr>
      </w:pPr>
      <w:r>
        <w:rPr>
          <w:rFonts w:ascii="Arial" w:hAnsi="Arial" w:cs="Arial"/>
        </w:rPr>
        <w:t>Hence, the data indicate that enhancing digital skills will not itself eliminate digital exclusion unless interventions also support confidence, motivation, and the wider context in which technology is used (Kaihlanen et al., 2022; Wilson and Brittain, 2022; Helsper and Reisdorf, 2017).</w:t>
      </w:r>
    </w:p>
    <w:p w14:paraId="12EB1576" w14:textId="77777777" w:rsidR="00C75B65" w:rsidRDefault="00C75B65" w:rsidP="00C75B65">
      <w:pPr>
        <w:spacing w:line="360" w:lineRule="auto"/>
        <w:jc w:val="both"/>
        <w:rPr>
          <w:rFonts w:ascii="Arial" w:hAnsi="Arial" w:cs="Arial"/>
        </w:rPr>
      </w:pPr>
    </w:p>
    <w:p w14:paraId="5FA30118" w14:textId="77777777" w:rsidR="00C75B65" w:rsidRPr="001F6351" w:rsidRDefault="00C75B65" w:rsidP="00C75B65">
      <w:pPr>
        <w:pStyle w:val="Heading3"/>
        <w:jc w:val="both"/>
        <w:rPr>
          <w:rFonts w:ascii="Arial" w:hAnsi="Arial" w:cs="Arial"/>
          <w:sz w:val="22"/>
        </w:rPr>
      </w:pPr>
      <w:bookmarkStart w:id="64" w:name="_Toc237944332"/>
      <w:bookmarkStart w:id="65" w:name="_Toc240143286"/>
      <w:r w:rsidRPr="001F6351">
        <w:rPr>
          <w:rFonts w:ascii="Arial" w:hAnsi="Arial" w:cs="Arial"/>
          <w:sz w:val="22"/>
        </w:rPr>
        <w:t>2.3.2 Health, Ageing and Functional Limitations</w:t>
      </w:r>
      <w:bookmarkEnd w:id="64"/>
      <w:bookmarkEnd w:id="65"/>
    </w:p>
    <w:p w14:paraId="0B6DDC86" w14:textId="77777777" w:rsidR="00C75B65" w:rsidRDefault="00C75B65" w:rsidP="00C75B65">
      <w:pPr>
        <w:spacing w:line="360" w:lineRule="auto"/>
        <w:jc w:val="both"/>
        <w:rPr>
          <w:rFonts w:ascii="Arial" w:hAnsi="Arial" w:cs="Arial"/>
        </w:rPr>
      </w:pPr>
      <w:r>
        <w:rPr>
          <w:rFonts w:ascii="Arial" w:hAnsi="Arial" w:cs="Arial"/>
        </w:rPr>
        <w:t xml:space="preserve">While chronological age does not constitute age-related participation in digital interactions, age-related transitions can influence the use of digital health technologies. Hearing loss, loss of visual ability, decreased dexterity, and cognitive decline in the elderly might prevent them from utilising digital devices and online platforms of health technologies (Marston et al., 2020; Kaihlanen, 2022). Digital technologies requiring complex navigation or fine motor skills are used in the healthcare system and make these limitations important functional constraints. </w:t>
      </w:r>
    </w:p>
    <w:p w14:paraId="10B1BC40" w14:textId="77777777" w:rsidR="00C75B65" w:rsidRDefault="00C75B65" w:rsidP="00C75B65">
      <w:pPr>
        <w:spacing w:line="360" w:lineRule="auto"/>
        <w:jc w:val="both"/>
        <w:rPr>
          <w:rFonts w:ascii="Arial" w:hAnsi="Arial" w:cs="Arial"/>
        </w:rPr>
      </w:pPr>
      <w:r>
        <w:rPr>
          <w:rFonts w:ascii="Arial" w:hAnsi="Arial" w:cs="Arial"/>
        </w:rPr>
        <w:t xml:space="preserve">Data show that digital health devices tend to overlook the accessibility needs of elderly consumers. Small language, cumbersome authentication, and interface design may act as barriers to interaction (Farre et al., 2023). As reported by Chadwick et al. (2024), participants frequently expressed a lack of knowledge and difficulty in understanding digital healthcare systems such that there were sometimes multiple applications or verification activities to navigate, and many were unable to manage without assistance. These data suggest that digital service design, not ageing, presents numerous barriers. </w:t>
      </w:r>
    </w:p>
    <w:p w14:paraId="0D8FA63D" w14:textId="77777777" w:rsidR="00C75B65" w:rsidRDefault="00C75B65" w:rsidP="00C75B65">
      <w:pPr>
        <w:spacing w:line="360" w:lineRule="auto"/>
        <w:jc w:val="both"/>
        <w:rPr>
          <w:rFonts w:ascii="Arial" w:hAnsi="Arial" w:cs="Arial"/>
        </w:rPr>
      </w:pPr>
      <w:r>
        <w:rPr>
          <w:rFonts w:ascii="Arial" w:hAnsi="Arial" w:cs="Arial"/>
        </w:rPr>
        <w:t xml:space="preserve">Long-term health problems can complicate participation in digital healthcare. Husain et al. (2022) note that physical or cognitive capacity among multimorbid older people fluctuates, which makes it difficult to interact with digital healthcare. Furthermore, these individuals are most likely to require ongoing health and social care support. The paradox remains that people who would benefit most from digital healthcare may find themselves the most challenged users. </w:t>
      </w:r>
    </w:p>
    <w:p w14:paraId="5AE93478" w14:textId="77777777" w:rsidR="00C75B65" w:rsidRDefault="00C75B65" w:rsidP="00C75B65">
      <w:pPr>
        <w:spacing w:line="360" w:lineRule="auto"/>
        <w:jc w:val="both"/>
        <w:rPr>
          <w:rFonts w:ascii="Arial" w:hAnsi="Arial" w:cs="Arial"/>
        </w:rPr>
      </w:pPr>
      <w:r>
        <w:rPr>
          <w:rFonts w:ascii="Arial" w:hAnsi="Arial" w:cs="Arial"/>
        </w:rPr>
        <w:t>Digital exclusion in an ageing population may further entrench negative stereotypes. Erku et al. (2023) and Clohessy et al. (2024) found that older adults use digital technologies when systems are accessible, training is provided, and services are user centred.</w:t>
      </w:r>
    </w:p>
    <w:p w14:paraId="3F8ED648" w14:textId="77777777" w:rsidR="00C75B65" w:rsidRDefault="00C75B65" w:rsidP="00C75B65">
      <w:pPr>
        <w:spacing w:line="360" w:lineRule="auto"/>
        <w:jc w:val="both"/>
        <w:rPr>
          <w:rFonts w:ascii="Arial" w:hAnsi="Arial" w:cs="Arial"/>
        </w:rPr>
      </w:pPr>
      <w:r>
        <w:rPr>
          <w:rFonts w:ascii="Arial" w:hAnsi="Arial" w:cs="Arial"/>
        </w:rPr>
        <w:t>Accordingly, the research emphasises that functional constraints should be addressed through inclusive service design and appropriate support rather than being viewed solely as age-related limitations. However, there remains limited evidence on how such inclusive approaches are implemented and evaluated within UK public health and adult social care services, highlighting an important gap in the literature (Erku et al., 2023; Clohessy et al., 2024).</w:t>
      </w:r>
    </w:p>
    <w:p w14:paraId="65BF5734" w14:textId="77777777" w:rsidR="00C75B65" w:rsidRPr="001F6351" w:rsidRDefault="00C75B65" w:rsidP="00C75B65">
      <w:pPr>
        <w:pStyle w:val="Heading3"/>
        <w:jc w:val="both"/>
        <w:rPr>
          <w:rFonts w:ascii="Arial" w:hAnsi="Arial" w:cs="Arial"/>
          <w:sz w:val="22"/>
        </w:rPr>
      </w:pPr>
      <w:bookmarkStart w:id="66" w:name="_Toc237944333"/>
      <w:bookmarkStart w:id="67" w:name="_Toc240143287"/>
      <w:r w:rsidRPr="001F6351">
        <w:rPr>
          <w:rFonts w:ascii="Arial" w:hAnsi="Arial" w:cs="Arial"/>
          <w:sz w:val="22"/>
        </w:rPr>
        <w:t>2.3.3 Structural and Organisational Barriers</w:t>
      </w:r>
      <w:bookmarkEnd w:id="66"/>
      <w:bookmarkEnd w:id="67"/>
    </w:p>
    <w:p w14:paraId="788157EE" w14:textId="77777777" w:rsidR="00C75B65" w:rsidRDefault="00C75B65" w:rsidP="00C75B65">
      <w:pPr>
        <w:spacing w:line="360" w:lineRule="auto"/>
        <w:jc w:val="both"/>
        <w:rPr>
          <w:rFonts w:ascii="Arial" w:hAnsi="Arial" w:cs="Arial"/>
        </w:rPr>
      </w:pPr>
      <w:r>
        <w:rPr>
          <w:rFonts w:ascii="Arial" w:hAnsi="Arial" w:cs="Arial"/>
        </w:rPr>
        <w:t xml:space="preserve">Digital exclusion is not exclusively attributable to individual behaviours. Digital health and social care also intersect with socioeconomic disparity, digital infrastructure, and the design of healthcare services. Socioeconomic disadvantage undermines digital engagement via limited access to affordable internet, gadgets, and digital learning. Affordability and connectivity </w:t>
      </w:r>
      <w:r>
        <w:rPr>
          <w:rFonts w:ascii="Arial" w:hAnsi="Arial" w:cs="Arial"/>
        </w:rPr>
        <w:lastRenderedPageBreak/>
        <w:t xml:space="preserve">barriers affect lower-income, less-educated and rural elderly people (Mee et al., 2024; Mubarak and Suomi, 2022). These inequities are usually confounded by other disadvantages, lending support to the assertion that digital exclusion results from social inequality, not individual shortfall. They may not even realise that this exclusion is happening, as digitally disadvantaged individuals are often not reached. (Helsper, 2012; Wilson and Brittain, 2022). </w:t>
      </w:r>
    </w:p>
    <w:p w14:paraId="151730D6" w14:textId="77777777" w:rsidR="00C75B65" w:rsidRDefault="00C75B65" w:rsidP="00C75B65">
      <w:pPr>
        <w:spacing w:line="360" w:lineRule="auto"/>
        <w:jc w:val="both"/>
        <w:rPr>
          <w:rFonts w:ascii="Arial" w:hAnsi="Arial" w:cs="Arial"/>
        </w:rPr>
      </w:pPr>
      <w:r>
        <w:rPr>
          <w:rFonts w:ascii="Arial" w:hAnsi="Arial" w:cs="Arial"/>
        </w:rPr>
        <w:t>NHS England (2023) noted that healthcare providers quickly implemented digital-first methods of service delivery during the COVID-19 pandemic to maintain continuity. Although this accelerated innovation, Farre et al. (2023) argue that the implementation emphasised efficiency rather than accessibility, limiting patients with a preference for phone or in-person appointments. The absence of inclusive digital transformation in adult social care has stoked worry over similar issues (Wilson and Brittain, 2022; Chadwick et al., 2024). Since services increasingly require digital interaction, digitally excluded people might be left behind.</w:t>
      </w:r>
    </w:p>
    <w:p w14:paraId="35B94075" w14:textId="77777777" w:rsidR="00C75B65" w:rsidRDefault="00C75B65" w:rsidP="00C75B65">
      <w:pPr>
        <w:spacing w:line="360" w:lineRule="auto"/>
        <w:jc w:val="both"/>
        <w:rPr>
          <w:rFonts w:ascii="Arial" w:hAnsi="Arial" w:cs="Arial"/>
        </w:rPr>
      </w:pPr>
      <w:r>
        <w:rPr>
          <w:rFonts w:ascii="Arial" w:hAnsi="Arial" w:cs="Arial"/>
        </w:rPr>
        <w:t>The findings suggest that improving digital skills will not resolve digital exclusion. Solutions also target structural and organisational barriers to digital inclusion, such as inclusive service design, affordable digital infrastructure, organisational policies that support digital inclusion, and continued provision of non-digital alternatives (Good Things Foundation, 2023; Erku et al., 2023; NHS England, 2023). However, despite increasing evidence in support of these approaches, there are limited studies on how socioeconomic, health-related, structural, and organisational barriers impact older people’s access to the UK public health and adult social care services. This limitation underlines the necessity of this qualitative systematic review (Page et al., 2021; Aromataris and Munn, 2020).</w:t>
      </w:r>
    </w:p>
    <w:p w14:paraId="1EEAA39E" w14:textId="77777777" w:rsidR="00C75B65" w:rsidRPr="001F6351" w:rsidRDefault="00C75B65" w:rsidP="005E785B">
      <w:pPr>
        <w:pStyle w:val="Heading2"/>
        <w:rPr>
          <w:rFonts w:ascii="Arial" w:hAnsi="Arial" w:cs="Arial"/>
        </w:rPr>
      </w:pPr>
      <w:bookmarkStart w:id="68" w:name="_Toc237944334"/>
      <w:bookmarkStart w:id="69" w:name="_Toc240143288"/>
      <w:r w:rsidRPr="001F6351">
        <w:rPr>
          <w:rFonts w:ascii="Arial" w:hAnsi="Arial" w:cs="Arial"/>
        </w:rPr>
        <w:t>2.4. Digital Exclusion and Health Inequalities</w:t>
      </w:r>
      <w:bookmarkEnd w:id="68"/>
      <w:bookmarkEnd w:id="69"/>
    </w:p>
    <w:p w14:paraId="003E041D" w14:textId="0050C1FF" w:rsidR="00C75B65" w:rsidRPr="001F6351" w:rsidRDefault="00C75B65" w:rsidP="001F6351">
      <w:pPr>
        <w:pStyle w:val="Heading3"/>
        <w:jc w:val="both"/>
        <w:rPr>
          <w:rFonts w:ascii="Arial" w:hAnsi="Arial" w:cs="Arial"/>
          <w:sz w:val="22"/>
        </w:rPr>
      </w:pPr>
      <w:bookmarkStart w:id="70" w:name="_Toc237944335"/>
      <w:bookmarkStart w:id="71" w:name="_Toc240143289"/>
      <w:r w:rsidRPr="001F6351">
        <w:rPr>
          <w:rFonts w:ascii="Arial" w:hAnsi="Arial" w:cs="Arial"/>
          <w:sz w:val="22"/>
        </w:rPr>
        <w:t>2.4.1 Digital Exclusion as a Social Determinant of Health</w:t>
      </w:r>
      <w:bookmarkEnd w:id="70"/>
      <w:bookmarkEnd w:id="71"/>
    </w:p>
    <w:p w14:paraId="66307AC4" w14:textId="77777777" w:rsidR="00C75B65" w:rsidRDefault="00C75B65" w:rsidP="00C75B65">
      <w:pPr>
        <w:spacing w:line="360" w:lineRule="auto"/>
        <w:jc w:val="both"/>
        <w:rPr>
          <w:rFonts w:ascii="Arial" w:hAnsi="Arial" w:cs="Arial"/>
        </w:rPr>
      </w:pPr>
      <w:r>
        <w:rPr>
          <w:rFonts w:ascii="Arial" w:hAnsi="Arial" w:cs="Arial"/>
        </w:rPr>
        <w:t>Digital exclusion is gaining popularity as a social determinant of health, affecting a person's access to healthcare, health information and even digital services. The sheer scale of digital exclusion is revealed by the fact that in the UK, 1.6 million adults do not have a smartphone, tablet, or laptop and 7.9 million adults do not have Foundation Essential Digital Skills (Good Things Foundation, 2024).</w:t>
      </w:r>
    </w:p>
    <w:p w14:paraId="6CE28DD0" w14:textId="77777777" w:rsidR="00C75B65" w:rsidRDefault="00C75B65" w:rsidP="00C75B65">
      <w:pPr>
        <w:spacing w:line="360" w:lineRule="auto"/>
        <w:jc w:val="both"/>
        <w:rPr>
          <w:rFonts w:ascii="Arial" w:hAnsi="Arial" w:cs="Arial"/>
        </w:rPr>
      </w:pPr>
      <w:r>
        <w:rPr>
          <w:rFonts w:ascii="Arial" w:hAnsi="Arial" w:cs="Arial"/>
        </w:rPr>
        <w:t xml:space="preserve">Social determinants of health have historically encompassed income, education, employment, and housing, but increasing evidence indicates that digital access and capability now shape health equity in digitally advanced communities. As digital technology is used more in health systems at a growing rate, good engagement with these technologies is critical to continuing good health and adequate care. </w:t>
      </w:r>
    </w:p>
    <w:p w14:paraId="4A676045" w14:textId="77777777" w:rsidR="00C75B65" w:rsidRDefault="00C75B65" w:rsidP="00C75B65">
      <w:pPr>
        <w:spacing w:line="360" w:lineRule="auto"/>
        <w:jc w:val="both"/>
        <w:rPr>
          <w:rFonts w:ascii="Arial" w:hAnsi="Arial" w:cs="Arial"/>
        </w:rPr>
      </w:pPr>
      <w:r>
        <w:rPr>
          <w:rFonts w:ascii="Arial" w:hAnsi="Arial" w:cs="Arial"/>
        </w:rPr>
        <w:lastRenderedPageBreak/>
        <w:t xml:space="preserve">One avenue for an explanation is to utilise Helsper’s Corresponding Fields Model, which suggests that social inequality is reproduced through digital inequalities. For individuals disadvantaged in education, income, or health, digital exclusion is more likely, leading to accumulating disadvantage rather than disparate disadvantages in isolation (Helsper, 2012). Husain et al. (2022) found that older adults with poverty, chronic disease, disability, and social isolation faced multiple issues in terms of digital health. We should consider digital exclusion as one aspect of a greater social inequity. </w:t>
      </w:r>
    </w:p>
    <w:p w14:paraId="7AE50CB5" w14:textId="77777777" w:rsidR="00C75B65" w:rsidRDefault="00C75B65" w:rsidP="00C75B65">
      <w:pPr>
        <w:spacing w:line="360" w:lineRule="auto"/>
        <w:jc w:val="both"/>
        <w:rPr>
          <w:rFonts w:ascii="Arial" w:hAnsi="Arial" w:cs="Arial"/>
        </w:rPr>
      </w:pPr>
      <w:r>
        <w:rPr>
          <w:rFonts w:ascii="Arial" w:hAnsi="Arial" w:cs="Arial"/>
        </w:rPr>
        <w:t xml:space="preserve">There is an unfair distribution of digital disadvantage in the UK, driven by research. According to the Good Things Foundation (2024), 77% of individuals without Foundation Essential Digital Skills are older than 65, and 47% are not formally educated, while 77% have a disability or impairment. These results highlight the strong correlation between social disadvantage and digital exclusion. Wilson and Brittain (2022) also connected digital exclusion to structural inequalities, which include educational disadvantage, low income, and diminished access to community resources. These findings are consistent with national evidence showing that only 10% of households eligible for a social broadband tariff have taken it up, illustrating that affordability and structural barriers continue to limit digital inclusion (Good Things Foundation, 2024). </w:t>
      </w:r>
    </w:p>
    <w:p w14:paraId="40256D32" w14:textId="77777777" w:rsidR="00C75B65" w:rsidRDefault="00C75B65" w:rsidP="00C75B65">
      <w:pPr>
        <w:spacing w:line="360" w:lineRule="auto"/>
        <w:jc w:val="both"/>
        <w:rPr>
          <w:rFonts w:ascii="Arial" w:hAnsi="Arial" w:cs="Arial"/>
        </w:rPr>
      </w:pPr>
      <w:r>
        <w:rPr>
          <w:rFonts w:ascii="Arial" w:hAnsi="Arial" w:cs="Arial"/>
        </w:rPr>
        <w:t xml:space="preserve">Digital exclusion is increasingly acknowledged as a factor in health, yet it is a variable to define and quantify. Many studies rely on cross-sectional designs, which complicate drawing causal links between digital marginalisation and health outcomes. Different researchers have defined digital exclusion differently, restricting study comparability. </w:t>
      </w:r>
    </w:p>
    <w:p w14:paraId="76DAF14D" w14:textId="77777777" w:rsidR="00C75B65" w:rsidRDefault="00C75B65" w:rsidP="00C75B65">
      <w:pPr>
        <w:spacing w:line="360" w:lineRule="auto"/>
        <w:jc w:val="both"/>
        <w:rPr>
          <w:rFonts w:ascii="Arial" w:hAnsi="Arial" w:cs="Arial"/>
        </w:rPr>
      </w:pPr>
      <w:r>
        <w:rPr>
          <w:rFonts w:ascii="Arial" w:hAnsi="Arial" w:cs="Arial"/>
        </w:rPr>
        <w:t xml:space="preserve">Yet evidence for the extent of digital exclusion leading to uneven access to healthcare is abundant and, despite these methodological shortcomings, is a growing public health concern. According to national data, 31% of adults in the UK do not use the internet to access health services, underscoring the ongoing significance of preserving inclusive healthcare pathways (Good Things Foundation, 2024). </w:t>
      </w:r>
    </w:p>
    <w:p w14:paraId="48680485" w14:textId="77777777" w:rsidR="00C75B65" w:rsidRDefault="00C75B65" w:rsidP="00C75B65">
      <w:pPr>
        <w:spacing w:line="360" w:lineRule="auto"/>
        <w:jc w:val="both"/>
        <w:rPr>
          <w:rFonts w:ascii="Arial" w:hAnsi="Arial" w:cs="Arial"/>
        </w:rPr>
      </w:pPr>
      <w:r>
        <w:rPr>
          <w:rFonts w:ascii="Arial" w:hAnsi="Arial" w:cs="Arial"/>
        </w:rPr>
        <w:t xml:space="preserve"> </w:t>
      </w:r>
    </w:p>
    <w:p w14:paraId="59822B5F" w14:textId="77777777" w:rsidR="00C75B65" w:rsidRPr="001F6351" w:rsidRDefault="00C75B65" w:rsidP="00C75B65">
      <w:pPr>
        <w:pStyle w:val="Heading3"/>
        <w:jc w:val="both"/>
        <w:rPr>
          <w:rFonts w:ascii="Arial" w:hAnsi="Arial" w:cs="Arial"/>
          <w:sz w:val="22"/>
        </w:rPr>
      </w:pPr>
      <w:bookmarkStart w:id="72" w:name="_Toc237944336"/>
      <w:bookmarkStart w:id="73" w:name="_Toc240143290"/>
      <w:r w:rsidRPr="001F6351">
        <w:rPr>
          <w:rFonts w:ascii="Arial" w:hAnsi="Arial" w:cs="Arial"/>
          <w:sz w:val="22"/>
        </w:rPr>
        <w:t>2.4.2 Consequences for Access to Health and Social Care</w:t>
      </w:r>
      <w:bookmarkEnd w:id="72"/>
      <w:bookmarkEnd w:id="73"/>
    </w:p>
    <w:p w14:paraId="71C6B92B" w14:textId="77777777" w:rsidR="00C75B65" w:rsidRDefault="00C75B65" w:rsidP="00C75B65">
      <w:pPr>
        <w:spacing w:line="360" w:lineRule="auto"/>
        <w:jc w:val="both"/>
        <w:rPr>
          <w:rFonts w:ascii="Arial" w:hAnsi="Arial" w:cs="Arial"/>
        </w:rPr>
      </w:pPr>
      <w:r>
        <w:rPr>
          <w:rFonts w:ascii="Arial" w:hAnsi="Arial" w:cs="Arial"/>
        </w:rPr>
        <w:t xml:space="preserve">More broadly, digital exclusion affects older persons' involvement with and engagement with health and social care services during the patient experience, beyond technology. With healthcare professionals embracing a digital-first approach, digitally excluded patients may struggle to plan and schedule appointments, receive test results, engage in virtual appointments and communicate with providers (NHS England, 2023). These limitations are critical to care continuity, patient experience and health outcomes. </w:t>
      </w:r>
    </w:p>
    <w:p w14:paraId="6FBAA8C5" w14:textId="77777777" w:rsidR="00C75B65" w:rsidRDefault="00C75B65" w:rsidP="00C75B65">
      <w:pPr>
        <w:spacing w:line="360" w:lineRule="auto"/>
        <w:jc w:val="both"/>
        <w:rPr>
          <w:rFonts w:ascii="Arial" w:hAnsi="Arial" w:cs="Arial"/>
        </w:rPr>
      </w:pPr>
      <w:r>
        <w:rPr>
          <w:rFonts w:ascii="Arial" w:hAnsi="Arial" w:cs="Arial"/>
        </w:rPr>
        <w:lastRenderedPageBreak/>
        <w:t xml:space="preserve">Digital exclusion seems to slow down access to health treatment and reduce the access and utilisation of preventive services, leading to greater emergency or face-to-face treatment needs. During the COVID-19 pandemic, fast digital healthcare adoption led to unforeseen bottlenecks for many patients who did not have the skills and tools required to integrate digital systems, as noted by Farre et al. (2023). Chadwick et al. (2024) showed older people were dissatisfied, anxious and less self-confident when digital systems became the primary way to obtain healthcare services, particularly given the limited choice. And when inclusion is overlooked at the service design stage, digital transformation can exacerbate inequality. </w:t>
      </w:r>
    </w:p>
    <w:p w14:paraId="66E97B09" w14:textId="77777777" w:rsidR="00C75B65" w:rsidRDefault="00C75B65" w:rsidP="00C75B65">
      <w:pPr>
        <w:spacing w:line="360" w:lineRule="auto"/>
        <w:jc w:val="both"/>
        <w:rPr>
          <w:rFonts w:ascii="Arial" w:hAnsi="Arial" w:cs="Arial"/>
        </w:rPr>
      </w:pPr>
      <w:r>
        <w:rPr>
          <w:rFonts w:ascii="Arial" w:hAnsi="Arial" w:cs="Arial"/>
        </w:rPr>
        <w:t xml:space="preserve">The literature suggests that digital technologies are not inherently exclusive. Proper use of digital health interventions can improve patient engagement, primary-care access, and long-term symptom control (Erku et al., 2023). Kunonga et al. (2021) state that digital interventions with adequate training, user-centred design, and professional assistance can enhance healthcare accessibility. These results suggest that the development, implementation, and sustainability of digital healthcare systems are more impactful than technology. </w:t>
      </w:r>
    </w:p>
    <w:p w14:paraId="2621F0A6" w14:textId="77777777" w:rsidR="00C75B65" w:rsidRDefault="00C75B65" w:rsidP="00C75B65">
      <w:pPr>
        <w:spacing w:line="360" w:lineRule="auto"/>
        <w:jc w:val="both"/>
        <w:rPr>
          <w:rFonts w:ascii="Arial" w:hAnsi="Arial" w:cs="Arial"/>
        </w:rPr>
      </w:pPr>
      <w:r>
        <w:rPr>
          <w:rFonts w:ascii="Arial" w:hAnsi="Arial" w:cs="Arial"/>
        </w:rPr>
        <w:t xml:space="preserve">The evidence indicates that digital exclusion limits access to digital health and social care services, which contributes to health inequities. Nonetheless, limited research has assessed the challenges existing for elderly people in the UK public health and adult social care. Work on social care has been largely centred around healthcare, so digital marginalisation is understudied. </w:t>
      </w:r>
    </w:p>
    <w:p w14:paraId="7F19C4C0" w14:textId="77777777" w:rsidR="00C75B65" w:rsidRDefault="00C75B65" w:rsidP="00C75B65">
      <w:pPr>
        <w:spacing w:line="360" w:lineRule="auto"/>
        <w:jc w:val="both"/>
        <w:rPr>
          <w:rFonts w:ascii="Arial" w:hAnsi="Arial" w:cs="Arial"/>
        </w:rPr>
      </w:pPr>
      <w:r>
        <w:rPr>
          <w:rFonts w:ascii="Arial" w:hAnsi="Arial" w:cs="Arial"/>
        </w:rPr>
        <w:t>The present qualitative systematic study fills this evidence gap by synthesising older people's digital experience of taking advantage of public health and social care services.</w:t>
      </w:r>
    </w:p>
    <w:p w14:paraId="1A9DFFA6" w14:textId="77777777" w:rsidR="00C75B65" w:rsidRPr="001F6351" w:rsidRDefault="00C75B65" w:rsidP="005E785B">
      <w:pPr>
        <w:pStyle w:val="Heading2"/>
        <w:rPr>
          <w:rFonts w:ascii="Arial" w:hAnsi="Arial" w:cs="Arial"/>
        </w:rPr>
      </w:pPr>
      <w:bookmarkStart w:id="74" w:name="_Toc237944337"/>
      <w:bookmarkStart w:id="75" w:name="_Toc240143291"/>
      <w:r w:rsidRPr="001F6351">
        <w:rPr>
          <w:rFonts w:ascii="Arial" w:hAnsi="Arial" w:cs="Arial"/>
        </w:rPr>
        <w:t>2.5. Strategies to Improve Digital Inclusion</w:t>
      </w:r>
      <w:bookmarkEnd w:id="74"/>
      <w:bookmarkEnd w:id="75"/>
    </w:p>
    <w:p w14:paraId="3A654D8F" w14:textId="77777777" w:rsidR="00C75B65" w:rsidRPr="001F6351" w:rsidRDefault="00C75B65" w:rsidP="00C75B65">
      <w:pPr>
        <w:pStyle w:val="Heading3"/>
        <w:jc w:val="both"/>
        <w:rPr>
          <w:rFonts w:ascii="Arial" w:hAnsi="Arial" w:cs="Arial"/>
          <w:sz w:val="22"/>
        </w:rPr>
      </w:pPr>
      <w:bookmarkStart w:id="76" w:name="_Toc237944338"/>
      <w:bookmarkStart w:id="77" w:name="_Toc240143292"/>
      <w:r w:rsidRPr="001F6351">
        <w:rPr>
          <w:rFonts w:ascii="Arial" w:hAnsi="Arial" w:cs="Arial"/>
          <w:sz w:val="22"/>
        </w:rPr>
        <w:t>2.5.1 Individual and Community-Level Interventions</w:t>
      </w:r>
      <w:bookmarkEnd w:id="76"/>
      <w:bookmarkEnd w:id="77"/>
    </w:p>
    <w:p w14:paraId="5B5D4103" w14:textId="77777777" w:rsidR="00C75B65" w:rsidRDefault="00C75B65" w:rsidP="00C75B65">
      <w:pPr>
        <w:spacing w:line="360" w:lineRule="auto"/>
        <w:jc w:val="both"/>
        <w:rPr>
          <w:rFonts w:ascii="Arial" w:hAnsi="Arial" w:cs="Arial"/>
        </w:rPr>
      </w:pPr>
      <w:r>
        <w:rPr>
          <w:rFonts w:ascii="Arial" w:hAnsi="Arial" w:cs="Arial"/>
        </w:rPr>
        <w:t xml:space="preserve">Greater digital inclusion for older people will require more than just digital devices and access to the internet. It makes sense that the advancement of digital inclusion needs to address older persons' diverse needs and preferences, but also to improve their digital skills, confidence, and motivation (Kaihlanen et al., 2022; Wilson and Brittain, 2022). As such, person-centred interventions that combine digital skills training with practical and emotional support have gained widespread attention. </w:t>
      </w:r>
    </w:p>
    <w:p w14:paraId="2393F6AB" w14:textId="77777777" w:rsidR="00C75B65" w:rsidRDefault="00C75B65" w:rsidP="00C75B65">
      <w:pPr>
        <w:spacing w:line="360" w:lineRule="auto"/>
        <w:jc w:val="both"/>
        <w:rPr>
          <w:rFonts w:ascii="Arial" w:hAnsi="Arial" w:cs="Arial"/>
        </w:rPr>
      </w:pPr>
      <w:r>
        <w:rPr>
          <w:rFonts w:ascii="Arial" w:hAnsi="Arial" w:cs="Arial"/>
        </w:rPr>
        <w:t xml:space="preserve">Community-based activities are one of the best ways to boost the internet involvement of older people. Communities, libraries, and voluntary organisations can provide digital literacy programs that can enhance confidence, the use of technologies, and digital health services (Erku et al., 2023). Adapted to their health needs and technology experience, Clohessy et al. (2024) found that older persons preferred individualised instruction at an acceptable pace. </w:t>
      </w:r>
      <w:r>
        <w:rPr>
          <w:rFonts w:ascii="Arial" w:hAnsi="Arial" w:cs="Arial"/>
        </w:rPr>
        <w:lastRenderedPageBreak/>
        <w:t xml:space="preserve">These conclusions show that initiatives which respect the diversity of older people, rather than assuming a uniform digital proficiency, are more successful. </w:t>
      </w:r>
    </w:p>
    <w:p w14:paraId="7E6ACB25" w14:textId="77777777" w:rsidR="00C75B65" w:rsidRDefault="00C75B65" w:rsidP="00C75B65">
      <w:pPr>
        <w:spacing w:line="360" w:lineRule="auto"/>
        <w:jc w:val="both"/>
        <w:rPr>
          <w:rFonts w:ascii="Arial" w:hAnsi="Arial" w:cs="Arial"/>
        </w:rPr>
      </w:pPr>
      <w:r>
        <w:rPr>
          <w:rFonts w:ascii="Arial" w:hAnsi="Arial" w:cs="Arial"/>
        </w:rPr>
        <w:t xml:space="preserve">Research shows that social support is also important. Older persons benefit from help with online systems in which family, friends, volunteers, and digital champions assist them in building trust in the use of digital technologies (Husain et al., 2022). Informal support faces equity challenges: not all older people have robust social networks. Even with community initiatives, singles, socially isolated people, and those with minimal family support may remain digitally excluded. </w:t>
      </w:r>
    </w:p>
    <w:p w14:paraId="62004027" w14:textId="77777777" w:rsidR="00C75B65" w:rsidRDefault="00C75B65" w:rsidP="00C75B65">
      <w:pPr>
        <w:spacing w:line="360" w:lineRule="auto"/>
        <w:jc w:val="both"/>
        <w:rPr>
          <w:rFonts w:ascii="Arial" w:hAnsi="Arial" w:cs="Arial"/>
        </w:rPr>
      </w:pPr>
      <w:r>
        <w:rPr>
          <w:rFonts w:ascii="Arial" w:hAnsi="Arial" w:cs="Arial"/>
        </w:rPr>
        <w:t>Community-based undertakings are useful but supplement health and social care services rather than supplanting them.</w:t>
      </w:r>
    </w:p>
    <w:p w14:paraId="3EA9FFCB" w14:textId="77777777" w:rsidR="00C75B65" w:rsidRPr="001F6351" w:rsidRDefault="00C75B65" w:rsidP="00C75B65">
      <w:pPr>
        <w:pStyle w:val="Heading3"/>
        <w:jc w:val="both"/>
        <w:rPr>
          <w:rFonts w:ascii="Arial" w:hAnsi="Arial" w:cs="Arial"/>
          <w:sz w:val="22"/>
        </w:rPr>
      </w:pPr>
      <w:bookmarkStart w:id="78" w:name="_Toc237944339"/>
      <w:bookmarkStart w:id="79" w:name="_Toc240143293"/>
      <w:r w:rsidRPr="001F6351">
        <w:rPr>
          <w:rFonts w:ascii="Arial" w:hAnsi="Arial" w:cs="Arial"/>
          <w:sz w:val="22"/>
        </w:rPr>
        <w:t>2.5.2 Organisational Approaches to Inclusive Service Delivery</w:t>
      </w:r>
      <w:bookmarkEnd w:id="78"/>
      <w:bookmarkEnd w:id="79"/>
    </w:p>
    <w:p w14:paraId="1AC6F09B" w14:textId="77777777" w:rsidR="00C75B65" w:rsidRDefault="00C75B65" w:rsidP="00C75B65">
      <w:pPr>
        <w:spacing w:line="360" w:lineRule="auto"/>
        <w:jc w:val="both"/>
        <w:rPr>
          <w:rFonts w:ascii="Arial" w:hAnsi="Arial" w:cs="Arial"/>
        </w:rPr>
      </w:pPr>
      <w:r>
        <w:rPr>
          <w:rFonts w:ascii="Arial" w:hAnsi="Arial" w:cs="Arial"/>
        </w:rPr>
        <w:t xml:space="preserve">Healthcare companies reduce digital exclusion via efficient service design and access. The data-driven literature points to an emphasis that healthcare providers make digital services usable and inclusive and should provide usable and acceptable alternatives (Farre et al., 2023). This evolution reflects the growing trend towards person-centred care, underpinned by a service-centric model of digital innovation that responds to service consumers instead of vice versa. </w:t>
      </w:r>
    </w:p>
    <w:p w14:paraId="5D092653" w14:textId="77777777" w:rsidR="00C75B65" w:rsidRDefault="00C75B65" w:rsidP="00C75B65">
      <w:pPr>
        <w:spacing w:line="360" w:lineRule="auto"/>
        <w:jc w:val="both"/>
        <w:rPr>
          <w:rFonts w:ascii="Arial" w:hAnsi="Arial" w:cs="Arial"/>
        </w:rPr>
      </w:pPr>
      <w:r>
        <w:rPr>
          <w:rFonts w:ascii="Arial" w:hAnsi="Arial" w:cs="Arial"/>
        </w:rPr>
        <w:t xml:space="preserve">Service design that is accessible is consistently associated with digital engagement. According to Chadwick et al. (2024), older people were more likely to access digital healthcare if systems were intuitive, accessible, and supported by sound advice. Kaihlanen et al. (2022) argue that all health professionals require training in digital health literacy to assist patients and highlight the risk of digital exclusion. Digital transformation demands both organisational capacity and workers' readiness, per these findings. </w:t>
      </w:r>
    </w:p>
    <w:p w14:paraId="43102AF3" w14:textId="77777777" w:rsidR="00C75B65" w:rsidRDefault="00C75B65" w:rsidP="00C75B65">
      <w:pPr>
        <w:spacing w:line="360" w:lineRule="auto"/>
        <w:jc w:val="both"/>
        <w:rPr>
          <w:rFonts w:ascii="Arial" w:hAnsi="Arial" w:cs="Arial"/>
        </w:rPr>
      </w:pPr>
      <w:r>
        <w:rPr>
          <w:rFonts w:ascii="Arial" w:hAnsi="Arial" w:cs="Arial"/>
        </w:rPr>
        <w:t xml:space="preserve">More significantly, many of those authors recommended against substituting traditional access to care for digital-only options for care from a digital-only perspective. Farre et al. (2023) indicate that more equitable access involves telephone and face-to-face decision-making, particularly for those who cannot or will not use digital technology. Digital services, without deleting other channels, allow participation online and foster choice to participate in digital inclusion. </w:t>
      </w:r>
    </w:p>
    <w:p w14:paraId="5E4C7C39" w14:textId="77777777" w:rsidR="00C75B65" w:rsidRDefault="00C75B65" w:rsidP="00C75B65">
      <w:pPr>
        <w:spacing w:line="360" w:lineRule="auto"/>
        <w:jc w:val="both"/>
        <w:rPr>
          <w:rFonts w:ascii="Arial" w:hAnsi="Arial" w:cs="Arial"/>
        </w:rPr>
      </w:pPr>
      <w:r>
        <w:rPr>
          <w:rFonts w:ascii="Arial" w:hAnsi="Arial" w:cs="Arial"/>
        </w:rPr>
        <w:t>Multiple pathways to care may require additional organisational resources, but literature suggests that they are potentially more likely to deliver equitable access than digital-first models lacking enough flexibility.</w:t>
      </w:r>
    </w:p>
    <w:p w14:paraId="37468FA4" w14:textId="77777777" w:rsidR="00C75B65" w:rsidRDefault="00C75B65" w:rsidP="00C75B65">
      <w:pPr>
        <w:spacing w:line="360" w:lineRule="auto"/>
        <w:jc w:val="both"/>
        <w:rPr>
          <w:rFonts w:ascii="Arial" w:hAnsi="Arial" w:cs="Arial"/>
        </w:rPr>
      </w:pPr>
    </w:p>
    <w:p w14:paraId="290166DD" w14:textId="77777777" w:rsidR="00C75B65" w:rsidRPr="001F6351" w:rsidRDefault="00C75B65" w:rsidP="00C75B65">
      <w:pPr>
        <w:pStyle w:val="Heading3"/>
        <w:jc w:val="both"/>
        <w:rPr>
          <w:rFonts w:ascii="Arial" w:hAnsi="Arial" w:cs="Arial"/>
          <w:sz w:val="22"/>
        </w:rPr>
      </w:pPr>
      <w:bookmarkStart w:id="80" w:name="_Toc237944340"/>
      <w:bookmarkStart w:id="81" w:name="_Toc240143294"/>
      <w:r w:rsidRPr="001F6351">
        <w:rPr>
          <w:rFonts w:ascii="Arial" w:hAnsi="Arial" w:cs="Arial"/>
          <w:sz w:val="22"/>
        </w:rPr>
        <w:lastRenderedPageBreak/>
        <w:t>2.5.3 Policy and System-Level Strategies</w:t>
      </w:r>
      <w:bookmarkEnd w:id="80"/>
      <w:bookmarkEnd w:id="81"/>
    </w:p>
    <w:p w14:paraId="35D3EF6C" w14:textId="77777777" w:rsidR="00C75B65" w:rsidRDefault="00C75B65" w:rsidP="00C75B65">
      <w:pPr>
        <w:spacing w:line="360" w:lineRule="auto"/>
        <w:jc w:val="both"/>
        <w:rPr>
          <w:rFonts w:ascii="Arial" w:hAnsi="Arial" w:cs="Arial"/>
        </w:rPr>
      </w:pPr>
      <w:r>
        <w:rPr>
          <w:rFonts w:ascii="Arial" w:hAnsi="Arial" w:cs="Arial"/>
        </w:rPr>
        <w:t>Digital transformation is now a national strategy for delivering better health services and cutting inequality. With the NHS Long Term Plan (NHS England, 2019), online consultations, digital appointments, and customised treatment are critical for greater access and effectiveness in health care. Data Saves Lives: Reshaping Health and Social Care with Data (DHSC, 2022) encourages the use of digital technology and data in health and social care to enhance care and services so that digitally excluded populations are not neglected. Digital inclusion is fundamental to achieving equitable access to healthcare, as stated in NHS England’s Digital Inclusion Framework (NHS England, 2023), which advises improving infrastructure, helping with digital skills, and creating alternative pathways for those who cannot use digital technology.</w:t>
      </w:r>
    </w:p>
    <w:p w14:paraId="1E94D27C" w14:textId="77777777" w:rsidR="00C75B65" w:rsidRDefault="00C75B65" w:rsidP="00C75B65">
      <w:pPr>
        <w:spacing w:line="360" w:lineRule="auto"/>
        <w:jc w:val="both"/>
        <w:rPr>
          <w:rFonts w:ascii="Arial" w:hAnsi="Arial" w:cs="Arial"/>
        </w:rPr>
      </w:pPr>
      <w:r>
        <w:rPr>
          <w:rFonts w:ascii="Arial" w:hAnsi="Arial" w:cs="Arial"/>
        </w:rPr>
        <w:t>UK policy implementation is inconsistent despite these commitments. The Good Things Foundation (2024) and Age UK (2023) recommend national projects that provide digital infrastructure, cheap internet access, digital skills training, and continuing assistance for digitally excluded people. Mee et al. (2024) show that digital inclusion programs vary geographically according to local resources and organisational interests rather than national policies. Such differences risk reinforcing inequality, especially in socioeconomically challenged places with high digital exclusion rates (Wilson and Brittain, 2022). National policies actively support digital transformation, but little evidence has examined whether these measures increase digital inclusion or older individuals' access to public health and adult social care (Farre et al., 2023).</w:t>
      </w:r>
    </w:p>
    <w:p w14:paraId="4E5BA721" w14:textId="77777777" w:rsidR="00C75B65" w:rsidRDefault="00C75B65" w:rsidP="00C75B65">
      <w:pPr>
        <w:spacing w:line="360" w:lineRule="auto"/>
        <w:jc w:val="both"/>
        <w:rPr>
          <w:rFonts w:ascii="Arial" w:hAnsi="Arial" w:cs="Arial"/>
        </w:rPr>
      </w:pPr>
      <w:r>
        <w:rPr>
          <w:rFonts w:ascii="Arial" w:hAnsi="Arial" w:cs="Arial"/>
        </w:rPr>
        <w:t>Preventing digital exclusion need policy, organisational, and individual coordination to prevent digital exclusion. Personal training can strengthen confidence and digital skills; inclusive service design can broaden access to healthcare, and national policies can set the course and fund it. Individual interventions may not work. Individual capacities integrated with organisational, structural, and policy constraints have, however, been increasingly demonstrated to support digital inclusion (Erku et al., 2023; Good Things Foundation, 2024).</w:t>
      </w:r>
    </w:p>
    <w:p w14:paraId="2D276CCA" w14:textId="77777777" w:rsidR="00C75B65" w:rsidRDefault="00C75B65" w:rsidP="00C75B65">
      <w:pPr>
        <w:spacing w:line="360" w:lineRule="auto"/>
        <w:jc w:val="both"/>
        <w:rPr>
          <w:rFonts w:ascii="Arial" w:hAnsi="Arial" w:cs="Arial"/>
        </w:rPr>
      </w:pPr>
      <w:r>
        <w:rPr>
          <w:rFonts w:ascii="Arial" w:hAnsi="Arial" w:cs="Arial"/>
        </w:rPr>
        <w:t>While current UK policies acknowledge the importance of digital inclusion, there is little evidence on its long-term effectiveness and implementation in public health and adult social care services for older individuals. This evidence gap warrants the qualitative systematic review phase (Page et al., 2021; Aromataris and Munn, 2020).</w:t>
      </w:r>
    </w:p>
    <w:p w14:paraId="5C854604" w14:textId="77777777" w:rsidR="00C75B65" w:rsidRPr="001F6351" w:rsidRDefault="00C75B65" w:rsidP="005E785B">
      <w:pPr>
        <w:pStyle w:val="Heading2"/>
        <w:rPr>
          <w:rFonts w:ascii="Arial" w:hAnsi="Arial" w:cs="Arial"/>
        </w:rPr>
      </w:pPr>
      <w:bookmarkStart w:id="82" w:name="_Toc237944341"/>
      <w:bookmarkStart w:id="83" w:name="_Toc240143295"/>
      <w:r w:rsidRPr="001F6351">
        <w:rPr>
          <w:rFonts w:ascii="Arial" w:hAnsi="Arial" w:cs="Arial"/>
        </w:rPr>
        <w:t>2.6. Theoretical Framework: Helsper's Corresponding Fields Model</w:t>
      </w:r>
      <w:bookmarkEnd w:id="82"/>
      <w:bookmarkEnd w:id="83"/>
      <w:r w:rsidRPr="001F6351">
        <w:rPr>
          <w:rFonts w:ascii="Arial" w:hAnsi="Arial" w:cs="Arial"/>
        </w:rPr>
        <w:t xml:space="preserve"> </w:t>
      </w:r>
    </w:p>
    <w:p w14:paraId="7FDBEFF9" w14:textId="77777777" w:rsidR="00C75B65" w:rsidRDefault="00C75B65" w:rsidP="00C75B65">
      <w:pPr>
        <w:spacing w:line="360" w:lineRule="auto"/>
        <w:jc w:val="both"/>
        <w:rPr>
          <w:rFonts w:ascii="Arial" w:hAnsi="Arial" w:cs="Arial"/>
        </w:rPr>
      </w:pPr>
      <w:r>
        <w:rPr>
          <w:rFonts w:ascii="Arial" w:hAnsi="Arial" w:cs="Arial"/>
        </w:rPr>
        <w:t xml:space="preserve">The purpose of this study was grounded in Helsper's Corresponding Fields Model (CFM) (Helsper, 2012), describing the causes and consequences of digital exclusion and their relationship to social inequality. The model connects digital exclusion to educational, economic, </w:t>
      </w:r>
      <w:r>
        <w:rPr>
          <w:rFonts w:ascii="Arial" w:hAnsi="Arial" w:cs="Arial"/>
        </w:rPr>
        <w:lastRenderedPageBreak/>
        <w:t xml:space="preserve">health and social disparities, instead of being regarded as the standalone effect of limited technological access. (Helsper, 2012; Helsper and Reisdorf, 2017) Consequently, digital exclusion is more down to structural disadvantage than the absence of digital skills or technology usage (Helsper, 2012; Wilson and Brittain, 2022). The Corresponding Fields Model is relevant to this dissertation as it acknowledges the interplay between individual, societal and structural factors affecting digital uptake. (Helsper, 2012; Helsper and Reisdorf, 2017) </w:t>
      </w:r>
    </w:p>
    <w:p w14:paraId="33923292" w14:textId="77777777" w:rsidR="00C75B65" w:rsidRDefault="00C75B65" w:rsidP="00C75B65">
      <w:pPr>
        <w:spacing w:line="360" w:lineRule="auto"/>
        <w:jc w:val="both"/>
        <w:rPr>
          <w:rFonts w:ascii="Arial" w:hAnsi="Arial" w:cs="Arial"/>
        </w:rPr>
      </w:pPr>
      <w:r>
        <w:rPr>
          <w:rFonts w:ascii="Arial" w:hAnsi="Arial" w:cs="Arial"/>
        </w:rPr>
        <w:t xml:space="preserve">Low income, limited access to education, chronic sickness and social isolation may act as barriers to digital involvement of older populations, reducing their access to growing digital public health and social care services (Helsper and Reisdorf, 2017). This is also supported by the data compiled in previous sections, which indicate that socioeconomic disadvantage, levels of health, digital literacy and service design all contribute to digital exclusion in older individuals. (Wilson and Brittain, 2022; Mee et al., 2024; Erku et al., 2023) </w:t>
      </w:r>
    </w:p>
    <w:p w14:paraId="0AAAE27C" w14:textId="77777777" w:rsidR="00C75B65" w:rsidRDefault="00C75B65" w:rsidP="00C75B65">
      <w:pPr>
        <w:spacing w:line="360" w:lineRule="auto"/>
        <w:jc w:val="both"/>
        <w:rPr>
          <w:rFonts w:ascii="Arial" w:hAnsi="Arial" w:cs="Arial"/>
        </w:rPr>
      </w:pPr>
      <w:r>
        <w:rPr>
          <w:rFonts w:ascii="Arial" w:hAnsi="Arial" w:cs="Arial"/>
        </w:rPr>
        <w:t xml:space="preserve">The Corresponding Fields Model's holistic approach to digital inequality is robust. (Helsper, 2012; Helsper and Reisdorf, 2017) Unlike any frameworks focusing on technology access or digital skills, the approach acknowledges the duality of offline and online inequalities. (Helsper, 2012) This wider approach is particularly handy in health and social care, where the organisational practises, affordability and social determinants of health determine access to digital services. (Wilson and Brittain, 2022; Erku et al., 2023; Farre et al., 2023) It combines these interacting characteristics to form a powerful conceptual framework for describing older individuals' complex healthcare system experiences. (Helsper, 2012; Helsper and Reisdorf, 2017) </w:t>
      </w:r>
    </w:p>
    <w:p w14:paraId="58BF618C" w14:textId="77777777" w:rsidR="00C75B65" w:rsidRDefault="00C75B65" w:rsidP="00C75B65">
      <w:pPr>
        <w:spacing w:line="360" w:lineRule="auto"/>
        <w:jc w:val="both"/>
        <w:rPr>
          <w:rFonts w:ascii="Arial" w:hAnsi="Arial" w:cs="Arial"/>
        </w:rPr>
      </w:pPr>
      <w:r>
        <w:rPr>
          <w:rFonts w:ascii="Arial" w:hAnsi="Arial" w:cs="Arial"/>
        </w:rPr>
        <w:t xml:space="preserve">However, the model is not without its limitations. It provides a broad overview of how digital and social inequalities are connected; no way to understand how digital exclusion impacts access to healthcare or how attempts to eradicate inequalities play out at all. (Helsper, 2012; Helsper and Reisdorf, 2017; Wilson and Brittain, 2022) The concept did not encompass remote consultations, patient portals or mobile health applications, as it had developed before the COVID-19 pandemic triggered digital-first healthcare. (Helsper, 2012; Farre et al., 2023; NHS England, 2023) Yet its centrality to digital-social disadvantage continues to be crucial to explaining digital exclusion in contemporary healthcare. </w:t>
      </w:r>
    </w:p>
    <w:p w14:paraId="410E2208" w14:textId="77777777" w:rsidR="00C75B65" w:rsidRDefault="00C75B65" w:rsidP="00C75B65">
      <w:pPr>
        <w:spacing w:line="360" w:lineRule="auto"/>
        <w:jc w:val="both"/>
        <w:rPr>
          <w:rFonts w:ascii="Arial" w:hAnsi="Arial" w:cs="Arial"/>
        </w:rPr>
      </w:pPr>
      <w:r>
        <w:rPr>
          <w:rFonts w:ascii="Arial" w:hAnsi="Arial" w:cs="Arial"/>
        </w:rPr>
        <w:t>Helsper's Corresponding Fields Model fits well with this qualitative systematic review. Providing a coherent and robust framework for synthesising evidence on older adults' experiences with accessing UK public health and social care services and analysing digital exclusion as a holistic social phenomenon through the interplay of individual, organisational, and structural factors. (Helsper, 2012; Helsper and Reisdorf, 2017).</w:t>
      </w:r>
    </w:p>
    <w:p w14:paraId="563C7581" w14:textId="77777777" w:rsidR="00C75B65" w:rsidRPr="001F6351" w:rsidRDefault="00C75B65" w:rsidP="005E785B">
      <w:pPr>
        <w:pStyle w:val="Heading2"/>
        <w:rPr>
          <w:rFonts w:ascii="Arial" w:hAnsi="Arial" w:cs="Arial"/>
        </w:rPr>
      </w:pPr>
      <w:bookmarkStart w:id="84" w:name="_Toc237944342"/>
      <w:bookmarkStart w:id="85" w:name="_Toc240143296"/>
      <w:r w:rsidRPr="001F6351">
        <w:rPr>
          <w:rFonts w:ascii="Arial" w:hAnsi="Arial" w:cs="Arial"/>
        </w:rPr>
        <w:lastRenderedPageBreak/>
        <w:t>2.7. Chapter Summary</w:t>
      </w:r>
      <w:bookmarkEnd w:id="84"/>
      <w:bookmarkEnd w:id="85"/>
    </w:p>
    <w:p w14:paraId="6874C594" w14:textId="77777777" w:rsidR="00C75B65" w:rsidRDefault="00C75B65" w:rsidP="00C75B65">
      <w:pPr>
        <w:spacing w:line="360" w:lineRule="auto"/>
        <w:jc w:val="both"/>
        <w:rPr>
          <w:rFonts w:ascii="Arial" w:hAnsi="Arial" w:cs="Arial"/>
        </w:rPr>
      </w:pPr>
      <w:r>
        <w:rPr>
          <w:rFonts w:ascii="Arial" w:hAnsi="Arial" w:cs="Arial"/>
        </w:rPr>
        <w:t xml:space="preserve">This chapter reviews the literature critically around digital exclusion and access for older people to UK public health and social care, using a range of perspectives. Digital exclusion, according to the review, is influenced by the abilities of people, their health state, their socioeconomic circumstances, and organisational variables as much as access to technology. </w:t>
      </w:r>
    </w:p>
    <w:p w14:paraId="62CCB84C" w14:textId="25297481" w:rsidR="00C75B65" w:rsidRDefault="00C75B65" w:rsidP="00C75B65">
      <w:pPr>
        <w:spacing w:line="360" w:lineRule="auto"/>
        <w:jc w:val="both"/>
        <w:rPr>
          <w:rFonts w:ascii="Arial" w:hAnsi="Arial" w:cs="Arial"/>
        </w:rPr>
      </w:pPr>
      <w:r>
        <w:rPr>
          <w:rFonts w:ascii="Arial" w:hAnsi="Arial" w:cs="Arial"/>
        </w:rPr>
        <w:t xml:space="preserve">It also illustrated that digital health and social care have enhanced the </w:t>
      </w:r>
      <w:r w:rsidR="002C532A">
        <w:rPr>
          <w:rFonts w:ascii="Arial" w:hAnsi="Arial" w:cs="Arial"/>
        </w:rPr>
        <w:t>quality-of-service</w:t>
      </w:r>
      <w:r>
        <w:rPr>
          <w:rFonts w:ascii="Arial" w:hAnsi="Arial" w:cs="Arial"/>
        </w:rPr>
        <w:t xml:space="preserve"> delivery but have introduced new challenges for digitally marginalised groups. The evidence reviewed indicates that digital exclusion underpins health inequalities by constraining equitable exposure to ever more digital services, but that inclusive interventions at the individual, organisational, and policy levels may lessen these inequalities. </w:t>
      </w:r>
    </w:p>
    <w:p w14:paraId="62C72D46" w14:textId="77777777" w:rsidR="00C75B65" w:rsidRDefault="00C75B65" w:rsidP="00C75B65">
      <w:pPr>
        <w:spacing w:line="360" w:lineRule="auto"/>
        <w:jc w:val="both"/>
        <w:rPr>
          <w:rFonts w:ascii="Arial" w:hAnsi="Arial" w:cs="Arial"/>
        </w:rPr>
      </w:pPr>
      <w:r>
        <w:rPr>
          <w:rFonts w:ascii="Arial" w:hAnsi="Arial" w:cs="Arial"/>
        </w:rPr>
        <w:t xml:space="preserve">Yet the experience of using public health and adult social care services in a digital environment for older persons is still scarce. These limitations warrant this qualitative systematic review. </w:t>
      </w:r>
    </w:p>
    <w:p w14:paraId="0E20C554" w14:textId="77777777" w:rsidR="00C75B65" w:rsidRDefault="00C75B65" w:rsidP="00C75B65">
      <w:pPr>
        <w:spacing w:line="360" w:lineRule="auto"/>
        <w:jc w:val="both"/>
        <w:rPr>
          <w:rFonts w:ascii="Arial" w:hAnsi="Arial" w:cs="Arial"/>
        </w:rPr>
      </w:pPr>
      <w:r>
        <w:rPr>
          <w:rFonts w:ascii="Arial" w:hAnsi="Arial" w:cs="Arial"/>
        </w:rPr>
        <w:t>The following chapter presents the structured and transparent approach that was employed to study this evidence.</w:t>
      </w:r>
    </w:p>
    <w:p w14:paraId="350EDB60" w14:textId="77777777" w:rsidR="00C75B65" w:rsidRDefault="00C75B65">
      <w:pPr>
        <w:pStyle w:val="Heading1"/>
        <w:ind w:left="12" w:right="4"/>
        <w:rPr>
          <w:rFonts w:asciiTheme="minorBidi" w:hAnsiTheme="minorBidi" w:cstheme="minorBidi"/>
        </w:rPr>
      </w:pPr>
    </w:p>
    <w:p w14:paraId="00546AF0" w14:textId="77777777" w:rsidR="00C75B65" w:rsidRDefault="00C75B65">
      <w:pPr>
        <w:pStyle w:val="Heading1"/>
        <w:ind w:left="12" w:right="4"/>
        <w:rPr>
          <w:rFonts w:asciiTheme="minorBidi" w:hAnsiTheme="minorBidi" w:cstheme="minorBidi"/>
        </w:rPr>
      </w:pPr>
    </w:p>
    <w:p w14:paraId="5FB04665" w14:textId="77777777" w:rsidR="00C75B65" w:rsidRDefault="00C75B65">
      <w:pPr>
        <w:pStyle w:val="Heading1"/>
        <w:ind w:left="12" w:right="4"/>
        <w:rPr>
          <w:rFonts w:asciiTheme="minorBidi" w:hAnsiTheme="minorBidi" w:cstheme="minorBidi"/>
        </w:rPr>
      </w:pPr>
    </w:p>
    <w:p w14:paraId="1DAE53B7" w14:textId="77777777" w:rsidR="00C75B65" w:rsidRDefault="00C75B65">
      <w:pPr>
        <w:pStyle w:val="Heading1"/>
        <w:ind w:left="12" w:right="4"/>
        <w:rPr>
          <w:rFonts w:asciiTheme="minorBidi" w:hAnsiTheme="minorBidi" w:cstheme="minorBidi"/>
        </w:rPr>
      </w:pPr>
    </w:p>
    <w:p w14:paraId="5D176492" w14:textId="77777777" w:rsidR="00C75B65" w:rsidRDefault="00C75B65">
      <w:pPr>
        <w:pStyle w:val="Heading1"/>
        <w:ind w:left="12" w:right="4"/>
        <w:rPr>
          <w:rFonts w:asciiTheme="minorBidi" w:hAnsiTheme="minorBidi" w:cstheme="minorBidi"/>
        </w:rPr>
      </w:pPr>
    </w:p>
    <w:p w14:paraId="164EE2C7" w14:textId="77777777" w:rsidR="00C75B65" w:rsidRDefault="00C75B65">
      <w:pPr>
        <w:pStyle w:val="Heading1"/>
        <w:ind w:left="12" w:right="4"/>
        <w:rPr>
          <w:rFonts w:asciiTheme="minorBidi" w:hAnsiTheme="minorBidi" w:cstheme="minorBidi"/>
        </w:rPr>
      </w:pPr>
    </w:p>
    <w:p w14:paraId="26E228BA" w14:textId="77777777" w:rsidR="00C75B65" w:rsidRDefault="00C75B65">
      <w:pPr>
        <w:pStyle w:val="Heading1"/>
        <w:ind w:left="12" w:right="4"/>
        <w:rPr>
          <w:rFonts w:asciiTheme="minorBidi" w:hAnsiTheme="minorBidi" w:cstheme="minorBidi"/>
        </w:rPr>
      </w:pPr>
    </w:p>
    <w:p w14:paraId="4A0FCD3D" w14:textId="77777777" w:rsidR="005E785B" w:rsidRDefault="005E785B" w:rsidP="005E785B"/>
    <w:p w14:paraId="7BA413F8" w14:textId="77777777" w:rsidR="005E785B" w:rsidRDefault="005E785B" w:rsidP="005E785B"/>
    <w:p w14:paraId="4E5C6554" w14:textId="77777777" w:rsidR="005E785B" w:rsidRDefault="005E785B" w:rsidP="005E785B"/>
    <w:p w14:paraId="52A70B22" w14:textId="77777777" w:rsidR="005E785B" w:rsidRDefault="005E785B" w:rsidP="005E785B"/>
    <w:p w14:paraId="0AB9F4B9" w14:textId="77777777" w:rsidR="005E785B" w:rsidRDefault="005E785B" w:rsidP="005E785B"/>
    <w:p w14:paraId="39BDDE5A" w14:textId="77777777" w:rsidR="005E785B" w:rsidRDefault="005E785B" w:rsidP="005E785B"/>
    <w:p w14:paraId="7EF1C226" w14:textId="77777777" w:rsidR="005E785B" w:rsidRPr="005E785B" w:rsidRDefault="005E785B" w:rsidP="005E785B"/>
    <w:p w14:paraId="55D9EB7A" w14:textId="77777777" w:rsidR="00C75B65" w:rsidRDefault="00C75B65">
      <w:pPr>
        <w:pStyle w:val="Heading1"/>
        <w:ind w:left="12" w:right="4"/>
        <w:rPr>
          <w:rFonts w:asciiTheme="minorBidi" w:hAnsiTheme="minorBidi" w:cstheme="minorBidi"/>
        </w:rPr>
      </w:pPr>
    </w:p>
    <w:p w14:paraId="380BE545" w14:textId="77777777" w:rsidR="00C75B65" w:rsidRDefault="00C75B65">
      <w:pPr>
        <w:pStyle w:val="Heading1"/>
        <w:ind w:left="12" w:right="4"/>
        <w:rPr>
          <w:rFonts w:asciiTheme="minorBidi" w:hAnsiTheme="minorBidi" w:cstheme="minorBidi"/>
        </w:rPr>
      </w:pPr>
    </w:p>
    <w:p w14:paraId="523AB4EA" w14:textId="242B9BFC" w:rsidR="009F64C5" w:rsidRPr="001F6351" w:rsidRDefault="00DD7AA5">
      <w:pPr>
        <w:pStyle w:val="Heading1"/>
        <w:ind w:left="12" w:right="4"/>
        <w:rPr>
          <w:rFonts w:ascii="Arial" w:hAnsi="Arial" w:cs="Arial"/>
          <w:sz w:val="28"/>
          <w:szCs w:val="28"/>
        </w:rPr>
      </w:pPr>
      <w:bookmarkStart w:id="86" w:name="_Toc240143297"/>
      <w:r w:rsidRPr="001F6351">
        <w:rPr>
          <w:rFonts w:ascii="Arial" w:hAnsi="Arial" w:cs="Arial"/>
          <w:sz w:val="28"/>
          <w:szCs w:val="28"/>
        </w:rPr>
        <w:t xml:space="preserve">Chapter 3: </w:t>
      </w:r>
      <w:r w:rsidR="009F64C5" w:rsidRPr="001F6351">
        <w:rPr>
          <w:rFonts w:ascii="Arial" w:hAnsi="Arial" w:cs="Arial"/>
          <w:sz w:val="28"/>
          <w:szCs w:val="28"/>
        </w:rPr>
        <w:t>Research Methodology</w:t>
      </w:r>
      <w:bookmarkEnd w:id="86"/>
      <w:r w:rsidR="009F64C5" w:rsidRPr="001F6351">
        <w:rPr>
          <w:rFonts w:ascii="Arial" w:hAnsi="Arial" w:cs="Arial"/>
          <w:sz w:val="28"/>
          <w:szCs w:val="28"/>
        </w:rPr>
        <w:t xml:space="preserve"> </w:t>
      </w:r>
      <w:bookmarkEnd w:id="45"/>
    </w:p>
    <w:p w14:paraId="313B54D8" w14:textId="77777777" w:rsidR="009F64C5" w:rsidRDefault="009F64C5">
      <w:pPr>
        <w:spacing w:after="158"/>
        <w:rPr>
          <w:rFonts w:asciiTheme="minorBidi" w:eastAsia="Times New Roman" w:hAnsiTheme="minorBidi"/>
          <w:b/>
        </w:rPr>
      </w:pPr>
      <w:r w:rsidRPr="007F1C8A">
        <w:rPr>
          <w:rFonts w:asciiTheme="minorBidi" w:eastAsia="Times New Roman" w:hAnsiTheme="minorBidi"/>
          <w:b/>
        </w:rPr>
        <w:t xml:space="preserve"> </w:t>
      </w:r>
    </w:p>
    <w:p w14:paraId="506DF692" w14:textId="77777777" w:rsidR="005E785B" w:rsidRPr="001F6351" w:rsidRDefault="005E785B" w:rsidP="005E785B">
      <w:pPr>
        <w:pStyle w:val="Heading2"/>
        <w:rPr>
          <w:rFonts w:ascii="Arial" w:hAnsi="Arial" w:cs="Arial"/>
        </w:rPr>
      </w:pPr>
      <w:bookmarkStart w:id="87" w:name="_Toc237944344"/>
      <w:bookmarkStart w:id="88" w:name="_Toc240143298"/>
      <w:r w:rsidRPr="001F6351">
        <w:rPr>
          <w:rFonts w:ascii="Arial" w:hAnsi="Arial" w:cs="Arial"/>
        </w:rPr>
        <w:t>3.1 Introduction</w:t>
      </w:r>
      <w:bookmarkEnd w:id="87"/>
      <w:bookmarkEnd w:id="88"/>
    </w:p>
    <w:p w14:paraId="25990F84" w14:textId="77777777" w:rsidR="005E785B" w:rsidRDefault="005E785B" w:rsidP="005E785B">
      <w:pPr>
        <w:spacing w:line="360" w:lineRule="auto"/>
        <w:jc w:val="both"/>
        <w:rPr>
          <w:rFonts w:ascii="Arial" w:hAnsi="Arial" w:cs="Arial"/>
        </w:rPr>
      </w:pPr>
      <w:r>
        <w:rPr>
          <w:rFonts w:ascii="Arial" w:hAnsi="Arial" w:cs="Arial"/>
        </w:rPr>
        <w:t xml:space="preserve">This chapter outlines and justifies the methodology used to address digital exclusion and to examine access to public health and social care services for UK seniors aged 65 and over. To have a transparent, reliable, and reproducible research programme, systematic reviews must be informed by the methodologies to be employed (Booth et al., 2022). </w:t>
      </w:r>
    </w:p>
    <w:p w14:paraId="7BF4F193" w14:textId="77777777" w:rsidR="005E785B" w:rsidRDefault="005E785B" w:rsidP="005E785B">
      <w:pPr>
        <w:spacing w:line="360" w:lineRule="auto"/>
        <w:jc w:val="both"/>
        <w:rPr>
          <w:rFonts w:ascii="Arial" w:hAnsi="Arial" w:cs="Arial"/>
        </w:rPr>
      </w:pPr>
      <w:r>
        <w:rPr>
          <w:rFonts w:ascii="Arial" w:hAnsi="Arial" w:cs="Arial"/>
        </w:rPr>
        <w:t xml:space="preserve">The chapter then explains the reason why the research design was chosen and how to select, analyse, and synthesise the evidence. The qualitative systematic review was chosen as it examined older people’s experiences, attitudes, and obstacles to digital public health and social care services and is not about intervention effectiveness. </w:t>
      </w:r>
    </w:p>
    <w:p w14:paraId="7EE47E33" w14:textId="77777777" w:rsidR="005E785B" w:rsidRDefault="005E785B" w:rsidP="005E785B">
      <w:pPr>
        <w:spacing w:line="360" w:lineRule="auto"/>
        <w:jc w:val="both"/>
        <w:rPr>
          <w:rFonts w:ascii="Arial" w:hAnsi="Arial" w:cs="Arial"/>
        </w:rPr>
      </w:pPr>
      <w:r>
        <w:rPr>
          <w:rFonts w:ascii="Arial" w:hAnsi="Arial" w:cs="Arial"/>
        </w:rPr>
        <w:t>To achieve this aim, the review was conducted using interpretivist research and inductive research methodology to identify themes in the research. The review was based on PRISMA 2020 guidelines (Page et al., 2021), used the PICO framework to define the search strategy, evaluated study quality using the Critical Appraisal Skills Programme (CASP) Qualitative Checklist, and synthesised results using Braun and Clarke (2006; 2021) thematic analysis. The chapter concludes with secondary research ethical considerations.</w:t>
      </w:r>
    </w:p>
    <w:p w14:paraId="1ECA56A7" w14:textId="77777777" w:rsidR="005E785B" w:rsidRDefault="005E785B" w:rsidP="005E785B">
      <w:pPr>
        <w:spacing w:line="360" w:lineRule="auto"/>
        <w:jc w:val="both"/>
        <w:rPr>
          <w:rFonts w:ascii="Arial" w:hAnsi="Arial" w:cs="Arial"/>
        </w:rPr>
      </w:pPr>
    </w:p>
    <w:p w14:paraId="536AFC57" w14:textId="77777777" w:rsidR="005E785B" w:rsidRPr="001F6351" w:rsidRDefault="005E785B" w:rsidP="005E785B">
      <w:pPr>
        <w:pStyle w:val="Heading2"/>
        <w:rPr>
          <w:rFonts w:ascii="Arial" w:hAnsi="Arial" w:cs="Arial"/>
        </w:rPr>
      </w:pPr>
      <w:bookmarkStart w:id="89" w:name="_Toc237944345"/>
      <w:bookmarkStart w:id="90" w:name="_Toc240143299"/>
      <w:r w:rsidRPr="001F6351">
        <w:rPr>
          <w:rFonts w:ascii="Arial" w:hAnsi="Arial" w:cs="Arial"/>
        </w:rPr>
        <w:t>3.2 Research Design</w:t>
      </w:r>
      <w:bookmarkEnd w:id="89"/>
      <w:bookmarkEnd w:id="90"/>
    </w:p>
    <w:p w14:paraId="4A5F6DDF" w14:textId="77777777" w:rsidR="005E785B" w:rsidRDefault="005E785B" w:rsidP="005E785B">
      <w:pPr>
        <w:spacing w:line="360" w:lineRule="auto"/>
        <w:jc w:val="both"/>
        <w:rPr>
          <w:rFonts w:ascii="Arial" w:hAnsi="Arial" w:cs="Arial"/>
        </w:rPr>
      </w:pPr>
      <w:r>
        <w:rPr>
          <w:rFonts w:ascii="Arial" w:hAnsi="Arial" w:cs="Arial"/>
        </w:rPr>
        <w:t>The most suitable research design for this study was a systematic assessment of digital exclusion and access to public health and social care services among UK individuals 65 and older. The systematic review approach is a methodical, transparent, and reproducible way to discover, critically appraise, and synthesise evidence to address a specific research question (Booth, Sutton and Papaioannou, 2022). Systematic reviews reduce selection bias, improve methodological transparency, and improve reliability and reproducibility compared to narrative literature reviews (Page et al., 2021; Aromataris and Munn, 2020).</w:t>
      </w:r>
    </w:p>
    <w:p w14:paraId="4A06DCCD" w14:textId="77777777" w:rsidR="005E785B" w:rsidRDefault="005E785B" w:rsidP="005E785B">
      <w:pPr>
        <w:spacing w:line="360" w:lineRule="auto"/>
        <w:jc w:val="both"/>
        <w:rPr>
          <w:rFonts w:ascii="Arial" w:hAnsi="Arial" w:cs="Arial"/>
        </w:rPr>
      </w:pPr>
      <w:r>
        <w:rPr>
          <w:rFonts w:ascii="Arial" w:hAnsi="Arial" w:cs="Arial"/>
        </w:rPr>
        <w:t xml:space="preserve">This research considered older adults’ experiences, perceptions and barriers to digitally delivered public health and social care services, making a systematic review of these services appropriate. Qualitative data can show how people understand and feel complicated social processes that quantitative methods cannot (Lockwood et al., 2020; Creswell and Creswell, 2018). Qualitative studies also provide insight into how digital literacy, confidence, trust, </w:t>
      </w:r>
      <w:r>
        <w:rPr>
          <w:rFonts w:ascii="Arial" w:hAnsi="Arial" w:cs="Arial"/>
        </w:rPr>
        <w:lastRenderedPageBreak/>
        <w:t>accessibility, and support needs affect older people’s involvement with digital health services (Lockwood et al., 2020).</w:t>
      </w:r>
    </w:p>
    <w:p w14:paraId="045187AF" w14:textId="77777777" w:rsidR="005E785B" w:rsidRDefault="005E785B" w:rsidP="005E785B">
      <w:pPr>
        <w:spacing w:line="360" w:lineRule="auto"/>
        <w:jc w:val="both"/>
        <w:rPr>
          <w:rFonts w:ascii="Arial" w:hAnsi="Arial" w:cs="Arial"/>
        </w:rPr>
      </w:pPr>
      <w:r>
        <w:rPr>
          <w:rFonts w:ascii="Arial" w:hAnsi="Arial" w:cs="Arial"/>
        </w:rPr>
        <w:t>Alternative research designs were considered; however, they were less appropriate for addressing the experiential focus of the research question. Interviews and focus groups were primary qualitative studies that could have provided rich first-hand recollections but would have taken time and money and limited sample size (Creswell and Creswell, 2018). A qualitative systematic review builds on several qualitative studies to better understand older persons' experiences across health and social care settings (Booth, Sutton and Papaioannou, 2022). A quantitative systematic review or meta-analysis was considered less appropriate because the research question focused on synthesising lived experiences, perceptions and barriers rather than statistically measurable outcomes (Aromataris and Munn, 2020).</w:t>
      </w:r>
    </w:p>
    <w:p w14:paraId="46CEE492" w14:textId="77777777" w:rsidR="005E785B" w:rsidRDefault="005E785B" w:rsidP="005E785B">
      <w:pPr>
        <w:spacing w:line="360" w:lineRule="auto"/>
        <w:jc w:val="both"/>
        <w:rPr>
          <w:rFonts w:ascii="Arial" w:hAnsi="Arial" w:cs="Arial"/>
        </w:rPr>
      </w:pPr>
      <w:r>
        <w:rPr>
          <w:rFonts w:ascii="Arial" w:hAnsi="Arial" w:cs="Arial"/>
        </w:rPr>
        <w:t>The chosen research design presents both strengths and limitations. Rather than conducting a single qualitative study on the participants, a qualitative systematic review can synthesise information from studies (Booth, Sutton and Papaioannou, 2022). Such procedures can increase transparency and reduce the selection of research (Page et al., 2021). Still, the quality and reporting of the original research, as well as evidence errors, can have a negative effect on the review findings (Lockwood et al., 2020). Also, the limited scope of the review to UK English-language studies may dilute the international evidence and limit transferability. However, the UK restriction was acceptable because the research topic was UK health and social care access.</w:t>
      </w:r>
    </w:p>
    <w:p w14:paraId="0A237E06" w14:textId="77777777" w:rsidR="005E785B" w:rsidRDefault="005E785B" w:rsidP="005E785B">
      <w:pPr>
        <w:spacing w:line="360" w:lineRule="auto"/>
        <w:jc w:val="both"/>
        <w:rPr>
          <w:rFonts w:ascii="Arial" w:hAnsi="Arial" w:cs="Arial"/>
        </w:rPr>
      </w:pPr>
      <w:r>
        <w:rPr>
          <w:rFonts w:ascii="Arial" w:hAnsi="Arial" w:cs="Arial"/>
        </w:rPr>
        <w:t>Also, qualitative systematic reviews integrate findings from multiple studies, discover patterns, seek to fill gaps in the literature and develop research priorities for future work, and support evidence-based policy and practice. As well as this, synthesising qualitative evidence on older people's access to care is crucial in the UK, where they have been experiencing a digital revolution in health and social care. As such, in this dissertation, a qualitative systematic review was the most robust and appropriate methodology. (Lockwood et al., 2020).</w:t>
      </w:r>
    </w:p>
    <w:p w14:paraId="0EA65C83" w14:textId="77777777" w:rsidR="005E785B" w:rsidRPr="001F6351" w:rsidRDefault="005E785B" w:rsidP="005E785B">
      <w:pPr>
        <w:pStyle w:val="Heading2"/>
        <w:rPr>
          <w:rFonts w:ascii="Arial" w:hAnsi="Arial" w:cs="Arial"/>
        </w:rPr>
      </w:pPr>
      <w:bookmarkStart w:id="91" w:name="_Toc237944346"/>
      <w:bookmarkStart w:id="92" w:name="_Toc240143300"/>
      <w:r w:rsidRPr="001F6351">
        <w:rPr>
          <w:rFonts w:ascii="Arial" w:hAnsi="Arial" w:cs="Arial"/>
        </w:rPr>
        <w:t>3.3 Research Philosophy</w:t>
      </w:r>
      <w:bookmarkEnd w:id="91"/>
      <w:bookmarkEnd w:id="92"/>
    </w:p>
    <w:p w14:paraId="1F37C723" w14:textId="77777777" w:rsidR="005E785B" w:rsidRDefault="005E785B" w:rsidP="005E785B">
      <w:pPr>
        <w:spacing w:line="360" w:lineRule="auto"/>
        <w:jc w:val="both"/>
        <w:rPr>
          <w:rFonts w:ascii="Arial" w:hAnsi="Arial" w:cs="Arial"/>
        </w:rPr>
      </w:pPr>
      <w:r>
        <w:rPr>
          <w:rFonts w:ascii="Arial" w:hAnsi="Arial" w:cs="Arial"/>
        </w:rPr>
        <w:t xml:space="preserve">This study uses interpretivism to investigate how people construct and interpret social reality (Saunders et al., 2023). Contrary to positivism, which assumes that reality is objective and measured by facts, interpretivism holds that reality is socially produced by people’s experiences, beliefs and relationships (Creswell and Creswell, 2018). Thus, interpretivist research looks at how people define and interpret their experiences as opposed to universal laws or causal links. As this study seeks to understand how older people in the UK perceive digital exclusion in relation to public health and social care services, we chose an interpretivist philosophy. </w:t>
      </w:r>
    </w:p>
    <w:p w14:paraId="39DF505F" w14:textId="77777777" w:rsidR="005E785B" w:rsidRDefault="005E785B" w:rsidP="005E785B">
      <w:pPr>
        <w:spacing w:line="360" w:lineRule="auto"/>
        <w:jc w:val="both"/>
        <w:rPr>
          <w:rFonts w:ascii="Arial" w:hAnsi="Arial" w:cs="Arial"/>
        </w:rPr>
      </w:pPr>
      <w:r>
        <w:rPr>
          <w:rFonts w:ascii="Arial" w:hAnsi="Arial" w:cs="Arial"/>
        </w:rPr>
        <w:lastRenderedPageBreak/>
        <w:t xml:space="preserve">Ontologically, this study is relativist in the sense that we know reality is not a single objective thing but is often perceived and interpreted differently by individuals based on their social circumstances and lived experiences (Saunders, Lewis and Thornhill, 2023). This is important in the context of digital exclusion, since older people may experience the same digital health or social care service differently due to differences in digital capabilities, confidence, socioeconomic status, and support. </w:t>
      </w:r>
    </w:p>
    <w:p w14:paraId="471B315D" w14:textId="77777777" w:rsidR="005E785B" w:rsidRDefault="005E785B" w:rsidP="005E785B">
      <w:pPr>
        <w:spacing w:line="360" w:lineRule="auto"/>
        <w:jc w:val="both"/>
        <w:rPr>
          <w:rFonts w:ascii="Arial" w:hAnsi="Arial" w:cs="Arial"/>
        </w:rPr>
      </w:pPr>
      <w:r>
        <w:rPr>
          <w:rFonts w:ascii="Arial" w:hAnsi="Arial" w:cs="Arial"/>
        </w:rPr>
        <w:t>Epistemologically, the study is interpretivist in nature, and its emphasis is on subjective understanding and perception of experiences rather than objective measurement (Creswell &amp; Creswell, 2018; Saunders, Lewis and Thornhill, 2023). It is this position that enables qualitative evidence of older people’s digital exclusion experiences to be combined.</w:t>
      </w:r>
    </w:p>
    <w:p w14:paraId="7941A95A" w14:textId="77777777" w:rsidR="005E785B" w:rsidRDefault="005E785B" w:rsidP="005E785B">
      <w:pPr>
        <w:spacing w:line="360" w:lineRule="auto"/>
        <w:jc w:val="both"/>
        <w:rPr>
          <w:rFonts w:ascii="Arial" w:hAnsi="Arial" w:cs="Arial"/>
        </w:rPr>
      </w:pPr>
      <w:r>
        <w:rPr>
          <w:rFonts w:ascii="Arial" w:hAnsi="Arial" w:cs="Arial"/>
        </w:rPr>
        <w:t>Qualitative evidence and thematic analysis are compatible with interpretivism. Interpretivism is well suited for finding meaning in the data because the research in this review is based on qualitative observations of people’s opinions and life experiences. In contrast, the interdependence of research philosophy, design and analytics helps to enhance methodological coherence and study credibility (Saunders et al., 2023).</w:t>
      </w:r>
    </w:p>
    <w:p w14:paraId="670AE977" w14:textId="77777777" w:rsidR="005E785B" w:rsidRPr="001F6351" w:rsidRDefault="005E785B" w:rsidP="005E785B">
      <w:pPr>
        <w:pStyle w:val="Heading2"/>
        <w:rPr>
          <w:rFonts w:ascii="Arial" w:hAnsi="Arial" w:cs="Arial"/>
        </w:rPr>
      </w:pPr>
      <w:bookmarkStart w:id="93" w:name="_Toc237944347"/>
      <w:bookmarkStart w:id="94" w:name="_Toc240143301"/>
      <w:r w:rsidRPr="001F6351">
        <w:rPr>
          <w:rFonts w:ascii="Arial" w:hAnsi="Arial" w:cs="Arial"/>
        </w:rPr>
        <w:t>3.4 Research Approach</w:t>
      </w:r>
      <w:bookmarkEnd w:id="93"/>
      <w:bookmarkEnd w:id="94"/>
    </w:p>
    <w:p w14:paraId="28AB592B" w14:textId="77777777" w:rsidR="005E785B" w:rsidRDefault="005E785B" w:rsidP="005E785B">
      <w:pPr>
        <w:spacing w:line="360" w:lineRule="auto"/>
        <w:jc w:val="both"/>
        <w:rPr>
          <w:rFonts w:ascii="Arial" w:hAnsi="Arial" w:cs="Arial"/>
        </w:rPr>
      </w:pPr>
      <w:r>
        <w:rPr>
          <w:rFonts w:ascii="Arial" w:hAnsi="Arial" w:cs="Arial"/>
        </w:rPr>
        <w:t xml:space="preserve">An instructive research approach was adopted to reveal patterns, concepts and themes in the data rather than testing hypotheses. Qualitative research is often based on inductive methodologies that examine participants’ experiences and produce evidence-based conclusions (Saunders et al., 2023). Induction allows researchers to conclude from evidence rather than testing a theory (Creswell and Creswell, 2018). </w:t>
      </w:r>
    </w:p>
    <w:p w14:paraId="50887F6B" w14:textId="77777777" w:rsidR="005E785B" w:rsidRDefault="005E785B" w:rsidP="005E785B">
      <w:pPr>
        <w:spacing w:line="360" w:lineRule="auto"/>
        <w:jc w:val="both"/>
        <w:rPr>
          <w:rFonts w:ascii="Arial" w:hAnsi="Arial" w:cs="Arial"/>
        </w:rPr>
      </w:pPr>
      <w:r>
        <w:rPr>
          <w:rFonts w:ascii="Arial" w:hAnsi="Arial" w:cs="Arial"/>
        </w:rPr>
        <w:t xml:space="preserve">In this study, older people in the UK face digital exclusion when using public health and social care services; thus, an inductive approach was relevant. In the research, there are limitations such as low digital literacy, low confidence, accessibility and socio-economic inequality. However, the importance and interplay of the characteristics vary from place to place. </w:t>
      </w:r>
    </w:p>
    <w:p w14:paraId="1F8CF993" w14:textId="77777777" w:rsidR="005E785B" w:rsidRDefault="005E785B" w:rsidP="005E785B">
      <w:pPr>
        <w:spacing w:line="360" w:lineRule="auto"/>
        <w:jc w:val="both"/>
        <w:rPr>
          <w:rFonts w:ascii="Arial" w:hAnsi="Arial" w:cs="Arial"/>
        </w:rPr>
      </w:pPr>
      <w:r>
        <w:rPr>
          <w:rFonts w:ascii="Arial" w:hAnsi="Arial" w:cs="Arial"/>
        </w:rPr>
        <w:t xml:space="preserve">With a rigorous integration of qualitative findings from the included research, an inductive technique was used to identify themes and not to categorise them. Braun and Clarke’s (2006; 2021) reflexive thematic analysis helps researchers to identify patterns in the meaning through the interaction of data, which is why the induction method was selected in this study. </w:t>
      </w:r>
    </w:p>
    <w:p w14:paraId="7E4F3DBD" w14:textId="77777777" w:rsidR="005E785B" w:rsidRDefault="005E785B" w:rsidP="005E785B">
      <w:pPr>
        <w:spacing w:line="360" w:lineRule="auto"/>
        <w:jc w:val="both"/>
        <w:rPr>
          <w:rFonts w:ascii="Arial" w:hAnsi="Arial" w:cs="Arial"/>
        </w:rPr>
      </w:pPr>
      <w:r>
        <w:rPr>
          <w:rFonts w:ascii="Arial" w:hAnsi="Arial" w:cs="Arial"/>
        </w:rPr>
        <w:t>The inductive approach allows themes to emerge from the research, which in turn gives it credibility and makes sure the findings are consistent with what older persons experience in the selected studies. (Braun and Clarke’s 2006; 2021)</w:t>
      </w:r>
    </w:p>
    <w:p w14:paraId="4100647C" w14:textId="77777777" w:rsidR="005E785B" w:rsidRDefault="005E785B" w:rsidP="005E785B">
      <w:pPr>
        <w:spacing w:line="360" w:lineRule="auto"/>
        <w:jc w:val="both"/>
        <w:rPr>
          <w:rFonts w:ascii="Arial" w:hAnsi="Arial" w:cs="Arial"/>
        </w:rPr>
      </w:pPr>
    </w:p>
    <w:p w14:paraId="471BC762" w14:textId="77777777" w:rsidR="005E785B" w:rsidRPr="001F6351" w:rsidRDefault="005E785B" w:rsidP="005E785B">
      <w:pPr>
        <w:pStyle w:val="Heading2"/>
        <w:rPr>
          <w:rFonts w:ascii="Arial" w:hAnsi="Arial" w:cs="Arial"/>
        </w:rPr>
      </w:pPr>
      <w:bookmarkStart w:id="95" w:name="_Toc237944348"/>
      <w:bookmarkStart w:id="96" w:name="_Toc240143302"/>
      <w:r w:rsidRPr="001F6351">
        <w:rPr>
          <w:rFonts w:ascii="Arial" w:hAnsi="Arial" w:cs="Arial"/>
        </w:rPr>
        <w:lastRenderedPageBreak/>
        <w:t>3.5 Systematic Review Method</w:t>
      </w:r>
      <w:bookmarkEnd w:id="95"/>
      <w:bookmarkEnd w:id="96"/>
    </w:p>
    <w:p w14:paraId="0FBCC861" w14:textId="77777777" w:rsidR="005E785B" w:rsidRDefault="005E785B" w:rsidP="005E785B">
      <w:pPr>
        <w:spacing w:line="360" w:lineRule="auto"/>
        <w:jc w:val="both"/>
        <w:rPr>
          <w:rFonts w:ascii="Arial" w:hAnsi="Arial" w:cs="Arial"/>
        </w:rPr>
      </w:pPr>
      <w:r>
        <w:rPr>
          <w:rFonts w:ascii="Arial" w:hAnsi="Arial" w:cs="Arial"/>
        </w:rPr>
        <w:t xml:space="preserve">A qualitative systematic review was conducted to locate, critically appraise and synthesise studies on digital exclusion and access to public health and social care services for UK persons 65 and older. The structure and transparency of systematic reviews reduce selection bias and increase reliability and reproducibility (Booth et al., 2022). The systematic reviews utilise specific methods to identify, analyse and synthesise evidence (Aromataris and Munn, 2020). In the literature analysis, unsystematic research selection is used. </w:t>
      </w:r>
    </w:p>
    <w:p w14:paraId="585FF98B" w14:textId="77777777" w:rsidR="005E785B" w:rsidRDefault="005E785B" w:rsidP="005E785B">
      <w:pPr>
        <w:spacing w:line="360" w:lineRule="auto"/>
        <w:jc w:val="both"/>
        <w:rPr>
          <w:rFonts w:ascii="Arial" w:hAnsi="Arial" w:cs="Arial"/>
        </w:rPr>
      </w:pPr>
      <w:r>
        <w:rPr>
          <w:rFonts w:ascii="Arial" w:hAnsi="Arial" w:cs="Arial"/>
        </w:rPr>
        <w:t xml:space="preserve">According to Page et al. (2021), the review followed PRISMA 2020. PRISMA was created to improve systematic review reporting in healthcare, but its principles are also used in qualitative evidence syntheses to encourage transparency in study identification, screening, eligibility evaluation, and inclusion decisions. A systematic description of each stage of the review process was done using PRISMA methodology to provide a robust audit trail which supports the credibility and reproducibility of a study in a more accurate way. </w:t>
      </w:r>
    </w:p>
    <w:p w14:paraId="74F52E32" w14:textId="77777777" w:rsidR="005E785B" w:rsidRDefault="005E785B" w:rsidP="005E785B">
      <w:pPr>
        <w:spacing w:line="360" w:lineRule="auto"/>
        <w:jc w:val="both"/>
        <w:rPr>
          <w:rFonts w:ascii="Arial" w:hAnsi="Arial" w:cs="Arial"/>
        </w:rPr>
      </w:pPr>
      <w:r>
        <w:rPr>
          <w:rFonts w:ascii="Arial" w:hAnsi="Arial" w:cs="Arial"/>
        </w:rPr>
        <w:t xml:space="preserve">The review was sequence-based. A search strategy was prepared using phrases and eligibility criteria. After finding relevant papers in electronic databases, title and abstract screening and full-text assessment were done along with inclusion and exclusion criteria. </w:t>
      </w:r>
    </w:p>
    <w:p w14:paraId="7CFA3929" w14:textId="77777777" w:rsidR="005E785B" w:rsidRDefault="005E785B" w:rsidP="005E785B">
      <w:pPr>
        <w:spacing w:line="360" w:lineRule="auto"/>
        <w:jc w:val="both"/>
        <w:rPr>
          <w:rFonts w:ascii="Arial" w:hAnsi="Arial" w:cs="Arial"/>
        </w:rPr>
      </w:pPr>
      <w:r>
        <w:rPr>
          <w:rFonts w:ascii="Arial" w:hAnsi="Arial" w:cs="Arial"/>
        </w:rPr>
        <w:t xml:space="preserve">The included studies were verified as quality studies based on the Critical Appraisal Skills Programme (CASP) Qualitative Checklist (2018). Braun and Clarke's (2006; 2021) reflexive thematic analysis was applied to confirm evidence-based patterns and themes. </w:t>
      </w:r>
    </w:p>
    <w:p w14:paraId="266FC39F" w14:textId="77777777" w:rsidR="005E785B" w:rsidRDefault="005E785B" w:rsidP="005E785B">
      <w:pPr>
        <w:spacing w:line="360" w:lineRule="auto"/>
        <w:jc w:val="both"/>
        <w:rPr>
          <w:rFonts w:ascii="Arial" w:hAnsi="Arial" w:cs="Arial"/>
        </w:rPr>
      </w:pPr>
      <w:r>
        <w:rPr>
          <w:rFonts w:ascii="Arial" w:hAnsi="Arial" w:cs="Arial"/>
        </w:rPr>
        <w:t>In this study, a systematic review methodology was employed to ensure the level of methodological rigour and to build well-rounded qualitative evidence for digital exclusion in older people in the UK.</w:t>
      </w:r>
    </w:p>
    <w:p w14:paraId="28B069A1" w14:textId="77777777" w:rsidR="005E785B" w:rsidRPr="001F6351" w:rsidRDefault="005E785B" w:rsidP="005E785B">
      <w:pPr>
        <w:pStyle w:val="Heading2"/>
        <w:rPr>
          <w:rFonts w:ascii="Arial" w:hAnsi="Arial" w:cs="Arial"/>
        </w:rPr>
      </w:pPr>
      <w:bookmarkStart w:id="97" w:name="_Toc237944349"/>
      <w:bookmarkStart w:id="98" w:name="_Toc240143303"/>
      <w:r w:rsidRPr="001F6351">
        <w:rPr>
          <w:rFonts w:ascii="Arial" w:hAnsi="Arial" w:cs="Arial"/>
        </w:rPr>
        <w:t>3.6 Search Strategy</w:t>
      </w:r>
      <w:bookmarkEnd w:id="97"/>
      <w:bookmarkEnd w:id="98"/>
    </w:p>
    <w:p w14:paraId="12D1082D" w14:textId="77777777" w:rsidR="005E785B" w:rsidRDefault="005E785B" w:rsidP="005E785B">
      <w:pPr>
        <w:spacing w:line="360" w:lineRule="auto"/>
        <w:jc w:val="both"/>
        <w:rPr>
          <w:rFonts w:ascii="Arial" w:hAnsi="Arial" w:cs="Arial"/>
        </w:rPr>
      </w:pPr>
      <w:r>
        <w:rPr>
          <w:rFonts w:ascii="Arial" w:hAnsi="Arial" w:cs="Arial"/>
        </w:rPr>
        <w:t xml:space="preserve">They developed a systematic search strategy to find qualitative studies relevant to the study question. Systematic, transparent and reproducible search methods were applied to identify all relevant research on digital exclusion and access to public health and social care services for older UK people. To avoid publication bias and to build a more comprehensive evidence base, systematic reviews are necessary (Booth et al., 2022). </w:t>
      </w:r>
    </w:p>
    <w:p w14:paraId="78337325" w14:textId="77777777" w:rsidR="005E785B" w:rsidRDefault="005E785B" w:rsidP="005E785B">
      <w:pPr>
        <w:spacing w:line="360" w:lineRule="auto"/>
        <w:jc w:val="both"/>
        <w:rPr>
          <w:rFonts w:ascii="Arial" w:hAnsi="Arial" w:cs="Arial"/>
        </w:rPr>
      </w:pPr>
      <w:r>
        <w:rPr>
          <w:rFonts w:ascii="Arial" w:hAnsi="Arial" w:cs="Arial"/>
        </w:rPr>
        <w:t xml:space="preserve">This qualitative evaluation was adapted to guide the search strategy in the form of PICO (Population, Intervention/Issue, Comparison and Outcome). PICO can help to assess key themes in qualitative evidence syntheses (Methley et al., 2014). It is typically associated with quantitative and intervention-based research. UK adults 65 and older were studied for digital exclusion and the use of digitally delivered public health and social care services in this study. </w:t>
      </w:r>
      <w:r>
        <w:rPr>
          <w:rFonts w:ascii="Arial" w:hAnsi="Arial" w:cs="Arial"/>
        </w:rPr>
        <w:lastRenderedPageBreak/>
        <w:t xml:space="preserve">The review looked at experiences, not interventions, and the result was barriers, facilitators and experiences of accessing services. </w:t>
      </w:r>
    </w:p>
    <w:p w14:paraId="68D5599C" w14:textId="77777777" w:rsidR="005E785B" w:rsidRDefault="005E785B" w:rsidP="005E785B">
      <w:pPr>
        <w:spacing w:line="360" w:lineRule="auto"/>
        <w:jc w:val="both"/>
        <w:rPr>
          <w:rFonts w:ascii="Arial" w:hAnsi="Arial" w:cs="Arial"/>
        </w:rPr>
      </w:pPr>
      <w:r>
        <w:rPr>
          <w:rFonts w:ascii="Arial" w:hAnsi="Arial" w:cs="Arial"/>
        </w:rPr>
        <w:t xml:space="preserve">Scopus and Web of Science were chosen for health, social care, ageing and digital technologies due to their diverse coverage. Google Scholar was used to expand retrieval across fields and find relevant literature not found in the main database searches (Bramer et al., 2017; Gusenbauer and Haddaway, 2020). This combination was considered appropriate because digital exclusion is a multidisciplinary issue involving health, social, technological and behavioural factors. </w:t>
      </w:r>
    </w:p>
    <w:p w14:paraId="5BDBA996" w14:textId="77777777" w:rsidR="005E785B" w:rsidRDefault="005E785B" w:rsidP="005E785B">
      <w:pPr>
        <w:spacing w:line="360" w:lineRule="auto"/>
        <w:jc w:val="both"/>
        <w:rPr>
          <w:rFonts w:ascii="Arial" w:hAnsi="Arial" w:cs="Arial"/>
        </w:rPr>
      </w:pPr>
      <w:r>
        <w:rPr>
          <w:rFonts w:ascii="Arial" w:hAnsi="Arial" w:cs="Arial"/>
        </w:rPr>
        <w:t>To enhance the relevance of retrieved information, search ideas were combined using keywords and Boolean operators (AND and OR). To improve search sensitivity and minimise the risk that relevant studies may be overlooked, population-related search phrases were used for older adults, such as "older adults," "older people," elderly, and senior (Booth, Sutton, and Papaioannou, 2022). Search phrases with "digital exclusion," "digital divide," "digital literacy," "healthcare," "social care," "digital health," and "UK" were also used.</w:t>
      </w:r>
    </w:p>
    <w:p w14:paraId="1505B942" w14:textId="77777777" w:rsidR="005E785B" w:rsidRDefault="005E785B" w:rsidP="005E785B">
      <w:pPr>
        <w:spacing w:line="360" w:lineRule="auto"/>
        <w:jc w:val="both"/>
        <w:rPr>
          <w:rFonts w:ascii="Arial" w:hAnsi="Arial" w:cs="Arial"/>
        </w:rPr>
      </w:pPr>
      <w:r>
        <w:rPr>
          <w:rFonts w:ascii="Arial" w:hAnsi="Arial" w:cs="Arial"/>
        </w:rPr>
        <w:t xml:space="preserve">Truncation and phrase searching were used to increase search sensitivity. We restricted the search to peer-reviewed English studies published between 2020 and 2025 to reflect UK digital service delivery. After searching in the databases, duplicate records were removed, and the other studies were looked at for eligibility. </w:t>
      </w:r>
    </w:p>
    <w:p w14:paraId="17A0E3AF" w14:textId="6F7D1E48" w:rsidR="005E785B" w:rsidRDefault="005E785B" w:rsidP="005E785B">
      <w:pPr>
        <w:spacing w:line="360" w:lineRule="auto"/>
        <w:jc w:val="both"/>
      </w:pPr>
      <w:r>
        <w:rPr>
          <w:rFonts w:ascii="Arial" w:hAnsi="Arial" w:cs="Arial"/>
          <w:b/>
          <w:bCs/>
        </w:rPr>
        <w:t>Table 3.1:</w:t>
      </w:r>
      <w:r>
        <w:rPr>
          <w:rFonts w:ascii="Arial" w:hAnsi="Arial" w:cs="Arial"/>
        </w:rPr>
        <w:t xml:space="preserve"> Summary of the search strategy used to identify eligible studies, which will be found in Appendix </w:t>
      </w:r>
      <w:r>
        <w:rPr>
          <w:rFonts w:ascii="Arial" w:hAnsi="Arial" w:cs="Arial"/>
        </w:rPr>
        <w:t>1</w:t>
      </w:r>
      <w:r>
        <w:rPr>
          <w:rFonts w:ascii="Arial" w:hAnsi="Arial" w:cs="Arial"/>
        </w:rPr>
        <w:t>.</w:t>
      </w:r>
    </w:p>
    <w:p w14:paraId="124B67B9" w14:textId="77777777" w:rsidR="005E785B" w:rsidRDefault="005E785B" w:rsidP="005E785B">
      <w:pPr>
        <w:spacing w:line="360" w:lineRule="auto"/>
        <w:jc w:val="both"/>
        <w:rPr>
          <w:rFonts w:ascii="Arial" w:hAnsi="Arial" w:cs="Arial"/>
        </w:rPr>
      </w:pPr>
    </w:p>
    <w:p w14:paraId="71D6F20E" w14:textId="77777777" w:rsidR="005E785B" w:rsidRPr="001F6351" w:rsidRDefault="005E785B" w:rsidP="005E785B">
      <w:pPr>
        <w:pStyle w:val="Heading2"/>
        <w:rPr>
          <w:rFonts w:ascii="Arial" w:hAnsi="Arial" w:cs="Arial"/>
        </w:rPr>
      </w:pPr>
      <w:bookmarkStart w:id="99" w:name="_Toc237944350"/>
      <w:bookmarkStart w:id="100" w:name="_Toc240143304"/>
      <w:r w:rsidRPr="001F6351">
        <w:rPr>
          <w:rFonts w:ascii="Arial" w:hAnsi="Arial" w:cs="Arial"/>
        </w:rPr>
        <w:t>3.7 Eligibility Criteria</w:t>
      </w:r>
      <w:bookmarkEnd w:id="99"/>
      <w:bookmarkEnd w:id="100"/>
    </w:p>
    <w:p w14:paraId="5E10F8B9" w14:textId="77777777" w:rsidR="005E785B" w:rsidRDefault="005E785B" w:rsidP="005E785B">
      <w:pPr>
        <w:spacing w:line="360" w:lineRule="auto"/>
        <w:jc w:val="both"/>
        <w:rPr>
          <w:rFonts w:ascii="Arial" w:hAnsi="Arial" w:cs="Arial"/>
        </w:rPr>
      </w:pPr>
      <w:r>
        <w:rPr>
          <w:rFonts w:ascii="Arial" w:hAnsi="Arial" w:cs="Arial"/>
        </w:rPr>
        <w:t xml:space="preserve">Inclusion and exclusion criteria were established before the literature search and applied throughout the screening process to ensure the review was in line with the study objectives. Systematic reviews are based on criteria of eligibility to be more transparent, eliminate selection bias and to select studies based on objective criteria and not researcher preferences (Booth et al., 2022). </w:t>
      </w:r>
    </w:p>
    <w:p w14:paraId="4C22B1F0" w14:textId="77777777" w:rsidR="005E785B" w:rsidRDefault="005E785B" w:rsidP="005E785B">
      <w:pPr>
        <w:spacing w:line="360" w:lineRule="auto"/>
        <w:jc w:val="both"/>
        <w:rPr>
          <w:rFonts w:ascii="Arial" w:hAnsi="Arial" w:cs="Arial"/>
        </w:rPr>
      </w:pPr>
      <w:r>
        <w:rPr>
          <w:rFonts w:ascii="Arial" w:hAnsi="Arial" w:cs="Arial"/>
        </w:rPr>
        <w:t xml:space="preserve">The inclusion criteria included studies on digital exclusion and public health and social care access for UK seniors aged 65 and older. To ensure that research in 2020-2025 was consistent with modern digital healthcare, only peer-reviewed qualitative English studies were evaluated. Only qualitative studies with clearly retrieved and assessed qualitative data were considered. </w:t>
      </w:r>
    </w:p>
    <w:p w14:paraId="6A113122" w14:textId="77777777" w:rsidR="005E785B" w:rsidRDefault="005E785B" w:rsidP="005E785B">
      <w:pPr>
        <w:spacing w:line="360" w:lineRule="auto"/>
        <w:jc w:val="both"/>
        <w:rPr>
          <w:rFonts w:ascii="Arial" w:hAnsi="Arial" w:cs="Arial"/>
        </w:rPr>
      </w:pPr>
      <w:r>
        <w:rPr>
          <w:rFonts w:ascii="Arial" w:hAnsi="Arial" w:cs="Arial"/>
        </w:rPr>
        <w:lastRenderedPageBreak/>
        <w:t xml:space="preserve">Quantitative, systematic, literature, editorial, conference abstract, and policy commentaries were eliminated. International research was also removed because healthcare systems, digital infrastructure, and policy contexts might limit the use in the UK. </w:t>
      </w:r>
    </w:p>
    <w:p w14:paraId="3096C33D" w14:textId="77777777" w:rsidR="005E785B" w:rsidRPr="00885D56" w:rsidRDefault="005E785B" w:rsidP="005E785B">
      <w:pPr>
        <w:spacing w:line="360" w:lineRule="auto"/>
        <w:jc w:val="both"/>
        <w:rPr>
          <w:rFonts w:ascii="Arial" w:hAnsi="Arial" w:cs="Arial"/>
        </w:rPr>
      </w:pPr>
      <w:r>
        <w:rPr>
          <w:rFonts w:ascii="Arial" w:hAnsi="Arial" w:cs="Arial"/>
        </w:rPr>
        <w:t>These criteria ensured that the evidence base was relevant to the study and appropriate to qualitative synthesis.</w:t>
      </w:r>
    </w:p>
    <w:p w14:paraId="22CCC57E" w14:textId="41C211C3" w:rsidR="005E785B" w:rsidRDefault="005E785B" w:rsidP="005E785B">
      <w:pPr>
        <w:spacing w:line="360" w:lineRule="auto"/>
        <w:jc w:val="both"/>
      </w:pPr>
      <w:r>
        <w:rPr>
          <w:rFonts w:ascii="Arial" w:hAnsi="Arial" w:cs="Arial"/>
          <w:b/>
          <w:bCs/>
          <w:sz w:val="24"/>
          <w:szCs w:val="24"/>
        </w:rPr>
        <w:t xml:space="preserve">Table 3.2: </w:t>
      </w:r>
      <w:r>
        <w:rPr>
          <w:rFonts w:ascii="Arial" w:hAnsi="Arial" w:cs="Arial"/>
        </w:rPr>
        <w:t xml:space="preserve">Inclusion and exclusion criteria applied during study selection, which will be found in Appendix </w:t>
      </w:r>
      <w:r>
        <w:rPr>
          <w:rFonts w:ascii="Arial" w:hAnsi="Arial" w:cs="Arial"/>
        </w:rPr>
        <w:t>1</w:t>
      </w:r>
      <w:r>
        <w:rPr>
          <w:rFonts w:ascii="Arial" w:hAnsi="Arial" w:cs="Arial"/>
        </w:rPr>
        <w:t>.</w:t>
      </w:r>
    </w:p>
    <w:p w14:paraId="24C12D72" w14:textId="77777777" w:rsidR="005E785B" w:rsidRPr="001F6351" w:rsidRDefault="005E785B" w:rsidP="005E785B">
      <w:pPr>
        <w:pStyle w:val="Heading2"/>
        <w:rPr>
          <w:rFonts w:ascii="Arial" w:hAnsi="Arial" w:cs="Arial"/>
        </w:rPr>
      </w:pPr>
      <w:bookmarkStart w:id="101" w:name="_Toc237944351"/>
      <w:bookmarkStart w:id="102" w:name="_Toc240143305"/>
      <w:r w:rsidRPr="001F6351">
        <w:rPr>
          <w:rFonts w:ascii="Arial" w:hAnsi="Arial" w:cs="Arial"/>
        </w:rPr>
        <w:t>3.8 Study Selection</w:t>
      </w:r>
      <w:bookmarkEnd w:id="101"/>
      <w:bookmarkEnd w:id="102"/>
    </w:p>
    <w:p w14:paraId="21F92A82" w14:textId="77777777" w:rsidR="005E785B" w:rsidRDefault="005E785B" w:rsidP="005E785B">
      <w:pPr>
        <w:spacing w:line="360" w:lineRule="auto"/>
        <w:jc w:val="both"/>
        <w:rPr>
          <w:rFonts w:ascii="Arial" w:hAnsi="Arial" w:cs="Arial"/>
        </w:rPr>
      </w:pPr>
      <w:r>
        <w:rPr>
          <w:rFonts w:ascii="Arial" w:hAnsi="Arial" w:cs="Arial"/>
        </w:rPr>
        <w:t xml:space="preserve">PRISMA 2020 guidelines, an internationally recognised framework to improve systematic review transparency, completeness and reproducibility, were used to select studies (Page et al., 2021). PRISMA was chosen because it organises, screens, evaluates and reports papers, thereby reducing selection bias and improving methodological rigour (Booth, Sutton, and Papaioannou, 2022; Aromataris and Munn, 2020). </w:t>
      </w:r>
    </w:p>
    <w:p w14:paraId="6EE08AA0" w14:textId="77777777" w:rsidR="005E785B" w:rsidRDefault="005E785B" w:rsidP="005E785B">
      <w:pPr>
        <w:spacing w:line="360" w:lineRule="auto"/>
        <w:jc w:val="both"/>
        <w:rPr>
          <w:rFonts w:ascii="Arial" w:hAnsi="Arial" w:cs="Arial"/>
        </w:rPr>
      </w:pPr>
      <w:r>
        <w:rPr>
          <w:rFonts w:ascii="Arial" w:hAnsi="Arial" w:cs="Arial"/>
        </w:rPr>
        <w:t xml:space="preserve">All records from electronic database searches were exported for screening and duplicate references deleted. Screening titles and abstracts against inclusion and exclusion criteria was done. They rejected studies that did not address the review question, were conducted outside the UK, used inappropriate study designs or did not take older people or digital exclusion into account in health or social care. </w:t>
      </w:r>
    </w:p>
    <w:p w14:paraId="37330E51" w14:textId="77777777" w:rsidR="005E785B" w:rsidRDefault="005E785B" w:rsidP="005E785B">
      <w:pPr>
        <w:spacing w:line="360" w:lineRule="auto"/>
        <w:jc w:val="both"/>
        <w:rPr>
          <w:rFonts w:ascii="Arial" w:hAnsi="Arial" w:cs="Arial"/>
        </w:rPr>
      </w:pPr>
      <w:r>
        <w:rPr>
          <w:rFonts w:ascii="Arial" w:hAnsi="Arial" w:cs="Arial"/>
        </w:rPr>
        <w:t xml:space="preserve">The review was transparent and auditable by assessing full-text papers for eligibility and documenting reasons for exclusion (Page et al., 2021). Qualitative synthesis was based on the final eligible studies. </w:t>
      </w:r>
    </w:p>
    <w:p w14:paraId="3CB90C5F" w14:textId="77777777" w:rsidR="005E785B" w:rsidRDefault="005E785B" w:rsidP="005E785B">
      <w:pPr>
        <w:spacing w:line="360" w:lineRule="auto"/>
        <w:jc w:val="both"/>
        <w:rPr>
          <w:rFonts w:ascii="Arial" w:hAnsi="Arial" w:cs="Arial"/>
        </w:rPr>
      </w:pPr>
      <w:r w:rsidRPr="00B77715">
        <w:rPr>
          <w:rFonts w:ascii="Arial" w:hAnsi="Arial" w:cs="Arial"/>
        </w:rPr>
        <w:t>A complete selection process is provided in the PRISMA flow diagram in Appendix A.</w:t>
      </w:r>
    </w:p>
    <w:p w14:paraId="221C7546" w14:textId="77777777" w:rsidR="005E785B" w:rsidRDefault="005E785B" w:rsidP="005E785B">
      <w:pPr>
        <w:spacing w:line="360" w:lineRule="auto"/>
        <w:jc w:val="both"/>
        <w:rPr>
          <w:rFonts w:ascii="Arial" w:hAnsi="Arial" w:cs="Arial"/>
        </w:rPr>
      </w:pPr>
    </w:p>
    <w:p w14:paraId="38CBD353" w14:textId="77777777" w:rsidR="005E785B" w:rsidRPr="001F6351" w:rsidRDefault="005E785B" w:rsidP="005E785B">
      <w:pPr>
        <w:pStyle w:val="Heading2"/>
        <w:rPr>
          <w:rFonts w:ascii="Arial" w:hAnsi="Arial" w:cs="Arial"/>
        </w:rPr>
      </w:pPr>
      <w:bookmarkStart w:id="103" w:name="_Toc237944352"/>
      <w:bookmarkStart w:id="104" w:name="_Toc240143306"/>
      <w:r w:rsidRPr="001F6351">
        <w:rPr>
          <w:rFonts w:ascii="Arial" w:hAnsi="Arial" w:cs="Arial"/>
          <w:lang w:eastAsia="en-GB"/>
        </w:rPr>
        <w:t>3.9 Quality Appraisal</w:t>
      </w:r>
      <w:bookmarkEnd w:id="103"/>
      <w:bookmarkEnd w:id="104"/>
    </w:p>
    <w:p w14:paraId="7E76E945"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All qualifying papers were assessed critically using the CASP Qualitative Checklist (CASP 2018) to ensure the validity and methodological quality of the data. Health and social care research professionals use the CASP approach to evaluate the quality and trustworthiness of qualitative studies (Long, French and Brooks, 2020). </w:t>
      </w:r>
    </w:p>
    <w:p w14:paraId="32DFFF44"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Organised systematic reviews enable researchers to evaluate the strengths and weaknesses of their methodology and to develop methodology in a more systematic way (Noyes et al., 2019). The CASP Qualitative Checklist considers research aims, qualitative methodology, </w:t>
      </w:r>
      <w:r>
        <w:rPr>
          <w:rFonts w:ascii="Arial" w:hAnsi="Arial" w:cs="Arial"/>
          <w:lang w:eastAsia="en-GB"/>
        </w:rPr>
        <w:lastRenderedPageBreak/>
        <w:t xml:space="preserve">research design, recruitment strategy, data collection methods, researcher reflexivity, ethical issues, data analysis, findings presentation and research value (CASP, 2018). </w:t>
      </w:r>
    </w:p>
    <w:p w14:paraId="5650AFA4" w14:textId="77777777" w:rsidR="005E785B" w:rsidRDefault="005E785B" w:rsidP="005E785B">
      <w:pPr>
        <w:spacing w:line="360" w:lineRule="auto"/>
        <w:jc w:val="both"/>
      </w:pPr>
      <w:r>
        <w:rPr>
          <w:rFonts w:ascii="Arial" w:hAnsi="Arial" w:cs="Arial"/>
        </w:rPr>
        <w:t>Studies were not automatically excluded solely because of minor methodological limitations; instead, the quality appraisal was used to assess the credibility and relevance of their findings and to inform their interpretation within the synthesis (Noyes et al., 2019).</w:t>
      </w:r>
    </w:p>
    <w:p w14:paraId="706EFB8B" w14:textId="77777777" w:rsidR="005E785B" w:rsidRPr="00766314" w:rsidRDefault="005E785B" w:rsidP="005E785B">
      <w:pPr>
        <w:spacing w:line="360" w:lineRule="auto"/>
        <w:jc w:val="both"/>
        <w:rPr>
          <w:rFonts w:ascii="Calibri" w:hAnsi="Calibri" w:cs="Times New Roman"/>
        </w:rPr>
      </w:pPr>
      <w:r>
        <w:rPr>
          <w:rFonts w:ascii="Arial" w:hAnsi="Arial" w:cs="Arial"/>
          <w:lang w:eastAsia="en-GB"/>
        </w:rPr>
        <w:t>The appraisal pointed out strengths and weaknesses of the topic synthesis to guide our interpretation. Quality appraisal can improve qualitative evidence interpretation in systematic reviews (Aromataris and Munn, 2020).</w:t>
      </w:r>
    </w:p>
    <w:p w14:paraId="6CB502F2" w14:textId="1FFA999D" w:rsidR="005E785B" w:rsidRDefault="005E785B" w:rsidP="005E785B">
      <w:pPr>
        <w:spacing w:line="360" w:lineRule="auto"/>
        <w:jc w:val="both"/>
      </w:pPr>
      <w:r>
        <w:rPr>
          <w:rStyle w:val="Strong"/>
          <w:rFonts w:ascii="Arial" w:hAnsi="Arial" w:cs="Arial"/>
        </w:rPr>
        <w:t>Table 3.4.</w:t>
      </w:r>
      <w:r>
        <w:rPr>
          <w:rFonts w:ascii="Arial" w:hAnsi="Arial" w:cs="Arial"/>
        </w:rPr>
        <w:t xml:space="preserve"> Critical appraisal of included studies using the CASP Qualitative Checklist can be found in Appendix </w:t>
      </w:r>
      <w:r>
        <w:rPr>
          <w:rFonts w:ascii="Arial" w:hAnsi="Arial" w:cs="Arial"/>
        </w:rPr>
        <w:t>1</w:t>
      </w:r>
      <w:r>
        <w:rPr>
          <w:rFonts w:ascii="Arial" w:hAnsi="Arial" w:cs="Arial"/>
        </w:rPr>
        <w:t>.</w:t>
      </w:r>
    </w:p>
    <w:p w14:paraId="773EFD10" w14:textId="77777777" w:rsidR="005E785B" w:rsidRPr="001F6351" w:rsidRDefault="005E785B" w:rsidP="005E785B">
      <w:pPr>
        <w:pStyle w:val="Heading2"/>
        <w:rPr>
          <w:rFonts w:ascii="Arial" w:hAnsi="Arial" w:cs="Arial"/>
        </w:rPr>
      </w:pPr>
      <w:bookmarkStart w:id="105" w:name="_Toc237944353"/>
      <w:bookmarkStart w:id="106" w:name="_Toc240143307"/>
      <w:r w:rsidRPr="001F6351">
        <w:rPr>
          <w:rFonts w:ascii="Arial" w:hAnsi="Arial" w:cs="Arial"/>
          <w:lang w:eastAsia="en-GB"/>
        </w:rPr>
        <w:t>3.10 Data Extraction</w:t>
      </w:r>
      <w:bookmarkEnd w:id="105"/>
      <w:bookmarkEnd w:id="106"/>
    </w:p>
    <w:p w14:paraId="467F5875" w14:textId="77777777" w:rsidR="005E785B" w:rsidRDefault="005E785B" w:rsidP="005E785B">
      <w:pPr>
        <w:spacing w:line="360" w:lineRule="auto"/>
        <w:jc w:val="both"/>
        <w:rPr>
          <w:rFonts w:ascii="Arial" w:hAnsi="Arial" w:cs="Arial"/>
        </w:rPr>
      </w:pPr>
      <w:r>
        <w:rPr>
          <w:rFonts w:ascii="Arial" w:hAnsi="Arial" w:cs="Arial"/>
        </w:rPr>
        <w:t>A structured data extraction process was undertaken to ensure that relevant information was collected consistently and systematically from each included study. Data extraction is a fundamental stage of a systematic review because it promotes transparency, facilitates comparison across studies and reduces the risk of transcription errors and researcher bias (Aromataris and Munn, 2020; Booth, Sutton and Papaioannou, 2022).</w:t>
      </w:r>
    </w:p>
    <w:p w14:paraId="1E714DE8" w14:textId="77777777" w:rsidR="005E785B" w:rsidRDefault="005E785B" w:rsidP="005E785B">
      <w:pPr>
        <w:spacing w:line="360" w:lineRule="auto"/>
        <w:jc w:val="both"/>
        <w:rPr>
          <w:rFonts w:ascii="Arial" w:hAnsi="Arial" w:cs="Arial"/>
        </w:rPr>
      </w:pPr>
      <w:r>
        <w:rPr>
          <w:rFonts w:ascii="Arial" w:hAnsi="Arial" w:cs="Arial"/>
        </w:rPr>
        <w:t>A standardised data extraction form was developed before the review commenced to ensure consistency throughout the extraction process. For each included study, information was recorded on the author(s), year of publication, country of origin, study aim, research design, participant characteristics, sample size, data collection methods, analytical approach and the principal findings relevant to the review question. Recording these characteristics enabled systematic comparison of the methodological approaches, findings and analytical techniques reported across the included studies.</w:t>
      </w:r>
    </w:p>
    <w:p w14:paraId="7BC6891B" w14:textId="77777777" w:rsidR="005E785B" w:rsidRDefault="005E785B" w:rsidP="005E785B">
      <w:pPr>
        <w:spacing w:line="360" w:lineRule="auto"/>
        <w:jc w:val="both"/>
        <w:rPr>
          <w:rFonts w:ascii="Arial" w:hAnsi="Arial" w:cs="Arial"/>
        </w:rPr>
      </w:pPr>
      <w:r>
        <w:rPr>
          <w:rFonts w:ascii="Arial" w:hAnsi="Arial" w:cs="Arial"/>
        </w:rPr>
        <w:t>Attention was given to extracting findings relating to digital exclusion, barriers and facilitators to accessing digital public health and social care services, and factors influencing digital engagement among older adults. The use of a structured extraction framework ensured that all studies were assessed consistently, thereby enhancing the transparency, dependability and reliability of the review (Aromataris and Munn, 2020). The extracted data informed the thematic synthesis and provided a clear audit trail linking the original studies to the themes identified within the review (Thomas and Harden, 2008).</w:t>
      </w:r>
    </w:p>
    <w:p w14:paraId="0A86CA1F" w14:textId="77777777" w:rsidR="005E785B" w:rsidRDefault="005E785B" w:rsidP="005E785B">
      <w:pPr>
        <w:spacing w:line="360" w:lineRule="auto"/>
        <w:jc w:val="both"/>
      </w:pPr>
      <w:r>
        <w:rPr>
          <w:rStyle w:val="Strong"/>
          <w:rFonts w:ascii="Arial" w:hAnsi="Arial" w:cs="Arial"/>
          <w:b w:val="0"/>
          <w:bCs w:val="0"/>
        </w:rPr>
        <w:t>A summary of the extracted study characteristics is presented in Chapter 4 (Table 4.1), where the characteristics of the included studies are described before the presentation of the thematic synthesis.</w:t>
      </w:r>
    </w:p>
    <w:p w14:paraId="7004BDBB" w14:textId="77777777" w:rsidR="005E785B" w:rsidRDefault="005E785B" w:rsidP="005E785B">
      <w:pPr>
        <w:spacing w:before="100" w:after="100" w:line="240" w:lineRule="auto"/>
        <w:jc w:val="both"/>
        <w:outlineLvl w:val="0"/>
        <w:rPr>
          <w:rFonts w:ascii="Arial" w:eastAsia="Times New Roman" w:hAnsi="Arial" w:cs="Arial"/>
          <w:kern w:val="0"/>
          <w:lang w:eastAsia="en-GB"/>
        </w:rPr>
      </w:pPr>
    </w:p>
    <w:p w14:paraId="00EFB12A" w14:textId="77777777" w:rsidR="005E785B" w:rsidRPr="001F6351" w:rsidRDefault="005E785B" w:rsidP="005E785B">
      <w:pPr>
        <w:pStyle w:val="Heading2"/>
        <w:rPr>
          <w:rFonts w:ascii="Arial" w:hAnsi="Arial" w:cs="Arial"/>
        </w:rPr>
      </w:pPr>
      <w:bookmarkStart w:id="107" w:name="_Toc237944354"/>
      <w:bookmarkStart w:id="108" w:name="_Toc240143308"/>
      <w:r w:rsidRPr="001F6351">
        <w:rPr>
          <w:rFonts w:ascii="Arial" w:hAnsi="Arial" w:cs="Arial"/>
          <w:lang w:eastAsia="en-GB"/>
        </w:rPr>
        <w:t>3.11 Data Analysis</w:t>
      </w:r>
      <w:bookmarkEnd w:id="107"/>
      <w:bookmarkEnd w:id="108"/>
    </w:p>
    <w:p w14:paraId="066C400C"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Braun and Clarke (2006, 2021) used reflexive thematic analysis to synthesise the results of the research. Reflexive thematic analysis was chosen to analyse and interpret meanings across qualitative data and multiple studies because of its flexible and systematic nature. Qualitative health research utilises it extensively, particularly during systematic reviews which aim to synthesise the experiences and beliefs of the participants and not simply to quantify results (Braun and Clarke, 2021). </w:t>
      </w:r>
    </w:p>
    <w:p w14:paraId="01E1D126"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Braun and Clarke (2006) identified six steps of analysis: familiarisation with the retrieved findings, generating initial codes, searching for themes, reviewing themes, defining and naming themes, and the final narrative synthesis. To get the evidence and conclusions of each study in full, they went through these six steps of familiarisation. </w:t>
      </w:r>
    </w:p>
    <w:p w14:paraId="4F215409" w14:textId="77777777" w:rsidR="005E785B" w:rsidRDefault="005E785B" w:rsidP="005E785B">
      <w:pPr>
        <w:spacing w:line="360" w:lineRule="auto"/>
        <w:jc w:val="both"/>
        <w:rPr>
          <w:rFonts w:ascii="Arial" w:hAnsi="Arial" w:cs="Arial"/>
          <w:lang w:eastAsia="en-GB"/>
        </w:rPr>
      </w:pPr>
      <w:r>
        <w:rPr>
          <w:rFonts w:ascii="Arial" w:hAnsi="Arial" w:cs="Arial"/>
          <w:lang w:eastAsia="en-GB"/>
        </w:rPr>
        <w:t xml:space="preserve">To identify recurring themes of digital exclusion and older people’s access to public health and social care, the researcher made initial codes. After further grouping similar codes into larger categories, we looked for general themes that were consistent with the data and the review question. The themes were iteratively reviewed to make sure they matched the findings and answered the question. </w:t>
      </w:r>
    </w:p>
    <w:p w14:paraId="4CA1C4CD" w14:textId="77777777" w:rsidR="005E785B" w:rsidRDefault="005E785B" w:rsidP="005E785B">
      <w:pPr>
        <w:spacing w:line="360" w:lineRule="auto"/>
        <w:jc w:val="both"/>
        <w:rPr>
          <w:rFonts w:ascii="Arial" w:hAnsi="Arial" w:cs="Arial"/>
          <w:lang w:eastAsia="en-GB"/>
        </w:rPr>
      </w:pPr>
      <w:r>
        <w:rPr>
          <w:rFonts w:ascii="Arial" w:hAnsi="Arial" w:cs="Arial"/>
          <w:lang w:eastAsia="en-GB"/>
        </w:rPr>
        <w:t>Reflexive analysis, when a researcher is actively assessing the qualitative material, is transparent and reliable (Braun and Clarke, 2021). Reflexive thematic analysis is appropriate for this assessment, which is to keep participants’ experience in mind while incorporating results of a variety of qualitative studies.  Flexibility allowed to identify shared and distinct digital exclusion experiences, resulting in a complete and rich evidence synthesis (Nowell et al., 2017).</w:t>
      </w:r>
    </w:p>
    <w:p w14:paraId="7507B839" w14:textId="77777777" w:rsidR="005E785B" w:rsidRDefault="005E785B" w:rsidP="005E785B">
      <w:pPr>
        <w:spacing w:line="360" w:lineRule="auto"/>
        <w:jc w:val="both"/>
        <w:rPr>
          <w:rFonts w:ascii="Arial" w:hAnsi="Arial" w:cs="Arial"/>
          <w:lang w:eastAsia="en-GB"/>
        </w:rPr>
      </w:pPr>
    </w:p>
    <w:p w14:paraId="4433550C" w14:textId="77777777" w:rsidR="005E785B" w:rsidRPr="001F6351" w:rsidRDefault="005E785B" w:rsidP="005E785B">
      <w:pPr>
        <w:pStyle w:val="Heading2"/>
        <w:rPr>
          <w:rFonts w:ascii="Arial" w:hAnsi="Arial" w:cs="Arial"/>
        </w:rPr>
      </w:pPr>
      <w:bookmarkStart w:id="109" w:name="_Toc237944355"/>
      <w:bookmarkStart w:id="110" w:name="_Toc240143309"/>
      <w:r w:rsidRPr="001F6351">
        <w:rPr>
          <w:rFonts w:ascii="Arial" w:hAnsi="Arial" w:cs="Arial"/>
          <w:lang w:eastAsia="en-GB"/>
        </w:rPr>
        <w:t>3.12 Ethical Considerations</w:t>
      </w:r>
      <w:bookmarkEnd w:id="109"/>
      <w:bookmarkEnd w:id="110"/>
    </w:p>
    <w:p w14:paraId="00528E65" w14:textId="77777777" w:rsidR="005E785B" w:rsidRDefault="005E785B" w:rsidP="005E785B">
      <w:pPr>
        <w:spacing w:line="360" w:lineRule="auto"/>
        <w:jc w:val="both"/>
        <w:rPr>
          <w:rFonts w:ascii="Arial" w:hAnsi="Arial" w:cs="Arial"/>
          <w:lang w:eastAsia="en-GB"/>
        </w:rPr>
      </w:pPr>
      <w:r>
        <w:rPr>
          <w:rFonts w:ascii="Arial" w:hAnsi="Arial" w:cs="Arial"/>
          <w:lang w:eastAsia="en-GB"/>
        </w:rPr>
        <w:t>This study only analysed published literature, so ethical approval was not required (Saunders, Lewis and Thornhill, 2023). No primary data were available, and no human participants were involved. While ethics was always a central aspect of the review, the review followed academic integrity, transparency and responsible research practice by accurately reporting findings, acknowledging original authors and adhering to the predefined inclusion and exclusion criteria (BERA, 2024). Study selection, quality appraisal, and data extraction were done in a structured and transparent manner with PRISMA 2020 and CASP Qualitative Checklist to mitigate bias (Page et al., 2021; CASP, 2018). A thorough audit trail throughout the evaluation increased study credibility, dependability and trustworthiness.</w:t>
      </w:r>
    </w:p>
    <w:p w14:paraId="7A2D74C8" w14:textId="77777777" w:rsidR="005E785B" w:rsidRPr="001F6351" w:rsidRDefault="005E785B" w:rsidP="005E785B">
      <w:pPr>
        <w:pStyle w:val="Heading2"/>
        <w:rPr>
          <w:rFonts w:ascii="Arial" w:hAnsi="Arial" w:cs="Arial"/>
        </w:rPr>
      </w:pPr>
      <w:bookmarkStart w:id="111" w:name="_Toc237944356"/>
      <w:bookmarkStart w:id="112" w:name="_Toc240143310"/>
      <w:r w:rsidRPr="001F6351">
        <w:rPr>
          <w:rFonts w:ascii="Arial" w:hAnsi="Arial" w:cs="Arial"/>
          <w:lang w:eastAsia="en-GB"/>
        </w:rPr>
        <w:lastRenderedPageBreak/>
        <w:t>3.13 Chapter Summary</w:t>
      </w:r>
      <w:bookmarkEnd w:id="111"/>
      <w:bookmarkEnd w:id="112"/>
    </w:p>
    <w:p w14:paraId="3CE6106C" w14:textId="77777777" w:rsidR="005E785B" w:rsidRDefault="005E785B" w:rsidP="005E785B">
      <w:pPr>
        <w:spacing w:line="360" w:lineRule="auto"/>
        <w:jc w:val="both"/>
        <w:rPr>
          <w:rFonts w:ascii="Arial" w:hAnsi="Arial" w:cs="Arial"/>
          <w:lang w:eastAsia="en-GB"/>
        </w:rPr>
      </w:pPr>
      <w:r>
        <w:rPr>
          <w:rFonts w:ascii="Arial" w:hAnsi="Arial" w:cs="Arial"/>
          <w:lang w:eastAsia="en-GB"/>
        </w:rPr>
        <w:t>This chapter describes how the research question was answered methodically. It justified a qualitative systematic review, described the search strategy, eligibility criteria, study selection procedure, quality appraisal, data extraction, thematic analysis, and the review's ethical principles. Such methods provide an open and rigorous framework for evidence synthesis. The thematic synthesis results from these studies are presented in the next chapter.</w:t>
      </w:r>
    </w:p>
    <w:p w14:paraId="6110D985" w14:textId="77777777" w:rsidR="005E785B" w:rsidRDefault="005E785B" w:rsidP="005E785B">
      <w:pPr>
        <w:spacing w:before="100" w:after="100" w:line="360" w:lineRule="auto"/>
        <w:jc w:val="both"/>
        <w:outlineLvl w:val="0"/>
        <w:rPr>
          <w:rFonts w:ascii="Arial" w:eastAsia="Times New Roman" w:hAnsi="Arial" w:cs="Arial"/>
          <w:kern w:val="0"/>
          <w:lang w:eastAsia="en-GB"/>
        </w:rPr>
      </w:pPr>
    </w:p>
    <w:p w14:paraId="48154A0E" w14:textId="77777777" w:rsidR="005E785B" w:rsidRDefault="005E785B">
      <w:pPr>
        <w:spacing w:after="158"/>
        <w:rPr>
          <w:rFonts w:asciiTheme="minorBidi" w:eastAsia="Times New Roman" w:hAnsiTheme="minorBidi"/>
          <w:b/>
        </w:rPr>
      </w:pPr>
    </w:p>
    <w:p w14:paraId="5737BFC0" w14:textId="77777777" w:rsidR="005E785B" w:rsidRDefault="005E785B">
      <w:pPr>
        <w:spacing w:after="158"/>
        <w:rPr>
          <w:rFonts w:asciiTheme="minorBidi" w:eastAsia="Times New Roman" w:hAnsiTheme="minorBidi"/>
          <w:b/>
        </w:rPr>
      </w:pPr>
    </w:p>
    <w:p w14:paraId="38E3F166" w14:textId="77777777" w:rsidR="005E785B" w:rsidRDefault="005E785B">
      <w:pPr>
        <w:spacing w:after="158"/>
        <w:rPr>
          <w:rFonts w:asciiTheme="minorBidi" w:eastAsia="Times New Roman" w:hAnsiTheme="minorBidi"/>
          <w:b/>
        </w:rPr>
      </w:pPr>
    </w:p>
    <w:p w14:paraId="2FF6390C" w14:textId="77777777" w:rsidR="005E785B" w:rsidRPr="007F1C8A" w:rsidRDefault="005E785B">
      <w:pPr>
        <w:spacing w:after="158"/>
        <w:rPr>
          <w:rFonts w:asciiTheme="minorBidi" w:hAnsiTheme="minorBidi"/>
        </w:rPr>
      </w:pPr>
    </w:p>
    <w:p w14:paraId="1DC68205" w14:textId="371F1E79" w:rsidR="009F64C5" w:rsidRPr="001F6351" w:rsidRDefault="00DD7AA5">
      <w:pPr>
        <w:pStyle w:val="Heading1"/>
        <w:ind w:left="12" w:right="1"/>
        <w:rPr>
          <w:rFonts w:ascii="Arial" w:hAnsi="Arial" w:cs="Arial"/>
          <w:sz w:val="28"/>
          <w:szCs w:val="28"/>
        </w:rPr>
      </w:pPr>
      <w:bookmarkStart w:id="113" w:name="_Toc12219"/>
      <w:bookmarkStart w:id="114" w:name="_Toc240143311"/>
      <w:r w:rsidRPr="001F6351">
        <w:rPr>
          <w:rFonts w:ascii="Arial" w:hAnsi="Arial" w:cs="Arial"/>
          <w:sz w:val="28"/>
          <w:szCs w:val="28"/>
        </w:rPr>
        <w:t xml:space="preserve">Chapter 4: </w:t>
      </w:r>
      <w:r w:rsidR="009F64C5" w:rsidRPr="001F6351">
        <w:rPr>
          <w:rFonts w:ascii="Arial" w:hAnsi="Arial" w:cs="Arial"/>
          <w:sz w:val="28"/>
          <w:szCs w:val="28"/>
        </w:rPr>
        <w:t>Results</w:t>
      </w:r>
      <w:bookmarkEnd w:id="114"/>
      <w:r w:rsidR="009F64C5" w:rsidRPr="001F6351">
        <w:rPr>
          <w:rFonts w:ascii="Arial" w:hAnsi="Arial" w:cs="Arial"/>
          <w:sz w:val="28"/>
          <w:szCs w:val="28"/>
        </w:rPr>
        <w:t xml:space="preserve"> </w:t>
      </w:r>
      <w:bookmarkEnd w:id="113"/>
    </w:p>
    <w:p w14:paraId="6376B95B"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2ADF5350" w14:textId="77777777" w:rsidR="005E785B" w:rsidRDefault="005E785B">
      <w:pPr>
        <w:pStyle w:val="Heading1"/>
        <w:ind w:left="12" w:right="3"/>
        <w:rPr>
          <w:rFonts w:asciiTheme="minorBidi" w:hAnsiTheme="minorBidi" w:cstheme="minorBidi"/>
        </w:rPr>
      </w:pPr>
      <w:bookmarkStart w:id="115" w:name="_Toc12220"/>
    </w:p>
    <w:p w14:paraId="17F78B58" w14:textId="77777777" w:rsidR="005E785B" w:rsidRDefault="005E785B">
      <w:pPr>
        <w:pStyle w:val="Heading1"/>
        <w:ind w:left="12" w:right="3"/>
        <w:rPr>
          <w:rFonts w:asciiTheme="minorBidi" w:hAnsiTheme="minorBidi" w:cstheme="minorBidi"/>
        </w:rPr>
      </w:pPr>
    </w:p>
    <w:p w14:paraId="30EEBC58" w14:textId="77777777" w:rsidR="005E785B" w:rsidRPr="001F6351" w:rsidRDefault="005E785B" w:rsidP="005E785B">
      <w:pPr>
        <w:pStyle w:val="Heading2"/>
        <w:rPr>
          <w:rFonts w:ascii="Arial" w:hAnsi="Arial" w:cs="Arial"/>
        </w:rPr>
      </w:pPr>
      <w:bookmarkStart w:id="116" w:name="_Toc237944358"/>
      <w:bookmarkStart w:id="117" w:name="_Toc240143312"/>
      <w:r w:rsidRPr="001F6351">
        <w:rPr>
          <w:rFonts w:ascii="Arial" w:hAnsi="Arial" w:cs="Arial"/>
          <w:lang w:eastAsia="en-GB"/>
        </w:rPr>
        <w:t>4.1 Introduction</w:t>
      </w:r>
      <w:bookmarkEnd w:id="116"/>
      <w:bookmarkEnd w:id="117"/>
    </w:p>
    <w:p w14:paraId="51BC3A4F" w14:textId="77777777" w:rsidR="005E785B" w:rsidRPr="00B3298E" w:rsidRDefault="005E785B" w:rsidP="005E785B">
      <w:pPr>
        <w:jc w:val="both"/>
        <w:rPr>
          <w:lang w:eastAsia="en-GB"/>
        </w:rPr>
      </w:pPr>
    </w:p>
    <w:p w14:paraId="3D15C756" w14:textId="77777777" w:rsidR="005E785B" w:rsidRPr="00B3298E" w:rsidRDefault="005E785B" w:rsidP="005E785B">
      <w:pPr>
        <w:spacing w:line="360" w:lineRule="auto"/>
        <w:jc w:val="both"/>
        <w:rPr>
          <w:rFonts w:ascii="Arial" w:hAnsi="Arial" w:cs="Arial"/>
          <w:lang w:eastAsia="en-GB"/>
        </w:rPr>
      </w:pPr>
      <w:r w:rsidRPr="00B3298E">
        <w:rPr>
          <w:rFonts w:ascii="Arial" w:hAnsi="Arial" w:cs="Arial"/>
          <w:lang w:eastAsia="en-GB"/>
        </w:rPr>
        <w:t>The results of this qualitative systematic review on digital exclusion and older adults' access to public health and social care services in the UK are presented in this chapter. The results are based on the 11 studies that met the eligibility criteria set in Chapter 3. A summary of the features of the included research is given in this chapter, and the conclusions are presented thematically in Chapter 5. Given the similarities and differences between studies, the results are framed in terms of the patterns we have seen throughout the evidence. Chapter 5 will shed light on the larger implications of the findings and compare them to a large body of research.</w:t>
      </w:r>
    </w:p>
    <w:p w14:paraId="078CF188" w14:textId="77777777" w:rsidR="005E785B" w:rsidRDefault="005E785B" w:rsidP="005E785B">
      <w:pPr>
        <w:jc w:val="both"/>
        <w:rPr>
          <w:lang w:eastAsia="en-GB"/>
        </w:rPr>
      </w:pPr>
    </w:p>
    <w:p w14:paraId="451AA63A" w14:textId="77777777" w:rsidR="005E785B" w:rsidRPr="001F6351" w:rsidRDefault="005E785B" w:rsidP="005E785B">
      <w:pPr>
        <w:pStyle w:val="Heading2"/>
        <w:rPr>
          <w:rFonts w:ascii="Arial" w:hAnsi="Arial" w:cs="Arial"/>
        </w:rPr>
      </w:pPr>
      <w:bookmarkStart w:id="118" w:name="_Toc237944359"/>
      <w:bookmarkStart w:id="119" w:name="_Toc240143313"/>
      <w:r w:rsidRPr="001F6351">
        <w:rPr>
          <w:rFonts w:ascii="Arial" w:hAnsi="Arial" w:cs="Arial"/>
          <w:lang w:eastAsia="en-GB"/>
        </w:rPr>
        <w:t>4.2 Characteristics of the Included Studies</w:t>
      </w:r>
      <w:bookmarkEnd w:id="118"/>
      <w:bookmarkEnd w:id="119"/>
    </w:p>
    <w:p w14:paraId="2A67E546" w14:textId="77777777" w:rsidR="005E785B" w:rsidRPr="00B3298E" w:rsidRDefault="005E785B" w:rsidP="005E785B">
      <w:pPr>
        <w:jc w:val="both"/>
        <w:rPr>
          <w:lang w:eastAsia="en-GB"/>
        </w:rPr>
      </w:pPr>
    </w:p>
    <w:p w14:paraId="6ED37EFA" w14:textId="77777777" w:rsidR="005E785B" w:rsidRPr="000F6104" w:rsidRDefault="005E785B" w:rsidP="005E785B">
      <w:pPr>
        <w:spacing w:line="360" w:lineRule="auto"/>
        <w:jc w:val="both"/>
        <w:rPr>
          <w:rFonts w:ascii="Arial" w:eastAsia="Calibri" w:hAnsi="Arial" w:cs="Arial"/>
          <w:kern w:val="3"/>
          <w:lang w:eastAsia="en-GB"/>
        </w:rPr>
      </w:pPr>
      <w:r w:rsidRPr="00B3298E">
        <w:rPr>
          <w:rFonts w:ascii="Arial" w:hAnsi="Arial" w:cs="Arial"/>
          <w:lang w:eastAsia="en-GB"/>
        </w:rPr>
        <w:t>The features of the 11 studies included in the review (i.e., their locations and populations, research objectives, methodological approaches, and findings relevant to the review topic) are summarised in Table 4.1. Although the evidence also included a service/inclusion evaluation and a synthesis of three qualitative studies, qualitative methods, such as semi-structured interviews, narrative interviews and focus groups, were used in the research. Primary care, digital health technology, remote consultations, mental health services, digital self-</w:t>
      </w:r>
      <w:r w:rsidRPr="00B3298E">
        <w:rPr>
          <w:rFonts w:ascii="Arial" w:hAnsi="Arial" w:cs="Arial"/>
          <w:lang w:eastAsia="en-GB"/>
        </w:rPr>
        <w:lastRenderedPageBreak/>
        <w:t>management, and community-based digital inclusion programs were among the areas of health and care covered by the studies. Different populations were represented. Some studies have looked at internet access in relation to socioeconomic disadvantages, ethnicity, language and other disadvantages, whereas others have looked at older age (Chadwick et al., 2024; Ahmed et al., 2024; Husain et al., 2024; Husain and Greenhalgh, 2025). So, the studies discussed different experiences and service contexts that assist in understanding digital exclusion and access among older people.</w:t>
      </w:r>
    </w:p>
    <w:p w14:paraId="42BB20C6" w14:textId="777E1698" w:rsidR="005E785B" w:rsidRPr="00373EC4" w:rsidRDefault="005E785B" w:rsidP="00373EC4">
      <w:pPr>
        <w:rPr>
          <w:rFonts w:ascii="Arial" w:hAnsi="Arial" w:cs="Arial"/>
          <w:lang w:eastAsia="en-GB"/>
        </w:rPr>
      </w:pPr>
      <w:bookmarkStart w:id="120" w:name="_Toc237944360"/>
      <w:r w:rsidRPr="00373EC4">
        <w:rPr>
          <w:rFonts w:ascii="Arial" w:hAnsi="Arial" w:cs="Arial"/>
          <w:b/>
          <w:bCs/>
          <w:lang w:eastAsia="en-GB"/>
        </w:rPr>
        <w:t xml:space="preserve">Table 4.1: </w:t>
      </w:r>
      <w:r w:rsidRPr="00373EC4">
        <w:rPr>
          <w:rFonts w:ascii="Arial" w:hAnsi="Arial" w:cs="Arial"/>
          <w:i/>
          <w:iCs/>
          <w:lang w:eastAsia="en-GB"/>
        </w:rPr>
        <w:t>Study Characteristics of Included Studies</w:t>
      </w:r>
      <w:bookmarkEnd w:id="120"/>
      <w:r w:rsidRPr="00373EC4">
        <w:rPr>
          <w:rFonts w:ascii="Arial" w:hAnsi="Arial" w:cs="Arial"/>
          <w:i/>
          <w:iCs/>
          <w:lang w:eastAsia="en-GB"/>
        </w:rPr>
        <w:t xml:space="preserve">, </w:t>
      </w:r>
      <w:r w:rsidRPr="00373EC4">
        <w:rPr>
          <w:rFonts w:ascii="Arial" w:hAnsi="Arial" w:cs="Arial"/>
          <w:lang w:eastAsia="en-GB"/>
        </w:rPr>
        <w:t xml:space="preserve">which will be found in Appendix </w:t>
      </w:r>
      <w:r w:rsidRPr="00373EC4">
        <w:rPr>
          <w:rFonts w:ascii="Arial" w:hAnsi="Arial" w:cs="Arial"/>
          <w:lang w:eastAsia="en-GB"/>
        </w:rPr>
        <w:t>1</w:t>
      </w:r>
      <w:r w:rsidRPr="00373EC4">
        <w:rPr>
          <w:rFonts w:ascii="Arial" w:hAnsi="Arial" w:cs="Arial"/>
          <w:lang w:eastAsia="en-GB"/>
        </w:rPr>
        <w:t>.</w:t>
      </w:r>
      <w:r w:rsidRPr="00373EC4">
        <w:rPr>
          <w:rFonts w:ascii="Arial" w:hAnsi="Arial" w:cs="Arial"/>
          <w:i/>
          <w:iCs/>
          <w:lang w:eastAsia="en-GB"/>
        </w:rPr>
        <w:t xml:space="preserve"> </w:t>
      </w:r>
    </w:p>
    <w:p w14:paraId="1FE531C2" w14:textId="77777777" w:rsidR="005E785B" w:rsidRDefault="005E785B" w:rsidP="005E785B">
      <w:pPr>
        <w:spacing w:before="100" w:after="100" w:line="240" w:lineRule="auto"/>
        <w:jc w:val="both"/>
        <w:outlineLvl w:val="0"/>
      </w:pPr>
    </w:p>
    <w:p w14:paraId="36B2B38C" w14:textId="77777777" w:rsidR="005E785B" w:rsidRPr="001F6351" w:rsidRDefault="005E785B" w:rsidP="005E785B">
      <w:pPr>
        <w:pStyle w:val="Heading2"/>
        <w:rPr>
          <w:rFonts w:ascii="Arial" w:hAnsi="Arial" w:cs="Arial"/>
        </w:rPr>
      </w:pPr>
      <w:bookmarkStart w:id="121" w:name="_Toc240143314"/>
      <w:r w:rsidRPr="001F6351">
        <w:rPr>
          <w:rFonts w:ascii="Arial" w:hAnsi="Arial" w:cs="Arial"/>
          <w:lang w:eastAsia="en-GB"/>
        </w:rPr>
        <w:t>4.3 Digital Capability and Confidence</w:t>
      </w:r>
      <w:bookmarkEnd w:id="121"/>
    </w:p>
    <w:p w14:paraId="009ED40F" w14:textId="77777777" w:rsidR="005E785B" w:rsidRDefault="005E785B" w:rsidP="005E785B">
      <w:pPr>
        <w:pStyle w:val="Heading2"/>
        <w:jc w:val="both"/>
        <w:rPr>
          <w:b w:val="0"/>
          <w:lang w:eastAsia="en-GB"/>
        </w:rPr>
      </w:pPr>
    </w:p>
    <w:p w14:paraId="683A00E3" w14:textId="77777777" w:rsidR="005E785B" w:rsidRPr="00B3298E" w:rsidRDefault="005E785B" w:rsidP="005E785B">
      <w:pPr>
        <w:spacing w:line="360" w:lineRule="auto"/>
        <w:jc w:val="both"/>
        <w:rPr>
          <w:rFonts w:ascii="Arial" w:hAnsi="Arial" w:cs="Arial"/>
        </w:rPr>
      </w:pPr>
      <w:r w:rsidRPr="00B3298E">
        <w:rPr>
          <w:rFonts w:ascii="Arial" w:hAnsi="Arial" w:cs="Arial"/>
        </w:rPr>
        <w:t>Digital proficiency and assurance were consistently observed in the study. Money et al. (2024) found that while more than 18 out of 24 older people were digitally active online, their online engagement was selective, and their confidence levels were different from others. Participation was also impacted by the availability of internet and the technological perspectives of different generations (Money et al., 2024).</w:t>
      </w:r>
    </w:p>
    <w:p w14:paraId="14410293" w14:textId="77777777" w:rsidR="005E785B" w:rsidRPr="00B3298E" w:rsidRDefault="005E785B" w:rsidP="005E785B">
      <w:pPr>
        <w:spacing w:line="360" w:lineRule="auto"/>
        <w:jc w:val="both"/>
        <w:rPr>
          <w:rFonts w:ascii="Arial" w:hAnsi="Arial" w:cs="Arial"/>
        </w:rPr>
      </w:pPr>
      <w:r w:rsidRPr="00B3298E">
        <w:rPr>
          <w:rFonts w:ascii="Arial" w:hAnsi="Arial" w:cs="Arial"/>
        </w:rPr>
        <w:t>A similar trend was seen in elderly and socioeconomically disadvantaged individuals in Chadwick et al. (2024), where they had limited opportunities to build digital skills, a lack of assistance, apprehension, and negative perceptions of technology limited participation. Both studies found that digital connectivity did not imply trust or willingness to use digital services (Money et al., 2024; Chadwick et al., 2024).</w:t>
      </w:r>
    </w:p>
    <w:p w14:paraId="1D0C74E1" w14:textId="77777777" w:rsidR="005E785B" w:rsidRPr="00B3298E" w:rsidRDefault="005E785B" w:rsidP="005E785B">
      <w:pPr>
        <w:spacing w:line="360" w:lineRule="auto"/>
        <w:jc w:val="both"/>
        <w:rPr>
          <w:rFonts w:ascii="Arial" w:hAnsi="Arial" w:cs="Arial"/>
        </w:rPr>
      </w:pPr>
      <w:r w:rsidRPr="00B3298E">
        <w:rPr>
          <w:rFonts w:ascii="Arial" w:hAnsi="Arial" w:cs="Arial"/>
        </w:rPr>
        <w:t>Digital proficiency also faced obstacles. Ahmed et al. (2024) found that older people from South Asian, Black African, and Caribbean backgrounds in England and Wales were also confronted with digital and linguistic challenges that restricted their access to digitalised primary care and increased their dependency on familial or community support. In a similar work, Poduval et al. (2025) identified interrelated challenges related to skills, confidence, access, trust, and motivation at a community Digital Health Hub in Northern England.</w:t>
      </w:r>
    </w:p>
    <w:p w14:paraId="01ECAD6A" w14:textId="77777777" w:rsidR="005E785B" w:rsidRPr="00B3298E" w:rsidRDefault="005E785B" w:rsidP="005E785B">
      <w:pPr>
        <w:spacing w:line="360" w:lineRule="auto"/>
        <w:jc w:val="both"/>
        <w:rPr>
          <w:rFonts w:ascii="Arial" w:hAnsi="Arial" w:cs="Arial"/>
        </w:rPr>
      </w:pPr>
      <w:r w:rsidRPr="00B3298E">
        <w:rPr>
          <w:rFonts w:ascii="Arial" w:hAnsi="Arial" w:cs="Arial"/>
        </w:rPr>
        <w:t>In several demographics and contexts, a lack of skill and self-assurance were prevalent obstacles, albeit with different conditions (Money et al., 2024; Chadwick et al., 2024; Ahmed et al., 2024; Poduval et al., 2025).</w:t>
      </w:r>
    </w:p>
    <w:p w14:paraId="6FC56E88" w14:textId="77777777" w:rsidR="005E785B" w:rsidRDefault="005E785B" w:rsidP="005E785B">
      <w:pPr>
        <w:spacing w:before="100" w:after="100" w:line="360" w:lineRule="auto"/>
        <w:jc w:val="both"/>
        <w:outlineLvl w:val="0"/>
        <w:rPr>
          <w:rFonts w:ascii="Arial" w:hAnsi="Arial" w:cs="Arial"/>
        </w:rPr>
      </w:pPr>
    </w:p>
    <w:p w14:paraId="042E4C00" w14:textId="77777777" w:rsidR="005E785B" w:rsidRPr="001F6351" w:rsidRDefault="005E785B" w:rsidP="005E785B">
      <w:pPr>
        <w:pStyle w:val="Heading2"/>
        <w:rPr>
          <w:rFonts w:ascii="Arial" w:hAnsi="Arial" w:cs="Arial"/>
        </w:rPr>
      </w:pPr>
      <w:bookmarkStart w:id="122" w:name="_Toc240143315"/>
      <w:r w:rsidRPr="001F6351">
        <w:rPr>
          <w:rFonts w:ascii="Arial" w:hAnsi="Arial" w:cs="Arial"/>
          <w:lang w:eastAsia="en-GB"/>
        </w:rPr>
        <w:t>4.4 Social and Structural Inequalities in Digital Access</w:t>
      </w:r>
      <w:bookmarkEnd w:id="122"/>
    </w:p>
    <w:p w14:paraId="7F265877" w14:textId="77777777" w:rsidR="005E785B" w:rsidRDefault="005E785B" w:rsidP="005E785B">
      <w:pPr>
        <w:spacing w:before="100" w:after="100" w:line="360" w:lineRule="auto"/>
        <w:jc w:val="both"/>
        <w:outlineLvl w:val="1"/>
        <w:rPr>
          <w:rFonts w:ascii="Arial" w:eastAsia="Times New Roman" w:hAnsi="Arial" w:cs="Arial"/>
          <w:b/>
          <w:bCs/>
          <w:kern w:val="0"/>
          <w:lang w:eastAsia="en-GB"/>
        </w:rPr>
      </w:pPr>
    </w:p>
    <w:p w14:paraId="7D1CBD78" w14:textId="77777777" w:rsidR="005E785B" w:rsidRPr="00B3298E" w:rsidRDefault="005E785B" w:rsidP="005E785B">
      <w:pPr>
        <w:spacing w:line="360" w:lineRule="auto"/>
        <w:jc w:val="both"/>
        <w:rPr>
          <w:rFonts w:ascii="Arial" w:hAnsi="Arial" w:cs="Arial"/>
        </w:rPr>
      </w:pPr>
      <w:r w:rsidRPr="00B3298E">
        <w:rPr>
          <w:rFonts w:ascii="Arial" w:hAnsi="Arial" w:cs="Arial"/>
        </w:rPr>
        <w:lastRenderedPageBreak/>
        <w:t xml:space="preserve">Digital exclusion was also associated with broader social and structural inequalities and individual digital abilities. Chadwick et al. (2024) found that elderly people with economic hardships had fewer opportunities to develop digital skills and that there was a gap </w:t>
      </w:r>
      <w:r>
        <w:rPr>
          <w:rFonts w:ascii="Arial" w:hAnsi="Arial" w:cs="Arial"/>
        </w:rPr>
        <w:t>in</w:t>
      </w:r>
      <w:r w:rsidRPr="00B3298E">
        <w:rPr>
          <w:rFonts w:ascii="Arial" w:hAnsi="Arial" w:cs="Arial"/>
        </w:rPr>
        <w:t xml:space="preserve"> experiences, knowledge and accessibility among them. Husain et al. (2024) discovered that the digital disadvantage faced by marginalised older people was a result of more than one social, linguistic and socioeconomic factor but of a combination of those factors, and not the age of the elderly.</w:t>
      </w:r>
    </w:p>
    <w:p w14:paraId="529DA8B1" w14:textId="77777777" w:rsidR="005E785B" w:rsidRPr="00B3298E" w:rsidRDefault="005E785B" w:rsidP="005E785B">
      <w:pPr>
        <w:spacing w:line="360" w:lineRule="auto"/>
        <w:jc w:val="both"/>
        <w:rPr>
          <w:rFonts w:ascii="Arial" w:hAnsi="Arial" w:cs="Arial"/>
        </w:rPr>
      </w:pPr>
      <w:r w:rsidRPr="00B3298E">
        <w:rPr>
          <w:rFonts w:ascii="Arial" w:hAnsi="Arial" w:cs="Arial"/>
        </w:rPr>
        <w:t>Language was crucial in the research on racially and linguistically diverse groups. Ahmed et al. (2024) found that elderly people from South Asian, Black African, and Caribbean communities were faced with language and computer challenges in digital primary care services. Husain and Greenhalgh (2025) also noted the interplay of poor English proficiency, economic disadvantage, and digital exclusion in disadvantaged elderly individuals via video consultations.</w:t>
      </w:r>
    </w:p>
    <w:p w14:paraId="055D7123" w14:textId="77777777" w:rsidR="005E785B" w:rsidRPr="00B3298E" w:rsidRDefault="005E785B" w:rsidP="005E785B">
      <w:pPr>
        <w:spacing w:line="360" w:lineRule="auto"/>
        <w:jc w:val="both"/>
        <w:rPr>
          <w:rFonts w:ascii="Arial" w:hAnsi="Arial" w:cs="Arial"/>
        </w:rPr>
      </w:pPr>
      <w:r w:rsidRPr="00B3298E">
        <w:rPr>
          <w:rFonts w:ascii="Arial" w:hAnsi="Arial" w:cs="Arial"/>
        </w:rPr>
        <w:t>Wang and Hinojosa (2026) identified structural, organisational and individual barriers to older people’s access to mental health care in an alternative service context. In these settings, shared experiences included limited digital proficiency, diminished access to assistance, and barriers associated with wider disadvantages, but the specific situations were different for different populations and services (Chadwick et al., 2024; Ahmed et al., 2024; Husain et al., 2024; Husain and Greenhalgh, 2025; Wang and Hinojosa, 2026).</w:t>
      </w:r>
    </w:p>
    <w:p w14:paraId="6CC9EF3A" w14:textId="77777777" w:rsidR="005E785B" w:rsidRDefault="005E785B" w:rsidP="005E785B">
      <w:pPr>
        <w:spacing w:before="100" w:after="100" w:line="360" w:lineRule="auto"/>
        <w:jc w:val="both"/>
        <w:outlineLvl w:val="0"/>
        <w:rPr>
          <w:rFonts w:ascii="Arial" w:hAnsi="Arial" w:cs="Arial"/>
        </w:rPr>
      </w:pPr>
    </w:p>
    <w:p w14:paraId="19EB8806" w14:textId="77777777" w:rsidR="005E785B" w:rsidRPr="001F6351" w:rsidRDefault="005E785B" w:rsidP="005E785B">
      <w:pPr>
        <w:pStyle w:val="Heading2"/>
        <w:rPr>
          <w:rFonts w:ascii="Arial" w:hAnsi="Arial" w:cs="Arial"/>
        </w:rPr>
      </w:pPr>
      <w:bookmarkStart w:id="123" w:name="_Toc240143316"/>
      <w:r w:rsidRPr="001F6351">
        <w:rPr>
          <w:rFonts w:ascii="Arial" w:hAnsi="Arial" w:cs="Arial"/>
          <w:lang w:eastAsia="en-GB"/>
        </w:rPr>
        <w:t>4.5 Human Support and Preferences of Choice in Service Access</w:t>
      </w:r>
      <w:bookmarkEnd w:id="123"/>
    </w:p>
    <w:p w14:paraId="7BCDFCB5" w14:textId="77777777" w:rsidR="005E785B" w:rsidRPr="00251A1E" w:rsidRDefault="005E785B" w:rsidP="005E785B">
      <w:pPr>
        <w:jc w:val="both"/>
        <w:rPr>
          <w:lang w:eastAsia="en-GB"/>
        </w:rPr>
      </w:pPr>
    </w:p>
    <w:p w14:paraId="2864A43E" w14:textId="77777777" w:rsidR="005E785B" w:rsidRPr="00B3298E" w:rsidRDefault="005E785B" w:rsidP="005E785B">
      <w:pPr>
        <w:spacing w:line="360" w:lineRule="auto"/>
        <w:jc w:val="both"/>
        <w:rPr>
          <w:rFonts w:ascii="Arial" w:hAnsi="Arial" w:cs="Arial"/>
        </w:rPr>
      </w:pPr>
      <w:r w:rsidRPr="00B3298E">
        <w:rPr>
          <w:rFonts w:ascii="Arial" w:hAnsi="Arial" w:cs="Arial"/>
        </w:rPr>
        <w:t>Was found that assistance from people affected elderly people's ability to use digital services. Money et al. (2024) found that assistance increased involvement online among those over 75, but people who were digitally proficient did not want to transfer everything to the internet. Some people continued to use traditional approaches (e.g. visit GP surgeries) (Money et al., 2024). Ahmed et al. (2024) found that senior people with simultaneous language and digital challenges often relied on younger relatives or community organisations for assistance.</w:t>
      </w:r>
    </w:p>
    <w:p w14:paraId="37FD94FF" w14:textId="77777777" w:rsidR="005E785B" w:rsidRPr="00B3298E" w:rsidRDefault="005E785B" w:rsidP="005E785B">
      <w:pPr>
        <w:spacing w:line="360" w:lineRule="auto"/>
        <w:jc w:val="both"/>
        <w:rPr>
          <w:rFonts w:ascii="Arial" w:hAnsi="Arial" w:cs="Arial"/>
        </w:rPr>
      </w:pPr>
      <w:r w:rsidRPr="00B3298E">
        <w:rPr>
          <w:rFonts w:ascii="Arial" w:hAnsi="Arial" w:cs="Arial"/>
        </w:rPr>
        <w:t>Different preferences for service accessibility were also observed. Ahmed et al. (2024) found that several people preferred in-person care and were interested in alternatives beyond internet access. Paskins et al. (2022) also found different preferences for remote consultations among elderly patients suffering from osteoporosis and rheumatoid arthritis, where remote access was beneficial for some people and in-person care was important for others.</w:t>
      </w:r>
    </w:p>
    <w:p w14:paraId="1649D680" w14:textId="77777777" w:rsidR="005E785B" w:rsidRPr="00B3298E" w:rsidRDefault="005E785B" w:rsidP="005E785B">
      <w:pPr>
        <w:spacing w:line="360" w:lineRule="auto"/>
        <w:jc w:val="both"/>
        <w:rPr>
          <w:rFonts w:ascii="Arial" w:hAnsi="Arial" w:cs="Arial"/>
        </w:rPr>
      </w:pPr>
      <w:r w:rsidRPr="00B3298E">
        <w:rPr>
          <w:rFonts w:ascii="Arial" w:hAnsi="Arial" w:cs="Arial"/>
        </w:rPr>
        <w:lastRenderedPageBreak/>
        <w:t>Rousaki et al. (2024) studied elderly unpaid carers in a social care environment and found that digitalisation might enhance caregiving but was difficult to navigate if digital platforms did not capture carers' realities and needs for support. In most health and social care settings, digital access did not diminish the importance of human assistance or personal preference in service utilisation (Money et al., 2024; Rousaki et al., 2024; Ahmed et al., 2024; Paskins et al., 2022).</w:t>
      </w:r>
    </w:p>
    <w:p w14:paraId="29B6BA81" w14:textId="77777777" w:rsidR="005E785B" w:rsidRPr="00B3298E" w:rsidRDefault="005E785B" w:rsidP="005E785B">
      <w:pPr>
        <w:spacing w:line="360" w:lineRule="auto"/>
        <w:jc w:val="both"/>
        <w:rPr>
          <w:rFonts w:ascii="Arial" w:hAnsi="Arial" w:cs="Arial"/>
        </w:rPr>
      </w:pPr>
    </w:p>
    <w:p w14:paraId="621D9DB6" w14:textId="77777777" w:rsidR="005E785B" w:rsidRPr="001F6351" w:rsidRDefault="005E785B" w:rsidP="005E785B">
      <w:pPr>
        <w:pStyle w:val="Heading2"/>
        <w:rPr>
          <w:rFonts w:ascii="Arial" w:hAnsi="Arial" w:cs="Arial"/>
        </w:rPr>
      </w:pPr>
      <w:bookmarkStart w:id="124" w:name="_Toc240143317"/>
      <w:r w:rsidRPr="001F6351">
        <w:rPr>
          <w:rFonts w:ascii="Arial" w:hAnsi="Arial" w:cs="Arial"/>
          <w:lang w:eastAsia="en-GB"/>
        </w:rPr>
        <w:t>4.6 Service Design, Trust and Usability</w:t>
      </w:r>
      <w:bookmarkEnd w:id="124"/>
    </w:p>
    <w:p w14:paraId="25382776" w14:textId="77777777" w:rsidR="005E785B" w:rsidRPr="00B3298E" w:rsidRDefault="005E785B" w:rsidP="005E785B">
      <w:pPr>
        <w:spacing w:line="360" w:lineRule="auto"/>
        <w:jc w:val="both"/>
        <w:rPr>
          <w:rFonts w:ascii="Arial" w:hAnsi="Arial" w:cs="Arial"/>
        </w:rPr>
      </w:pPr>
      <w:r w:rsidRPr="00B3298E">
        <w:rPr>
          <w:rFonts w:ascii="Arial" w:hAnsi="Arial" w:cs="Arial"/>
        </w:rPr>
        <w:t>The design of services, usability and trust of services affected service use in digital health and care services. Clohessy et al. (2024) found that the perception of older people about digital musculoskeletal platforms was related to digital literacy, trust, usability and a preference for human interaction. Although self-management was a benefit for the participants, many voiced reservations about the quality of digital platforms and the substitution of in-person healthcare (Clohessy et al., 2024).</w:t>
      </w:r>
    </w:p>
    <w:p w14:paraId="764E9342" w14:textId="77777777" w:rsidR="005E785B" w:rsidRPr="00B3298E" w:rsidRDefault="005E785B" w:rsidP="005E785B">
      <w:pPr>
        <w:spacing w:line="360" w:lineRule="auto"/>
        <w:jc w:val="both"/>
        <w:rPr>
          <w:rFonts w:ascii="Arial" w:hAnsi="Arial" w:cs="Arial"/>
        </w:rPr>
      </w:pPr>
      <w:r w:rsidRPr="00B3298E">
        <w:rPr>
          <w:rFonts w:ascii="Arial" w:hAnsi="Arial" w:cs="Arial"/>
        </w:rPr>
        <w:t>Confidence was also evident in another group. Chadwick et al. (2024) evaluated older people from socially disadvantaged backgrounds and found anxiety and distrust in the effectiveness of digital health devices. Both studies found that participation, while digital proficiency was relevant, was dependent on users' perception of trustworthiness, utility and suitability for their needs (Chadwick et al., 2024; Clohessy et al., 2024).</w:t>
      </w:r>
    </w:p>
    <w:p w14:paraId="3F74506D" w14:textId="77777777" w:rsidR="005E785B" w:rsidRPr="00B3298E" w:rsidRDefault="005E785B" w:rsidP="005E785B">
      <w:pPr>
        <w:spacing w:line="360" w:lineRule="auto"/>
        <w:jc w:val="both"/>
        <w:rPr>
          <w:rFonts w:ascii="Arial" w:hAnsi="Arial" w:cs="Arial"/>
        </w:rPr>
      </w:pPr>
      <w:r w:rsidRPr="00B3298E">
        <w:rPr>
          <w:rFonts w:ascii="Arial" w:hAnsi="Arial" w:cs="Arial"/>
        </w:rPr>
        <w:t>Wanless et al. (2024) investigated a digital self-management service for musculoskeletal conditions in populations that are most vulnerable to digital exclusion and highlighted inclusion factors that were related to fair participation. There were no favourable or unfavourable encounters throughout the research; advantages were not always balanced with concerns about trust, usability and accessibility, irrespective of demographics and service environment (Chadwick et al., 2024; Clohessy et al., 2024; Wanless et al., 2024).</w:t>
      </w:r>
    </w:p>
    <w:p w14:paraId="6C3E2C67" w14:textId="77777777" w:rsidR="005E785B" w:rsidRDefault="005E785B" w:rsidP="005E785B">
      <w:pPr>
        <w:spacing w:before="100" w:after="100" w:line="360" w:lineRule="auto"/>
        <w:jc w:val="both"/>
        <w:outlineLvl w:val="0"/>
        <w:rPr>
          <w:rFonts w:ascii="Arial" w:hAnsi="Arial" w:cs="Arial"/>
        </w:rPr>
      </w:pPr>
    </w:p>
    <w:p w14:paraId="283A5E36" w14:textId="77777777" w:rsidR="005E785B" w:rsidRPr="001F6351" w:rsidRDefault="005E785B" w:rsidP="005E785B">
      <w:pPr>
        <w:pStyle w:val="Heading2"/>
        <w:rPr>
          <w:rFonts w:ascii="Arial" w:hAnsi="Arial" w:cs="Arial"/>
        </w:rPr>
      </w:pPr>
      <w:bookmarkStart w:id="125" w:name="_Toc240143318"/>
      <w:r w:rsidRPr="001F6351">
        <w:rPr>
          <w:rFonts w:ascii="Arial" w:hAnsi="Arial" w:cs="Arial"/>
          <w:lang w:eastAsia="en-GB"/>
        </w:rPr>
        <w:t>4.7 Summary of Findings</w:t>
      </w:r>
      <w:bookmarkEnd w:id="125"/>
    </w:p>
    <w:p w14:paraId="623CFB95" w14:textId="77777777" w:rsidR="005E785B" w:rsidRPr="00B3298E" w:rsidRDefault="005E785B" w:rsidP="005E785B">
      <w:pPr>
        <w:spacing w:line="360" w:lineRule="auto"/>
        <w:jc w:val="both"/>
        <w:rPr>
          <w:rFonts w:ascii="Arial" w:hAnsi="Arial" w:cs="Arial"/>
          <w:lang w:eastAsia="en-GB"/>
        </w:rPr>
      </w:pPr>
      <w:r w:rsidRPr="00B3298E">
        <w:rPr>
          <w:rFonts w:ascii="Arial" w:hAnsi="Arial" w:cs="Arial"/>
          <w:lang w:eastAsia="en-GB"/>
        </w:rPr>
        <w:t>The review identified four interconnected areas influencing older adults' engagement with digital health and social care services: digital capability and confidence; social and structural inequalities; human support and service choice; and service design, trust and usability (Chadwick et al., 2024; Money et al., 2024; Ahmed et al., 2024; Clohessy et al., 2024).</w:t>
      </w:r>
    </w:p>
    <w:p w14:paraId="588C6549" w14:textId="77777777" w:rsidR="005E785B" w:rsidRPr="00B3298E" w:rsidRDefault="005E785B" w:rsidP="005E785B">
      <w:pPr>
        <w:spacing w:line="360" w:lineRule="auto"/>
        <w:jc w:val="both"/>
        <w:rPr>
          <w:rFonts w:ascii="Arial" w:hAnsi="Arial" w:cs="Arial"/>
          <w:lang w:eastAsia="en-GB"/>
        </w:rPr>
      </w:pPr>
      <w:r w:rsidRPr="00B3298E">
        <w:rPr>
          <w:rFonts w:ascii="Arial" w:hAnsi="Arial" w:cs="Arial"/>
          <w:lang w:eastAsia="en-GB"/>
        </w:rPr>
        <w:t xml:space="preserve">Across the evidence, experiences varied according to individual and social circumstances, while support and access to alternative service routes remained important for some participants (Rousaki et al., 2024; Ahmed et al., 2024; Paskins et al., 2022). These findings </w:t>
      </w:r>
      <w:r w:rsidRPr="00B3298E">
        <w:rPr>
          <w:rFonts w:ascii="Arial" w:hAnsi="Arial" w:cs="Arial"/>
          <w:lang w:eastAsia="en-GB"/>
        </w:rPr>
        <w:lastRenderedPageBreak/>
        <w:t>provide the basis for the critical interpretation and comparison with wider literature presented in Chapter 5.</w:t>
      </w:r>
    </w:p>
    <w:p w14:paraId="16713BB7" w14:textId="77777777" w:rsidR="005E785B" w:rsidRDefault="005E785B">
      <w:pPr>
        <w:pStyle w:val="Heading1"/>
        <w:ind w:left="12" w:right="3"/>
        <w:rPr>
          <w:rFonts w:asciiTheme="minorBidi" w:hAnsiTheme="minorBidi" w:cstheme="minorBidi"/>
        </w:rPr>
      </w:pPr>
    </w:p>
    <w:p w14:paraId="2981C26E" w14:textId="77777777" w:rsidR="005E785B" w:rsidRDefault="005E785B">
      <w:pPr>
        <w:pStyle w:val="Heading1"/>
        <w:ind w:left="12" w:right="3"/>
        <w:rPr>
          <w:rFonts w:asciiTheme="minorBidi" w:hAnsiTheme="minorBidi" w:cstheme="minorBidi"/>
        </w:rPr>
      </w:pPr>
    </w:p>
    <w:p w14:paraId="6B655881" w14:textId="77777777" w:rsidR="005E785B" w:rsidRDefault="005E785B">
      <w:pPr>
        <w:pStyle w:val="Heading1"/>
        <w:ind w:left="12" w:right="3"/>
        <w:rPr>
          <w:rFonts w:asciiTheme="minorBidi" w:hAnsiTheme="minorBidi" w:cstheme="minorBidi"/>
        </w:rPr>
      </w:pPr>
    </w:p>
    <w:p w14:paraId="0AEB857C" w14:textId="77777777" w:rsidR="005E785B" w:rsidRDefault="005E785B">
      <w:pPr>
        <w:pStyle w:val="Heading1"/>
        <w:ind w:left="12" w:right="3"/>
        <w:rPr>
          <w:rFonts w:asciiTheme="minorBidi" w:hAnsiTheme="minorBidi" w:cstheme="minorBidi"/>
        </w:rPr>
      </w:pPr>
    </w:p>
    <w:p w14:paraId="1E0DD3AE" w14:textId="2A013218" w:rsidR="009F64C5" w:rsidRPr="001F6351" w:rsidRDefault="00DD7AA5">
      <w:pPr>
        <w:pStyle w:val="Heading1"/>
        <w:ind w:left="12" w:right="3"/>
        <w:rPr>
          <w:rFonts w:ascii="Arial" w:hAnsi="Arial" w:cs="Arial"/>
          <w:sz w:val="28"/>
          <w:szCs w:val="28"/>
        </w:rPr>
      </w:pPr>
      <w:bookmarkStart w:id="126" w:name="_Toc240143319"/>
      <w:r w:rsidRPr="001F6351">
        <w:rPr>
          <w:rFonts w:ascii="Arial" w:hAnsi="Arial" w:cs="Arial"/>
          <w:sz w:val="28"/>
          <w:szCs w:val="28"/>
        </w:rPr>
        <w:t xml:space="preserve">Chapter 5: </w:t>
      </w:r>
      <w:r w:rsidR="009F64C5" w:rsidRPr="001F6351">
        <w:rPr>
          <w:rFonts w:ascii="Arial" w:hAnsi="Arial" w:cs="Arial"/>
          <w:sz w:val="28"/>
          <w:szCs w:val="28"/>
        </w:rPr>
        <w:t>Discussion</w:t>
      </w:r>
      <w:bookmarkEnd w:id="126"/>
      <w:r w:rsidR="009F64C5" w:rsidRPr="001F6351">
        <w:rPr>
          <w:rFonts w:ascii="Arial" w:hAnsi="Arial" w:cs="Arial"/>
          <w:sz w:val="28"/>
          <w:szCs w:val="28"/>
        </w:rPr>
        <w:t xml:space="preserve"> </w:t>
      </w:r>
      <w:bookmarkEnd w:id="115"/>
    </w:p>
    <w:p w14:paraId="137E6C91" w14:textId="77777777" w:rsidR="009F64C5" w:rsidRPr="007F1C8A" w:rsidRDefault="009F64C5">
      <w:pPr>
        <w:spacing w:after="254"/>
        <w:rPr>
          <w:rFonts w:asciiTheme="minorBidi" w:hAnsiTheme="minorBidi"/>
        </w:rPr>
      </w:pPr>
      <w:r w:rsidRPr="007F1C8A">
        <w:rPr>
          <w:rFonts w:asciiTheme="minorBidi" w:hAnsiTheme="minorBidi"/>
        </w:rPr>
        <w:t xml:space="preserve"> </w:t>
      </w:r>
    </w:p>
    <w:p w14:paraId="1B82E00C" w14:textId="40C8B632" w:rsidR="005E785B" w:rsidRPr="001F6351" w:rsidRDefault="005E785B" w:rsidP="005E785B">
      <w:pPr>
        <w:pStyle w:val="Heading2"/>
        <w:rPr>
          <w:rFonts w:ascii="Arial" w:hAnsi="Arial" w:cs="Arial"/>
        </w:rPr>
      </w:pPr>
      <w:bookmarkStart w:id="127" w:name="_Toc12221"/>
      <w:bookmarkStart w:id="128" w:name="_Toc240143320"/>
      <w:r w:rsidRPr="001F6351">
        <w:rPr>
          <w:rFonts w:ascii="Arial" w:hAnsi="Arial" w:cs="Arial"/>
        </w:rPr>
        <w:t>5.1 Introduction</w:t>
      </w:r>
      <w:bookmarkEnd w:id="128"/>
    </w:p>
    <w:p w14:paraId="06D9EE4D" w14:textId="77777777" w:rsidR="005E785B" w:rsidRPr="00156F7E" w:rsidRDefault="005E785B" w:rsidP="005E785B">
      <w:pPr>
        <w:spacing w:line="360" w:lineRule="auto"/>
        <w:jc w:val="both"/>
        <w:rPr>
          <w:rFonts w:ascii="Arial" w:hAnsi="Arial" w:cs="Arial"/>
        </w:rPr>
      </w:pPr>
      <w:r>
        <w:rPr>
          <w:rFonts w:ascii="Arial" w:hAnsi="Arial" w:cs="Arial"/>
        </w:rPr>
        <w:t>This study aimed</w:t>
      </w:r>
      <w:r w:rsidRPr="00156F7E">
        <w:rPr>
          <w:rFonts w:ascii="Arial" w:hAnsi="Arial" w:cs="Arial"/>
        </w:rPr>
        <w:t xml:space="preserve"> to explore the lived experiences of digital exclusion among older adults aged 65 and over and how digital exclusion influences their access to public health and social care services in the UK. The review identified four interconnected themes: digital capability and confidence; social and structural inequalities; human support and service choice; and service design, trust and usability.</w:t>
      </w:r>
    </w:p>
    <w:p w14:paraId="7197AD74" w14:textId="77777777" w:rsidR="005E785B" w:rsidRPr="00156F7E" w:rsidRDefault="005E785B" w:rsidP="005E785B">
      <w:pPr>
        <w:spacing w:line="360" w:lineRule="auto"/>
        <w:jc w:val="both"/>
        <w:rPr>
          <w:rFonts w:ascii="Arial" w:hAnsi="Arial" w:cs="Arial"/>
        </w:rPr>
      </w:pPr>
      <w:r w:rsidRPr="00156F7E">
        <w:rPr>
          <w:rFonts w:ascii="Arial" w:hAnsi="Arial" w:cs="Arial"/>
        </w:rPr>
        <w:t>Overall, the findings indicate that digital exclusion is not determined simply by whether an older person has access to the internet or a digital device. Engagement with digital health and social care services was also shaped by digital skills and confidence, social and economic circumstances, language, access to support, and the way digital services were designed. Experiences therefore varied among older adults rather than reflecting a single pattern associated with age.</w:t>
      </w:r>
    </w:p>
    <w:p w14:paraId="62E61ECB" w14:textId="77777777" w:rsidR="005E785B" w:rsidRPr="00156F7E" w:rsidRDefault="005E785B" w:rsidP="005E785B">
      <w:pPr>
        <w:spacing w:line="360" w:lineRule="auto"/>
        <w:jc w:val="both"/>
        <w:rPr>
          <w:rFonts w:ascii="Arial" w:hAnsi="Arial" w:cs="Arial"/>
        </w:rPr>
      </w:pPr>
      <w:r w:rsidRPr="00156F7E">
        <w:rPr>
          <w:rFonts w:ascii="Arial" w:hAnsi="Arial" w:cs="Arial"/>
        </w:rPr>
        <w:t>Human support and the availability of different ways to access services were also important. Although digital services offered benefits for some older adults, others continued to value telephone, face-to-face or supported forms of access. Trust, usability and preference for human interaction further influenced engagement with digital services.</w:t>
      </w:r>
    </w:p>
    <w:p w14:paraId="31384211" w14:textId="77777777" w:rsidR="005E785B" w:rsidRDefault="005E785B" w:rsidP="005E785B">
      <w:pPr>
        <w:spacing w:line="360" w:lineRule="auto"/>
        <w:jc w:val="both"/>
        <w:rPr>
          <w:rFonts w:ascii="Arial" w:hAnsi="Arial" w:cs="Arial"/>
        </w:rPr>
      </w:pPr>
      <w:r w:rsidRPr="00156F7E">
        <w:rPr>
          <w:rFonts w:ascii="Arial" w:hAnsi="Arial" w:cs="Arial"/>
        </w:rPr>
        <w:t>The following sections critically interpret these four themes and compare the findings with wider literature. Attention is given to what the findings mean for equitable access to public health and social care services and for the development of inclusive digital services in the UK.</w:t>
      </w:r>
    </w:p>
    <w:p w14:paraId="564B445D" w14:textId="77777777" w:rsidR="005E785B" w:rsidRPr="001F6351" w:rsidRDefault="005E785B" w:rsidP="005E785B">
      <w:pPr>
        <w:pStyle w:val="Heading2"/>
        <w:rPr>
          <w:rFonts w:ascii="Arial" w:hAnsi="Arial" w:cs="Arial"/>
        </w:rPr>
      </w:pPr>
      <w:bookmarkStart w:id="129" w:name="_Toc240143321"/>
      <w:r w:rsidRPr="001F6351">
        <w:rPr>
          <w:rFonts w:ascii="Arial" w:hAnsi="Arial" w:cs="Arial"/>
          <w:lang w:eastAsia="en-GB"/>
        </w:rPr>
        <w:t>5.2 Digital Capability and Confidence</w:t>
      </w:r>
      <w:bookmarkEnd w:id="129"/>
    </w:p>
    <w:p w14:paraId="208A9AD9" w14:textId="77777777" w:rsidR="005E785B" w:rsidRPr="00496DC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496DC7">
        <w:rPr>
          <w:rFonts w:ascii="Arial" w:eastAsia="Times New Roman" w:hAnsi="Arial" w:cs="Arial"/>
          <w:kern w:val="0"/>
          <w:lang w:eastAsia="en-GB"/>
          <w14:ligatures w14:val="none"/>
        </w:rPr>
        <w:t xml:space="preserve">Digital capability and confidence emerged as an important influence on older adults’ engagement with digital health and social care services. Across the reviewed evidence, access to the internet or a digital device did not necessarily enable older adults to engage effectively with digital services. Skills, previous experience, motivation and confidence </w:t>
      </w:r>
      <w:r w:rsidRPr="00496DC7">
        <w:rPr>
          <w:rFonts w:ascii="Arial" w:eastAsia="Times New Roman" w:hAnsi="Arial" w:cs="Arial"/>
          <w:kern w:val="0"/>
          <w:lang w:eastAsia="en-GB"/>
          <w14:ligatures w14:val="none"/>
        </w:rPr>
        <w:lastRenderedPageBreak/>
        <w:t xml:space="preserve">influenced how digital access was experienced, while anxiety and limited support could create further difficulties. This indicates that digital inclusion involves more than providing technology; it also depends on whether individuals </w:t>
      </w:r>
      <w:r>
        <w:rPr>
          <w:rFonts w:ascii="Arial" w:eastAsia="Times New Roman" w:hAnsi="Arial" w:cs="Arial"/>
          <w:kern w:val="0"/>
          <w:lang w:eastAsia="en-GB"/>
          <w14:ligatures w14:val="none"/>
        </w:rPr>
        <w:t>can</w:t>
      </w:r>
      <w:r w:rsidRPr="00496DC7">
        <w:rPr>
          <w:rFonts w:ascii="Arial" w:eastAsia="Times New Roman" w:hAnsi="Arial" w:cs="Arial"/>
          <w:kern w:val="0"/>
          <w:lang w:eastAsia="en-GB"/>
          <w14:ligatures w14:val="none"/>
        </w:rPr>
        <w:t xml:space="preserve"> use it in ways that allow them to access services.</w:t>
      </w:r>
    </w:p>
    <w:p w14:paraId="0063425D" w14:textId="77777777" w:rsidR="005E785B" w:rsidRPr="00496DC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496DC7">
        <w:rPr>
          <w:rFonts w:ascii="Arial" w:eastAsia="Times New Roman" w:hAnsi="Arial" w:cs="Arial"/>
          <w:kern w:val="0"/>
          <w:lang w:eastAsia="en-GB"/>
          <w14:ligatures w14:val="none"/>
        </w:rPr>
        <w:t xml:space="preserve">In the context of the review, </w:t>
      </w:r>
      <w:r w:rsidRPr="00496DC7">
        <w:rPr>
          <w:rFonts w:ascii="Arial" w:eastAsia="Times New Roman" w:hAnsi="Arial" w:cs="Arial"/>
          <w:b/>
          <w:bCs/>
          <w:kern w:val="0"/>
          <w:lang w:eastAsia="en-GB"/>
          <w14:ligatures w14:val="none"/>
        </w:rPr>
        <w:t>digital confidence can be understood as an individual’s perceived ability and willingness to engage with digital services without feeling unable, anxious or excessively dependent on others</w:t>
      </w:r>
      <w:r w:rsidRPr="00496DC7">
        <w:rPr>
          <w:rFonts w:ascii="Arial" w:eastAsia="Times New Roman" w:hAnsi="Arial" w:cs="Arial"/>
          <w:kern w:val="0"/>
          <w:lang w:eastAsia="en-GB"/>
          <w14:ligatures w14:val="none"/>
        </w:rPr>
        <w:t>. Confidence therefore extends beyond knowing how to operate a device. It may influence whether an older adult is willing to attempt an online task, respond to difficulties and continue using a digital service. Consequently, an individual may have internet access but still experience exclusion if they do not feel sufficiently confident to use a health or social care service independently. This helps explain why connectivity alone cannot be treated as evidence of meaningful digital inclusion.</w:t>
      </w:r>
    </w:p>
    <w:p w14:paraId="7AF5A0DB" w14:textId="77777777" w:rsidR="005E785B" w:rsidRPr="00496DC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496DC7">
        <w:rPr>
          <w:rFonts w:ascii="Arial" w:eastAsia="Times New Roman" w:hAnsi="Arial" w:cs="Arial"/>
          <w:kern w:val="0"/>
          <w:lang w:eastAsia="en-GB"/>
          <w14:ligatures w14:val="none"/>
        </w:rPr>
        <w:t>Similar conclusions have been reported in the wider literature. Kebede et al. (2022) identified capability, opportunity and motivation as interconnected influences on older adults’ engagement with digital technologies, while Hill et al. (2015) demonstrated considerable variation in older adults’ experiences of technology. The agreement between the present review and wider research supports a broader understanding of digital exclusion, in which physical access represents only one aspect of engagement. Digital capability and confidence may therefore help explain why apparently connected individuals can still encounter difficulties when services require them to interact online.</w:t>
      </w:r>
    </w:p>
    <w:p w14:paraId="3C28DECE" w14:textId="77777777" w:rsidR="005E785B" w:rsidRPr="00496DC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496DC7">
        <w:rPr>
          <w:rFonts w:ascii="Arial" w:eastAsia="Times New Roman" w:hAnsi="Arial" w:cs="Arial"/>
          <w:kern w:val="0"/>
          <w:lang w:eastAsia="en-GB"/>
          <w14:ligatures w14:val="none"/>
        </w:rPr>
        <w:t>Chronological age alone also appears insufficient to explain differences in digital capability. The reviewed evidence showed variation in engagement and confidence among older adults</w:t>
      </w:r>
      <w:r>
        <w:rPr>
          <w:rFonts w:ascii="Arial" w:eastAsia="Times New Roman" w:hAnsi="Arial" w:cs="Arial"/>
          <w:kern w:val="0"/>
          <w:lang w:eastAsia="en-GB"/>
          <w14:ligatures w14:val="none"/>
        </w:rPr>
        <w:t>, rather than a uniform pattern associated with age</w:t>
      </w:r>
      <w:r w:rsidRPr="00496DC7">
        <w:rPr>
          <w:rFonts w:ascii="Arial" w:eastAsia="Times New Roman" w:hAnsi="Arial" w:cs="Arial"/>
          <w:kern w:val="0"/>
          <w:lang w:eastAsia="en-GB"/>
          <w14:ligatures w14:val="none"/>
        </w:rPr>
        <w:t xml:space="preserve"> 65 or over. Gallistl et al. (2020) similarly challenge assumptions that later-life digital engagement is homogeneous. The comparison is important because defining older adults primarily through age may conceal substantial differences in experience, skills and support needs. Some individuals may require considerable assistance, while others may be confident digital users who nevertheless choose not to use </w:t>
      </w:r>
      <w:r>
        <w:rPr>
          <w:rFonts w:ascii="Arial" w:eastAsia="Times New Roman" w:hAnsi="Arial" w:cs="Arial"/>
          <w:kern w:val="0"/>
          <w:lang w:eastAsia="en-GB"/>
          <w14:ligatures w14:val="none"/>
        </w:rPr>
        <w:t>certain online services</w:t>
      </w:r>
      <w:r w:rsidRPr="00496DC7">
        <w:rPr>
          <w:rFonts w:ascii="Arial" w:eastAsia="Times New Roman" w:hAnsi="Arial" w:cs="Arial"/>
          <w:kern w:val="0"/>
          <w:lang w:eastAsia="en-GB"/>
          <w14:ligatures w14:val="none"/>
        </w:rPr>
        <w:t>.</w:t>
      </w:r>
    </w:p>
    <w:p w14:paraId="06F8669F" w14:textId="77777777" w:rsidR="005E785B" w:rsidRPr="00101098" w:rsidRDefault="005E785B" w:rsidP="005E785B">
      <w:pPr>
        <w:spacing w:before="100" w:beforeAutospacing="1" w:after="100" w:afterAutospacing="1" w:line="360" w:lineRule="auto"/>
        <w:jc w:val="both"/>
        <w:rPr>
          <w:rFonts w:ascii="Arial" w:eastAsia="Times New Roman" w:hAnsi="Arial" w:cs="Arial"/>
          <w:b/>
          <w:bCs/>
          <w:kern w:val="0"/>
          <w:lang w:eastAsia="en-GB"/>
          <w14:ligatures w14:val="none"/>
        </w:rPr>
      </w:pPr>
      <w:r w:rsidRPr="00496DC7">
        <w:rPr>
          <w:rFonts w:ascii="Arial" w:eastAsia="Times New Roman" w:hAnsi="Arial" w:cs="Arial"/>
          <w:kern w:val="0"/>
          <w:lang w:eastAsia="en-GB"/>
          <w14:ligatures w14:val="none"/>
        </w:rPr>
        <w:t xml:space="preserve">From a public health and social care perspective, the distinction between </w:t>
      </w:r>
      <w:r w:rsidRPr="00496DC7">
        <w:rPr>
          <w:rFonts w:ascii="Arial" w:eastAsia="Times New Roman" w:hAnsi="Arial" w:cs="Arial"/>
          <w:b/>
          <w:bCs/>
          <w:kern w:val="0"/>
          <w:lang w:eastAsia="en-GB"/>
          <w14:ligatures w14:val="none"/>
        </w:rPr>
        <w:t>being connected and being meaningfully included</w:t>
      </w:r>
      <w:r w:rsidRPr="00496DC7">
        <w:rPr>
          <w:rFonts w:ascii="Arial" w:eastAsia="Times New Roman" w:hAnsi="Arial" w:cs="Arial"/>
          <w:kern w:val="0"/>
          <w:lang w:eastAsia="en-GB"/>
          <w14:ligatures w14:val="none"/>
        </w:rPr>
        <w:t xml:space="preserve"> has important implications. Increasing digital provision may improve convenience for some older adults, but equitable access cannot be assumed simply because an online service is available. NHS England’s (2023) framework for inclusive digital healthcare similarly recognises multiple dimensions of digital exclusion. Digital transformation therefore needs to consider capability and confidence alongside technological access. </w:t>
      </w:r>
      <w:r w:rsidRPr="00496DC7">
        <w:rPr>
          <w:rFonts w:ascii="Arial" w:eastAsia="Times New Roman" w:hAnsi="Arial" w:cs="Arial"/>
          <w:b/>
          <w:bCs/>
          <w:kern w:val="0"/>
          <w:lang w:eastAsia="en-GB"/>
          <w14:ligatures w14:val="none"/>
        </w:rPr>
        <w:t xml:space="preserve">Beyond these individual factors, however, the review also identified social, </w:t>
      </w:r>
      <w:r w:rsidRPr="00496DC7">
        <w:rPr>
          <w:rFonts w:ascii="Arial" w:eastAsia="Times New Roman" w:hAnsi="Arial" w:cs="Arial"/>
          <w:b/>
          <w:bCs/>
          <w:kern w:val="0"/>
          <w:lang w:eastAsia="en-GB"/>
          <w14:ligatures w14:val="none"/>
        </w:rPr>
        <w:lastRenderedPageBreak/>
        <w:t>economic and linguistic circumstances that can shape digital disadvantage, which are considered in the following section.</w:t>
      </w:r>
    </w:p>
    <w:p w14:paraId="028596D1" w14:textId="77777777" w:rsidR="005E785B" w:rsidRPr="001F6351" w:rsidRDefault="005E785B" w:rsidP="005E785B">
      <w:pPr>
        <w:pStyle w:val="Heading2"/>
        <w:rPr>
          <w:rFonts w:ascii="Arial" w:hAnsi="Arial" w:cs="Arial"/>
          <w:lang w:eastAsia="en-GB"/>
        </w:rPr>
      </w:pPr>
      <w:bookmarkStart w:id="130" w:name="_Toc240143322"/>
      <w:r w:rsidRPr="001F6351">
        <w:rPr>
          <w:rFonts w:ascii="Arial" w:hAnsi="Arial" w:cs="Arial"/>
          <w:lang w:eastAsia="en-GB"/>
        </w:rPr>
        <w:t>5.3 Social and Structural Inequalities</w:t>
      </w:r>
      <w:bookmarkEnd w:id="130"/>
      <w:r w:rsidRPr="001F6351">
        <w:rPr>
          <w:rFonts w:ascii="Arial" w:hAnsi="Arial" w:cs="Arial"/>
          <w:lang w:eastAsia="en-GB"/>
        </w:rPr>
        <w:t xml:space="preserve">   </w:t>
      </w:r>
    </w:p>
    <w:p w14:paraId="59F7741D"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Social and structural inequalities emerged as important influences on digital exclusion, indicating that difficulties with digital health and social care services cannot be explained by age or individual digital skills alone. Across the reviewed evidence, socioeconomic disadvantage, language barriers and access to appropriate support interacted with digital capability (Chadwick et al., 2024; Ahmed et al., 2024; Husain et al., 2024; Husain and Greenhalgh, 2025). These circumstances can affect the resources and opportunities available to older adults for developing digital skills, obtaining assistance and engaging with digital services. Digital disadvantage may therefore develop through a combination of individual and wider social circumstances rather than through older age itself.</w:t>
      </w:r>
    </w:p>
    <w:p w14:paraId="052E727B"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The interaction between these circumstances is particularly important. In the context of the present review, </w:t>
      </w:r>
      <w:r w:rsidRPr="00301B0B">
        <w:rPr>
          <w:rFonts w:ascii="Arial" w:eastAsia="Times New Roman" w:hAnsi="Arial" w:cs="Arial"/>
          <w:b/>
          <w:bCs/>
          <w:kern w:val="0"/>
          <w:lang w:eastAsia="en-GB"/>
          <w14:ligatures w14:val="none"/>
        </w:rPr>
        <w:t>intersectionality helps explain how different forms of disadvantage can combine and shape an individual’s experience of digital access</w:t>
      </w:r>
      <w:r w:rsidRPr="00301B0B">
        <w:rPr>
          <w:rFonts w:ascii="Arial" w:eastAsia="Times New Roman" w:hAnsi="Arial" w:cs="Arial"/>
          <w:kern w:val="0"/>
          <w:lang w:eastAsia="en-GB"/>
          <w14:ligatures w14:val="none"/>
        </w:rPr>
        <w:t>. For example, limited English proficiency may create one barrier, but its effect may become greater when combined with financial disadvantage, low digital confidence or limited access to support. The reviewed evidence demonstrated these overlapping forms of disadvantage rather than a single barrier operating independently (Ahmed et al., 2024; Husain et al., 2024; Husain and Greenhalgh, 2025). Consequently, two people of the same age may experience substantially different levels of digital exclusion because their social circumstances and available resources are different.</w:t>
      </w:r>
    </w:p>
    <w:p w14:paraId="61EA790D" w14:textId="77777777" w:rsidR="005E785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D2389B">
        <w:rPr>
          <w:rFonts w:ascii="Arial" w:eastAsia="Times New Roman" w:hAnsi="Arial" w:cs="Arial"/>
          <w:kern w:val="0"/>
          <w:lang w:eastAsia="en-GB"/>
          <w14:ligatures w14:val="none"/>
        </w:rPr>
        <w:t>Similar arguments can be found in the literature as well. Hill et al. (2015) showed a diversity of older adults’ technology-related relationships</w:t>
      </w:r>
      <w:r>
        <w:rPr>
          <w:rFonts w:ascii="Arial" w:eastAsia="Times New Roman" w:hAnsi="Arial" w:cs="Arial"/>
          <w:kern w:val="0"/>
          <w:lang w:eastAsia="en-GB"/>
          <w14:ligatures w14:val="none"/>
        </w:rPr>
        <w:t>,</w:t>
      </w:r>
      <w:r w:rsidRPr="00D2389B">
        <w:rPr>
          <w:rFonts w:ascii="Arial" w:eastAsia="Times New Roman" w:hAnsi="Arial" w:cs="Arial"/>
          <w:kern w:val="0"/>
          <w:lang w:eastAsia="en-GB"/>
          <w14:ligatures w14:val="none"/>
        </w:rPr>
        <w:t xml:space="preserve"> and Gallistl et al. (2020) challenge a reductionist approach to older people as a homogeneous group in relation to digital engagement. This agreement with the current review further supports the argument that chronological age alone is not enough to identify digital disadvantage. </w:t>
      </w:r>
      <w:r>
        <w:rPr>
          <w:rFonts w:ascii="Arial" w:eastAsia="Times New Roman" w:hAnsi="Arial" w:cs="Arial"/>
          <w:kern w:val="0"/>
          <w:lang w:eastAsia="en-GB"/>
          <w14:ligatures w14:val="none"/>
        </w:rPr>
        <w:t>Categorisation</w:t>
      </w:r>
      <w:r w:rsidRPr="00D2389B">
        <w:rPr>
          <w:rFonts w:ascii="Arial" w:eastAsia="Times New Roman" w:hAnsi="Arial" w:cs="Arial"/>
          <w:kern w:val="0"/>
          <w:lang w:eastAsia="en-GB"/>
          <w14:ligatures w14:val="none"/>
        </w:rPr>
        <w:t xml:space="preserve"> of everyone aged 65 and over as having similar digital needs might dismiss folks experiencing multiple disadvantages while also mistakenly assuming all digital users require the same level or type of support.</w:t>
      </w:r>
    </w:p>
    <w:p w14:paraId="7B32D38B"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From a public health perspective, this distinction matters because digital exclusion may reproduce existing inequalities when access to services increasingly depends on digital interaction. Wider research has also connected digital exclusion with social inequalities and </w:t>
      </w:r>
      <w:r w:rsidRPr="00301B0B">
        <w:rPr>
          <w:rFonts w:ascii="Arial" w:eastAsia="Times New Roman" w:hAnsi="Arial" w:cs="Arial"/>
          <w:kern w:val="0"/>
          <w:lang w:eastAsia="en-GB"/>
          <w14:ligatures w14:val="none"/>
        </w:rPr>
        <w:lastRenderedPageBreak/>
        <w:t>unequal opportunities to benefit from digital health provision (Rich et al., 2022; Miah et al., 2023; Lewis et al., 2024). The present review adds to this concern by showing how such inequalities are experienced within different health and social care contexts. Digitalisation may therefore offer greater convenience for some older adults while creating additional difficulties for those whose linguistic, socioeconomic or social circumstances already restrict access.</w:t>
      </w:r>
    </w:p>
    <w:p w14:paraId="67EA63F2" w14:textId="77777777" w:rsidR="005E785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Addressing these inequalities requires more than expecting older adults to improve their digital skills.</w:t>
      </w:r>
      <w:r>
        <w:rPr>
          <w:rFonts w:ascii="Arial" w:eastAsia="Times New Roman" w:hAnsi="Arial" w:cs="Arial"/>
          <w:kern w:val="0"/>
          <w:lang w:eastAsia="en-GB"/>
          <w14:ligatures w14:val="none"/>
        </w:rPr>
        <w:t xml:space="preserve"> </w:t>
      </w:r>
      <w:r w:rsidRPr="00D2389B">
        <w:rPr>
          <w:rFonts w:ascii="Arial" w:eastAsia="Times New Roman" w:hAnsi="Arial" w:cs="Arial"/>
          <w:kern w:val="0"/>
          <w:lang w:eastAsia="en-GB"/>
          <w14:ligatures w14:val="none"/>
        </w:rPr>
        <w:t>Training is valuable, but not enough to remove language barriers, financial constraints or limited access to appropriate assistance. This is why a reasonable and equitable approach to digital health and social care needs to address variation among older people and how an individual can participate in such an environment. At the same time, we will see a shift from individuals’ capacity alone to human support and service choices when digital access is difficult, which is the focus of the next theme.</w:t>
      </w:r>
      <w:r w:rsidRPr="00301B0B">
        <w:rPr>
          <w:rFonts w:ascii="Arial" w:eastAsia="Times New Roman" w:hAnsi="Arial" w:cs="Arial"/>
          <w:kern w:val="0"/>
          <w:lang w:eastAsia="en-GB"/>
          <w14:ligatures w14:val="none"/>
        </w:rPr>
        <w:t xml:space="preserve"> </w:t>
      </w:r>
    </w:p>
    <w:p w14:paraId="26091CD9" w14:textId="77777777" w:rsidR="005E785B" w:rsidRPr="001F6351" w:rsidRDefault="005E785B" w:rsidP="005E785B">
      <w:pPr>
        <w:pStyle w:val="Heading2"/>
        <w:rPr>
          <w:rFonts w:ascii="Arial" w:hAnsi="Arial" w:cs="Arial"/>
        </w:rPr>
      </w:pPr>
      <w:bookmarkStart w:id="131" w:name="_Toc240143323"/>
      <w:r w:rsidRPr="001F6351">
        <w:rPr>
          <w:rFonts w:ascii="Arial" w:hAnsi="Arial" w:cs="Arial"/>
          <w:lang w:eastAsia="en-GB"/>
        </w:rPr>
        <w:t>5.4 Human Support and Service Choice</w:t>
      </w:r>
      <w:bookmarkEnd w:id="131"/>
    </w:p>
    <w:p w14:paraId="46A473D1"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Human support and service choice emerged as important influences on whether older adults could engage with digital health and social care services. Across the reviewed evidence, assistance from family members, community organisations and other people could enable access when digital or language difficulties were present (Money et al., 2024; Ahmed et al., 2024; Rousaki et al., 2024). At the same time, participants did not necessarily prefer digital access simply because they </w:t>
      </w:r>
      <w:r w:rsidRPr="00301B0B">
        <w:rPr>
          <w:rFonts w:ascii="Arial" w:eastAsia="Times New Roman" w:hAnsi="Arial" w:cs="Arial"/>
          <w:kern w:val="0"/>
          <w:lang w:eastAsia="en-GB"/>
        </w:rPr>
        <w:t>could use</w:t>
      </w:r>
      <w:r w:rsidRPr="00301B0B">
        <w:rPr>
          <w:rFonts w:ascii="Arial" w:eastAsia="Times New Roman" w:hAnsi="Arial" w:cs="Arial"/>
          <w:kern w:val="0"/>
          <w:lang w:eastAsia="en-GB"/>
          <w14:ligatures w14:val="none"/>
        </w:rPr>
        <w:t xml:space="preserve"> it, and preferences for digital, remote and face-to-face services varied (Money et al., 2024; Paskins et al., 2022). The findings therefore distinguish between being </w:t>
      </w:r>
      <w:r w:rsidRPr="00301B0B">
        <w:rPr>
          <w:rFonts w:ascii="Arial" w:eastAsia="Times New Roman" w:hAnsi="Arial" w:cs="Arial"/>
          <w:b/>
          <w:bCs/>
          <w:kern w:val="0"/>
          <w:lang w:eastAsia="en-GB"/>
          <w14:ligatures w14:val="none"/>
        </w:rPr>
        <w:t>able to use</w:t>
      </w:r>
      <w:r w:rsidRPr="00301B0B">
        <w:rPr>
          <w:rFonts w:ascii="Arial" w:eastAsia="Times New Roman" w:hAnsi="Arial" w:cs="Arial"/>
          <w:kern w:val="0"/>
          <w:lang w:eastAsia="en-GB"/>
          <w14:ligatures w14:val="none"/>
        </w:rPr>
        <w:t xml:space="preserve"> a digital service and </w:t>
      </w:r>
      <w:r w:rsidRPr="00301B0B">
        <w:rPr>
          <w:rFonts w:ascii="Arial" w:eastAsia="Times New Roman" w:hAnsi="Arial" w:cs="Arial"/>
          <w:b/>
          <w:bCs/>
          <w:kern w:val="0"/>
          <w:lang w:eastAsia="en-GB"/>
          <w14:ligatures w14:val="none"/>
        </w:rPr>
        <w:t>choosing to use</w:t>
      </w:r>
      <w:r w:rsidRPr="00301B0B">
        <w:rPr>
          <w:rFonts w:ascii="Arial" w:eastAsia="Times New Roman" w:hAnsi="Arial" w:cs="Arial"/>
          <w:kern w:val="0"/>
          <w:lang w:eastAsia="en-GB"/>
          <w14:ligatures w14:val="none"/>
        </w:rPr>
        <w:t xml:space="preserve"> it.</w:t>
      </w:r>
    </w:p>
    <w:p w14:paraId="2DFC019A" w14:textId="77777777" w:rsidR="005E785B" w:rsidRPr="009A4E3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F73C8C">
        <w:rPr>
          <w:rFonts w:ascii="Arial" w:eastAsia="Times New Roman" w:hAnsi="Arial" w:cs="Arial"/>
          <w:kern w:val="0"/>
          <w:lang w:eastAsia="en-GB"/>
          <w14:ligatures w14:val="none"/>
        </w:rPr>
        <w:t>Human support can be seen as more than simply assistance with operating technology. In this review</w:t>
      </w:r>
      <w:r>
        <w:rPr>
          <w:rFonts w:ascii="Arial" w:eastAsia="Times New Roman" w:hAnsi="Arial" w:cs="Arial"/>
          <w:kern w:val="0"/>
          <w:lang w:eastAsia="en-GB"/>
          <w14:ligatures w14:val="none"/>
        </w:rPr>
        <w:t>,</w:t>
      </w:r>
      <w:r w:rsidRPr="00F73C8C">
        <w:rPr>
          <w:rFonts w:ascii="Arial" w:eastAsia="Times New Roman" w:hAnsi="Arial" w:cs="Arial"/>
          <w:kern w:val="0"/>
          <w:lang w:eastAsia="en-GB"/>
          <w14:ligatures w14:val="none"/>
        </w:rPr>
        <w:t xml:space="preserve"> it means assistance with navigating digital systems, understanding information and overcoming language or communication barriers, for instance. Such support can facilitate access to services, but reliance on other people also diminishes independence. If older adults need someone else to perform digital tasks or communicate with them on their behalf, access may not be made without being fully autonomous. Support should be considered in conjunction with the extent to which digital services allow older adults to work and have access to care independently while also having control of the way in which they access care.</w:t>
      </w:r>
    </w:p>
    <w:p w14:paraId="37D64145" w14:textId="77777777" w:rsidR="005E785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F73C8C">
        <w:rPr>
          <w:rFonts w:ascii="Arial" w:eastAsia="Times New Roman" w:hAnsi="Arial" w:cs="Arial"/>
          <w:kern w:val="0"/>
          <w:lang w:eastAsia="en-GB"/>
          <w14:ligatures w14:val="none"/>
        </w:rPr>
        <w:t xml:space="preserve">The evidence from other literature and policy context adds to this notion of making meaningful choices. UK policy supports digital transformation in health and social care and is conscious of the need for equitable access and support (Department of Health and Social Care and NHS England, 2022; NHS England, 2023). The findings of this review add an important qualification </w:t>
      </w:r>
      <w:r w:rsidRPr="00F73C8C">
        <w:rPr>
          <w:rFonts w:ascii="Arial" w:eastAsia="Times New Roman" w:hAnsi="Arial" w:cs="Arial"/>
          <w:kern w:val="0"/>
          <w:lang w:eastAsia="en-GB"/>
          <w14:ligatures w14:val="none"/>
        </w:rPr>
        <w:lastRenderedPageBreak/>
        <w:t>to that: increasing digital provision does not mean digital access is for everyone. And any preference for telephone, face-to-face or supported access should not be taken to mean resistance to technology; it may reflect communication needs, confidence, the nature of the service or a person’s desire for human contact.</w:t>
      </w:r>
    </w:p>
    <w:p w14:paraId="3192C31E"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Meaningful choice can therefore be understood as having a realistic opportunity to use the form of access most appropriate to an individual's circumstances, rather than being directed towards digital services by default. A hybrid approach, in which digital routes exist alongside telephone, face-to-face and assisted options, may better accommodate differences within the older population. Such an interpretation is consistent with the review's finding that digital access did not remove the importance of human assistance or personal preferences across health and social care settings. </w:t>
      </w:r>
    </w:p>
    <w:p w14:paraId="66542193" w14:textId="77777777" w:rsidR="005E785B" w:rsidRPr="00301B0B"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301B0B">
        <w:rPr>
          <w:rFonts w:ascii="Arial" w:eastAsia="Times New Roman" w:hAnsi="Arial" w:cs="Arial"/>
          <w:kern w:val="0"/>
          <w:lang w:eastAsia="en-GB"/>
          <w14:ligatures w14:val="none"/>
        </w:rPr>
        <w:t xml:space="preserve">However, maintaining alternative routes alone does not guarantee inclusion. Digital services themselves also need to be accessible, understandable and trusted by the people expected to use them. </w:t>
      </w:r>
      <w:r w:rsidRPr="00301B0B">
        <w:rPr>
          <w:rFonts w:ascii="Arial" w:eastAsia="Times New Roman" w:hAnsi="Arial" w:cs="Arial"/>
          <w:b/>
          <w:bCs/>
          <w:kern w:val="0"/>
          <w:lang w:eastAsia="en-GB"/>
          <w14:ligatures w14:val="none"/>
        </w:rPr>
        <w:t>The discussion therefore moves from the availability of human support and service choice to the design, usability and trustworthiness of digital services themselves.</w:t>
      </w:r>
    </w:p>
    <w:p w14:paraId="4498EFC6" w14:textId="77777777" w:rsidR="005E785B" w:rsidRPr="001F6351" w:rsidRDefault="005E785B" w:rsidP="005E785B">
      <w:pPr>
        <w:pStyle w:val="Heading2"/>
        <w:rPr>
          <w:rFonts w:ascii="Arial" w:hAnsi="Arial" w:cs="Arial"/>
        </w:rPr>
      </w:pPr>
      <w:bookmarkStart w:id="132" w:name="_Toc240143324"/>
      <w:r w:rsidRPr="001F6351">
        <w:rPr>
          <w:rFonts w:ascii="Arial" w:hAnsi="Arial" w:cs="Arial"/>
          <w:lang w:eastAsia="en-GB"/>
        </w:rPr>
        <w:t>5.5 Service Design, Trust and Usability</w:t>
      </w:r>
      <w:bookmarkEnd w:id="132"/>
    </w:p>
    <w:p w14:paraId="3A3363EF"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Service design, trust and usability formed the fourth theme influencing older adults’ engagement with digital health and social care services. Across the reviewed evidence, engagement depended not only on an individual’s digital capability but also on whether services were perceived as understandable, useful, trustworthy and appropriate to users’ needs (Chadwick et al., 2024; Clohessy et al., 2024; Wanless et al., 2024). The findings therefore shift part of the discussion away from what older adults can or cannot do towards how digital services themselves may enable or restrict participation.</w:t>
      </w:r>
    </w:p>
    <w:p w14:paraId="608D9BF8"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In this context, usability implies how quickly and easily a person can learn, navigate and use a digital service for a purpose; trust denotes how confident the user is in the service, its reliability and whether it is suitable for their care. These concepts are interrelated. A service that is difficult to navigate or does not appear to meet an individual’s needs may reduce willingness to use it even if the person has good digital capabilities. Digital exclusion should not be treated as a lack of motivation or capability for older adults. They may be experiencing difficulties in the characteristics of the service that they are being asked to use.</w:t>
      </w:r>
    </w:p>
    <w:p w14:paraId="33A55242"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 xml:space="preserve">Similar conclusions have been made in the wider literature. Kebede et al. (2022) reported opportunity and motivation as well as capability to affect older adults’ digital engagement, and </w:t>
      </w:r>
      <w:r w:rsidRPr="00A716C6">
        <w:rPr>
          <w:rFonts w:ascii="Arial" w:hAnsi="Arial" w:cs="Arial"/>
          <w:lang w:eastAsia="en-GB"/>
        </w:rPr>
        <w:lastRenderedPageBreak/>
        <w:t>Gates et al. (2023) highlighted the importance of understanding barriers to digital health participation among older populations. These observations support the finding in this review that involvement is not the result of individual skills, but interaction with the digital environment. But this interpretation also puts some responsibility on organisations and service providers to make digital systems available to all kinds of users.</w:t>
      </w:r>
    </w:p>
    <w:p w14:paraId="68518DA8"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The reviewed evidence also showed that older adults’ attitudes towards digital services were not uniformly negative. Perceived benefits could exist alongside concerns about trust, usability, accessibility and the replacement of human interaction. Such variation challenges assumptions that limited digital engagement simply represents resistance to technological change. Instead, decisions about whether to use a digital service may reflect an assessment of whether it is useful, trustworthy and appropriate for a particular health or care need. The distinction is important because increasing digital uptake should not become the only measure of successful digital inclusion.</w:t>
      </w:r>
    </w:p>
    <w:p w14:paraId="1BB46483"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From the point of view of service, inclusive digital transformation needs to be focused on both users and the systems they encounter. NHS England’s (2023) view on inclusive digital healthcare also acknowledges that accessibility and service design contribute to digital exclusion. Training and support in skills are still important but will not remedy the problems of services that are hard to use or not suited for users’ situations. Taken together, the four themes demonstrate how equitable digital access is dependent on the interaction of individual capabilities with wider inequalities, the availability of support, and the design of services. The combined findings serve as the basis for the policy and practice implications of this next section.</w:t>
      </w:r>
    </w:p>
    <w:p w14:paraId="7280C071" w14:textId="77777777" w:rsidR="005E785B" w:rsidRPr="001F6351" w:rsidRDefault="005E785B" w:rsidP="005E785B">
      <w:pPr>
        <w:pStyle w:val="Heading2"/>
        <w:rPr>
          <w:rFonts w:ascii="Arial" w:hAnsi="Arial" w:cs="Arial"/>
        </w:rPr>
      </w:pPr>
      <w:bookmarkStart w:id="133" w:name="_Toc240143325"/>
      <w:r w:rsidRPr="001F6351">
        <w:rPr>
          <w:rFonts w:ascii="Arial" w:hAnsi="Arial" w:cs="Arial"/>
          <w:lang w:eastAsia="en-GB"/>
        </w:rPr>
        <w:t>5.6 Implications for Policy and Practice</w:t>
      </w:r>
      <w:bookmarkEnd w:id="133"/>
    </w:p>
    <w:p w14:paraId="50639A7F"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The findings have important implications for the development of digital health and social care services in the UK. Most importantly, digital inclusion should not be measured only by whether services are available online or whether older adults have internet access. The four themes indicate that meaningful access is shaped by capability and confidence, social circumstances, availability of human support and the accessibility of service design. Policy and practice should therefore consider whether older adults can use digital services effectively and equitably, rather than focusing only on increasing digital provision.</w:t>
      </w:r>
    </w:p>
    <w:p w14:paraId="182AE643"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 xml:space="preserve">Maintaining </w:t>
      </w:r>
      <w:r w:rsidRPr="00A716C6">
        <w:rPr>
          <w:rFonts w:ascii="Arial" w:hAnsi="Arial" w:cs="Arial"/>
          <w:b/>
          <w:bCs/>
          <w:lang w:eastAsia="en-GB"/>
        </w:rPr>
        <w:t>choice in how services can be accessed</w:t>
      </w:r>
      <w:r w:rsidRPr="00A716C6">
        <w:rPr>
          <w:rFonts w:ascii="Arial" w:hAnsi="Arial" w:cs="Arial"/>
          <w:lang w:eastAsia="en-GB"/>
        </w:rPr>
        <w:t xml:space="preserve"> is one practical implication. The review showed that preferences differed and that human assistance and alternative routes remained important for some older adults (Money et al., 2024; Ahmed et al., 2024; Paskins et al., 2022). This supports an approach in which digital services complement rather than automatically replace telephone, face-to-face or assisted access. Such an approach is consistent with the </w:t>
      </w:r>
      <w:r w:rsidRPr="00A716C6">
        <w:rPr>
          <w:rFonts w:ascii="Arial" w:hAnsi="Arial" w:cs="Arial"/>
          <w:lang w:eastAsia="en-GB"/>
        </w:rPr>
        <w:lastRenderedPageBreak/>
        <w:t>wider policy emphasis on inclusive digital transformation (Department of Health and Social Care and NHS England, 2022; NHS England, 2023). Importantly, retaining alternatives should not be viewed as preventing digital progress, but as a means of ensuring that digitalisation does not restrict access for people whose needs cannot be met effectively through online routes.</w:t>
      </w:r>
    </w:p>
    <w:p w14:paraId="40D04FF0"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Support also needs to reflect the different circumstances of older adults. A standard intervention focused only on improving digital skills may be insufficient where difficulties are also related to language, socioeconomic disadvantage or limited access to assistance. The review demonstrated that these circumstances could overlap and shape engagement in different ways. Practice should therefore avoid treating people aged 65 and over as a single group with identical digital needs. More flexible support, including appropriate language and community-based assistance, may better respond to differences in capability and circumstances.</w:t>
      </w:r>
    </w:p>
    <w:p w14:paraId="12977B7D" w14:textId="77777777" w:rsidR="005E785B" w:rsidRPr="00A716C6" w:rsidRDefault="005E785B" w:rsidP="005E785B">
      <w:pPr>
        <w:spacing w:line="360" w:lineRule="auto"/>
        <w:jc w:val="both"/>
        <w:rPr>
          <w:rFonts w:ascii="Arial" w:hAnsi="Arial" w:cs="Arial"/>
          <w:lang w:eastAsia="en-GB"/>
        </w:rPr>
      </w:pPr>
      <w:r w:rsidRPr="00A716C6">
        <w:rPr>
          <w:rFonts w:ascii="Arial" w:hAnsi="Arial" w:cs="Arial"/>
          <w:lang w:eastAsia="en-GB"/>
        </w:rPr>
        <w:t>As with any digital service, as well as organisations creating and providing digital services, responsibility for inclusion must be shared with others as well. Trust, usability and accessibility are key factors influencing engagement even when an individual has some digital capability. As a result, expecting older adults to simply adapt to digital systems puts too much weight on personal responsibility. Inclusive practice is about offering services that are understandable, accessible and appropriate to users of any level of capability and support. Taken together, these findings suggest that successful digital transformation should not only be about digital adoption but also about the accessibility of health services and social care for older people at the same time, in ways that are fair, safe and appropriate to their needs.</w:t>
      </w:r>
    </w:p>
    <w:p w14:paraId="586920F5" w14:textId="77777777" w:rsidR="005E785B" w:rsidRPr="001F6351" w:rsidRDefault="005E785B" w:rsidP="005E785B">
      <w:pPr>
        <w:pStyle w:val="Heading2"/>
        <w:rPr>
          <w:rFonts w:ascii="Arial" w:hAnsi="Arial" w:cs="Arial"/>
        </w:rPr>
      </w:pPr>
      <w:bookmarkStart w:id="134" w:name="_Toc240143326"/>
      <w:r w:rsidRPr="001F6351">
        <w:rPr>
          <w:rFonts w:ascii="Arial" w:hAnsi="Arial" w:cs="Arial"/>
          <w:lang w:eastAsia="en-GB"/>
        </w:rPr>
        <w:t>5.7 Strengths and Limitations</w:t>
      </w:r>
      <w:bookmarkEnd w:id="134"/>
    </w:p>
    <w:p w14:paraId="542239D5" w14:textId="77777777" w:rsidR="005E785B" w:rsidRPr="006C519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6C5197">
        <w:rPr>
          <w:rFonts w:ascii="Arial" w:eastAsia="Times New Roman" w:hAnsi="Arial" w:cs="Arial"/>
          <w:kern w:val="0"/>
          <w:lang w:eastAsia="en-GB"/>
          <w14:ligatures w14:val="none"/>
        </w:rPr>
        <w:t>A key strength of this review is its systematic and transparent approach to identifying and analysing qualitative evidence concerning digital exclusion among older adults in UK health and social care contexts. The use of PRISMA 2020 supported transparency in study selection, while CASP provided a structured approach to quality appraisal. Thematic analysis enabled findings across the 11 included studies to be synthesised into four interconnected themes. Together, these approaches provided a clear framework for examining not only barriers to digital access but also how older adults experienced and understood those barriers.</w:t>
      </w:r>
    </w:p>
    <w:p w14:paraId="4011909F" w14:textId="77777777" w:rsidR="005E785B" w:rsidRPr="006C519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6C5197">
        <w:rPr>
          <w:rFonts w:ascii="Arial" w:eastAsia="Times New Roman" w:hAnsi="Arial" w:cs="Arial"/>
          <w:kern w:val="0"/>
          <w:lang w:eastAsia="en-GB"/>
          <w14:ligatures w14:val="none"/>
        </w:rPr>
        <w:t xml:space="preserve">Nevertheless, several limitations should be considered when interpreting the findings. The included studies differed in their populations, settings, digital technologies and health or social care contexts. Such variation was valuable for exploring diverse experiences, but it also limits the extent to which findings can be applied uniformly to all adults aged 65 and over. This is </w:t>
      </w:r>
      <w:r w:rsidRPr="006C5197">
        <w:rPr>
          <w:rFonts w:ascii="Arial" w:eastAsia="Times New Roman" w:hAnsi="Arial" w:cs="Arial"/>
          <w:kern w:val="0"/>
          <w:lang w:eastAsia="en-GB"/>
          <w14:ligatures w14:val="none"/>
        </w:rPr>
        <w:lastRenderedPageBreak/>
        <w:t>particularly relevant given one of the central interpretations of the review: older adults are not a homogeneous population, and experiences of digital exclusion vary according to individual and social circumstances.</w:t>
      </w:r>
    </w:p>
    <w:p w14:paraId="7CE60158" w14:textId="77777777" w:rsidR="005E785B" w:rsidRPr="006C5197"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6C5197">
        <w:rPr>
          <w:rFonts w:ascii="Arial" w:eastAsia="Times New Roman" w:hAnsi="Arial" w:cs="Arial"/>
          <w:kern w:val="0"/>
          <w:lang w:eastAsia="en-GB"/>
          <w14:ligatures w14:val="none"/>
        </w:rPr>
        <w:t>The quality and depth of reporting also varied across the included studies. Although the studies provided relevant qualitative evidence, some aspects of methodological reporting, including researcher reflexivity, recruitment and analytical processes, were not consistently detailed. The synthesis was therefore dependent on the information reported by the original authors. In addition, restricting the review to UK-based, English-language, peer-reviewed evidence may have excluded relevant perspectives. However, the UK focus strengthened the contextual relevance of the findings to NHS, public health and social care policy and practice. These limitations mean that the findings should be interpreted as a contextual qualitative synthesis rather than as conclusions that can be generalised to every older adult or service setting.</w:t>
      </w:r>
    </w:p>
    <w:p w14:paraId="1ECE8827" w14:textId="77777777" w:rsidR="005E785B" w:rsidRPr="001F6351" w:rsidRDefault="005E785B" w:rsidP="005E785B">
      <w:pPr>
        <w:pStyle w:val="Heading2"/>
        <w:rPr>
          <w:rFonts w:ascii="Arial" w:hAnsi="Arial" w:cs="Arial"/>
        </w:rPr>
      </w:pPr>
      <w:bookmarkStart w:id="135" w:name="_Toc240143327"/>
      <w:r w:rsidRPr="001F6351">
        <w:rPr>
          <w:rFonts w:ascii="Arial" w:hAnsi="Arial" w:cs="Arial"/>
          <w:lang w:eastAsia="en-GB"/>
        </w:rPr>
        <w:t>5.8 Summary</w:t>
      </w:r>
      <w:bookmarkEnd w:id="135"/>
    </w:p>
    <w:p w14:paraId="744A0B51" w14:textId="77777777" w:rsidR="005E785B" w:rsidRPr="00663E0A" w:rsidRDefault="005E785B" w:rsidP="005E785B">
      <w:pPr>
        <w:spacing w:before="100" w:beforeAutospacing="1" w:after="100" w:afterAutospacing="1" w:line="360" w:lineRule="auto"/>
        <w:jc w:val="both"/>
        <w:rPr>
          <w:rFonts w:ascii="Arial" w:eastAsia="Times New Roman" w:hAnsi="Arial" w:cs="Arial"/>
          <w:kern w:val="0"/>
          <w:lang w:eastAsia="en-GB"/>
          <w14:ligatures w14:val="none"/>
        </w:rPr>
      </w:pPr>
      <w:r w:rsidRPr="00663E0A">
        <w:rPr>
          <w:rFonts w:ascii="Arial" w:eastAsia="Times New Roman" w:hAnsi="Arial" w:cs="Arial"/>
          <w:kern w:val="0"/>
          <w:lang w:eastAsia="en-GB"/>
          <w14:ligatures w14:val="none"/>
        </w:rPr>
        <w:t xml:space="preserve">This chapter has critically interpreted the findings of the review in relation to the study aim and wider literature. Overall, digital exclusion among older adults cannot be understood solely in terms of age, internet access or ownership of digital devices. Instead, the four interconnected themes demonstrate that engagement with digital health and social care services is shaped by digital capability and confidence, social and structural inequalities, human support and service choice, and service design, trust and usability. </w:t>
      </w:r>
    </w:p>
    <w:p w14:paraId="57A129BF" w14:textId="77777777" w:rsidR="005E785B" w:rsidRDefault="005E785B" w:rsidP="005E785B">
      <w:pPr>
        <w:spacing w:before="100" w:beforeAutospacing="1" w:after="100" w:afterAutospacing="1" w:line="360" w:lineRule="auto"/>
        <w:jc w:val="both"/>
        <w:rPr>
          <w:rFonts w:ascii="Arial" w:eastAsia="Times New Roman" w:hAnsi="Arial" w:cs="Arial"/>
          <w:kern w:val="0"/>
          <w:lang w:eastAsia="en-GB"/>
        </w:rPr>
      </w:pPr>
      <w:r w:rsidRPr="00663E0A">
        <w:rPr>
          <w:rFonts w:ascii="Arial" w:eastAsia="Times New Roman" w:hAnsi="Arial" w:cs="Arial"/>
          <w:kern w:val="0"/>
          <w:lang w:eastAsia="en-GB"/>
          <w14:ligatures w14:val="none"/>
        </w:rPr>
        <w:t>The discussion has shown that these factors can interact differently according to an older adult’s circumstances, reinforcing the importance of avoiding assumptions that people aged 65 and over form a homogeneous group. Digital transformation may improve access and convenience for some individuals, but equitable access requires attention to meaningful choice, appropriate support and inclusive service design. These findings suggest that digital inclusion should be understood as enabling older adults to access health and social care services in ways that are accessible, appropriate and responsive to their circumstances.</w:t>
      </w:r>
    </w:p>
    <w:p w14:paraId="4C2CB5F2" w14:textId="5CCB6006" w:rsidR="009706D0" w:rsidRDefault="009706D0">
      <w:pPr>
        <w:rPr>
          <w:rFonts w:asciiTheme="minorBidi" w:eastAsia="Times New Roman" w:hAnsiTheme="minorBidi"/>
          <w:b/>
          <w:color w:val="000000"/>
          <w:sz w:val="24"/>
        </w:rPr>
      </w:pPr>
    </w:p>
    <w:p w14:paraId="4FAF2EE6" w14:textId="77777777" w:rsidR="005E785B" w:rsidRDefault="005E785B">
      <w:pPr>
        <w:rPr>
          <w:rFonts w:asciiTheme="minorBidi" w:eastAsia="Times New Roman" w:hAnsiTheme="minorBidi"/>
          <w:b/>
          <w:color w:val="000000"/>
          <w:sz w:val="24"/>
        </w:rPr>
      </w:pPr>
    </w:p>
    <w:p w14:paraId="3AE187B2" w14:textId="77777777" w:rsidR="005E785B" w:rsidRDefault="005E785B">
      <w:pPr>
        <w:rPr>
          <w:rFonts w:asciiTheme="minorBidi" w:eastAsia="Times New Roman" w:hAnsiTheme="minorBidi"/>
          <w:b/>
          <w:color w:val="000000"/>
          <w:sz w:val="24"/>
        </w:rPr>
      </w:pPr>
    </w:p>
    <w:p w14:paraId="4D039DAE" w14:textId="77777777" w:rsidR="005E785B" w:rsidRPr="001F6351" w:rsidRDefault="005E785B">
      <w:pPr>
        <w:rPr>
          <w:rFonts w:ascii="Arial" w:eastAsia="Times New Roman" w:hAnsi="Arial" w:cs="Arial"/>
          <w:b/>
          <w:color w:val="000000"/>
          <w:sz w:val="28"/>
          <w:szCs w:val="28"/>
        </w:rPr>
      </w:pPr>
    </w:p>
    <w:p w14:paraId="71131267" w14:textId="4B841252" w:rsidR="009F64C5" w:rsidRPr="001F6351" w:rsidRDefault="00DD7AA5">
      <w:pPr>
        <w:pStyle w:val="Heading1"/>
        <w:ind w:left="12" w:right="3"/>
        <w:rPr>
          <w:rFonts w:ascii="Arial" w:hAnsi="Arial" w:cs="Arial"/>
          <w:sz w:val="28"/>
          <w:szCs w:val="28"/>
        </w:rPr>
      </w:pPr>
      <w:bookmarkStart w:id="136" w:name="_Toc240143328"/>
      <w:r w:rsidRPr="001F6351">
        <w:rPr>
          <w:rFonts w:ascii="Arial" w:hAnsi="Arial" w:cs="Arial"/>
          <w:sz w:val="28"/>
          <w:szCs w:val="28"/>
        </w:rPr>
        <w:lastRenderedPageBreak/>
        <w:t xml:space="preserve">Chapter 6: </w:t>
      </w:r>
      <w:r w:rsidR="009F64C5" w:rsidRPr="001F6351">
        <w:rPr>
          <w:rFonts w:ascii="Arial" w:hAnsi="Arial" w:cs="Arial"/>
          <w:sz w:val="28"/>
          <w:szCs w:val="28"/>
        </w:rPr>
        <w:t>Conclusion</w:t>
      </w:r>
      <w:bookmarkEnd w:id="136"/>
      <w:r w:rsidR="009F64C5" w:rsidRPr="001F6351">
        <w:rPr>
          <w:rFonts w:ascii="Arial" w:hAnsi="Arial" w:cs="Arial"/>
          <w:sz w:val="28"/>
          <w:szCs w:val="28"/>
        </w:rPr>
        <w:t xml:space="preserve"> </w:t>
      </w:r>
      <w:bookmarkEnd w:id="127"/>
    </w:p>
    <w:p w14:paraId="03B5FA00" w14:textId="77777777" w:rsidR="009F64C5" w:rsidRPr="007F1C8A" w:rsidRDefault="009F64C5">
      <w:pPr>
        <w:spacing w:after="194"/>
        <w:rPr>
          <w:rFonts w:asciiTheme="minorBidi" w:hAnsiTheme="minorBidi"/>
        </w:rPr>
      </w:pPr>
      <w:r w:rsidRPr="007F1C8A">
        <w:rPr>
          <w:rFonts w:asciiTheme="minorBidi" w:eastAsia="Calibri" w:hAnsiTheme="minorBidi"/>
        </w:rPr>
        <w:t xml:space="preserve"> </w:t>
      </w:r>
    </w:p>
    <w:p w14:paraId="042EAD43" w14:textId="77777777" w:rsidR="005E785B" w:rsidRDefault="005E785B">
      <w:pPr>
        <w:pStyle w:val="Heading1"/>
        <w:ind w:left="12" w:right="6"/>
        <w:rPr>
          <w:rFonts w:asciiTheme="minorBidi" w:hAnsiTheme="minorBidi" w:cstheme="minorBidi"/>
        </w:rPr>
      </w:pPr>
      <w:bookmarkStart w:id="137" w:name="_Toc12222"/>
    </w:p>
    <w:p w14:paraId="6562A43D" w14:textId="77777777" w:rsidR="005E785B" w:rsidRPr="001F6351" w:rsidRDefault="005E785B" w:rsidP="005E785B">
      <w:pPr>
        <w:pStyle w:val="Heading2"/>
        <w:rPr>
          <w:rFonts w:ascii="Arial" w:hAnsi="Arial" w:cs="Arial"/>
        </w:rPr>
      </w:pPr>
      <w:bookmarkStart w:id="138" w:name="_Toc240143329"/>
      <w:r w:rsidRPr="001F6351">
        <w:rPr>
          <w:rFonts w:ascii="Arial" w:hAnsi="Arial" w:cs="Arial"/>
          <w:lang w:eastAsia="en-GB"/>
        </w:rPr>
        <w:t>6.1 Introduction</w:t>
      </w:r>
      <w:bookmarkEnd w:id="138"/>
    </w:p>
    <w:p w14:paraId="1443AC01" w14:textId="77777777" w:rsidR="005E785B" w:rsidRPr="00876E0A" w:rsidRDefault="005E785B" w:rsidP="005E785B">
      <w:pPr>
        <w:spacing w:line="360" w:lineRule="auto"/>
        <w:jc w:val="both"/>
        <w:rPr>
          <w:rFonts w:ascii="Arial" w:eastAsia="Times New Roman" w:hAnsi="Arial" w:cs="Arial"/>
          <w:kern w:val="0"/>
          <w:sz w:val="24"/>
          <w:szCs w:val="24"/>
          <w:lang w:eastAsia="en-GB"/>
        </w:rPr>
      </w:pPr>
      <w:r w:rsidRPr="00876E0A">
        <w:rPr>
          <w:rFonts w:ascii="Arial" w:hAnsi="Arial" w:cs="Arial"/>
        </w:rPr>
        <w:t xml:space="preserve">This chapter concludes the review of digital exclusion and access to public health and social care services for older adults aged 65 years and older in the UK. It summarises the key results from the review, assesses the research methodology to the extent which it met the research objective and considers the implications of the findings for health and social care practice and policy. Recommendations for future research are also presented. No further evidence is provided, and the chapter wraps up the findings and discourse from Chapters 4 and 5 to provide a general answer to the research question. </w:t>
      </w:r>
    </w:p>
    <w:p w14:paraId="032A4ECD" w14:textId="77777777" w:rsidR="005E785B" w:rsidRPr="001F6351" w:rsidRDefault="005E785B" w:rsidP="005E785B">
      <w:pPr>
        <w:pStyle w:val="Heading2"/>
        <w:rPr>
          <w:rFonts w:ascii="Arial" w:hAnsi="Arial" w:cs="Arial"/>
        </w:rPr>
      </w:pPr>
      <w:bookmarkStart w:id="139" w:name="_Toc240143330"/>
      <w:r w:rsidRPr="001F6351">
        <w:rPr>
          <w:rFonts w:ascii="Arial" w:hAnsi="Arial" w:cs="Arial"/>
          <w:lang w:eastAsia="en-GB"/>
        </w:rPr>
        <w:t>6.2 Overall Conclusion and Answer to the Research Question</w:t>
      </w:r>
      <w:bookmarkEnd w:id="139"/>
    </w:p>
    <w:p w14:paraId="091DB6F0"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The main conclusion of this review is that is that digital exclusion represents a complex and interrelated challenge affecting older adults' access to increasingly digitalised health and social care in the UK. The results suggest that digital exclusion is not a matter of age or Internet access. Digital access to services is informed by the following elements: digital proficiency, self-assurance, previous experiences, socioeconomic status, language skills, trust, service architecture and availability for human assistance (Chadwick et al., 2024; Ahmed et al., 2024; Husain and Greenhalgh, 2025). </w:t>
      </w:r>
    </w:p>
    <w:p w14:paraId="53FFCBF6"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Our study addresses the study question in that we show that digitisation can increase and decrease access to public health and social care services for elderly people. Digital links may provide easier and more effective access and more affordable services for people who have the right abilities, resources and confidence. But these same procedures may create or exacerbate hurdles for those with low digital confidence, limited English skills, economic hardship or lack of assistance (Money et al., 2024; Chadwick et al., 2024; Ahmed et al., 2024). </w:t>
      </w:r>
    </w:p>
    <w:p w14:paraId="174084BC"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The main implication is that elderly people are not one thing and need not be seen as a category. There were significant differences in their readiness to use digital services, confidence to use digital services and capability to use digital services (Money et al., 2024). Furthermore, social and structural conditions and increased age also influenced the experience of digital healthcare in the study of people with low levels of social and cultural status and poor English skills (Husain et al., 2024; Husain and Greenhalgh, 2025). So, age is not enough to determine who is going to be most at risk when it comes to digital exclusion. Human assistance and a very informed service selection were also important throughout the results. Family members, carers and community groups can help older people overcome </w:t>
      </w:r>
      <w:r w:rsidRPr="00876E0A">
        <w:rPr>
          <w:rFonts w:ascii="Arial" w:hAnsi="Arial" w:cs="Arial"/>
        </w:rPr>
        <w:lastRenderedPageBreak/>
        <w:t xml:space="preserve">digital hurdles, though informal assistance does not solve the primary problems (Ahmed et al., 2024). </w:t>
      </w:r>
    </w:p>
    <w:p w14:paraId="2130EBD4" w14:textId="77777777" w:rsidR="005E785B" w:rsidRPr="00876E0A" w:rsidRDefault="005E785B" w:rsidP="005E785B">
      <w:pPr>
        <w:spacing w:line="360" w:lineRule="auto"/>
        <w:jc w:val="both"/>
        <w:rPr>
          <w:rFonts w:ascii="Arial" w:eastAsia="Times New Roman" w:hAnsi="Arial" w:cs="Arial"/>
          <w:kern w:val="0"/>
          <w:sz w:val="24"/>
          <w:szCs w:val="24"/>
          <w:lang w:eastAsia="en-GB"/>
        </w:rPr>
      </w:pPr>
      <w:r w:rsidRPr="00876E0A">
        <w:rPr>
          <w:rFonts w:ascii="Arial" w:hAnsi="Arial" w:cs="Arial"/>
        </w:rPr>
        <w:t xml:space="preserve">Preferences for digital and remote access were different, with some older people liking digital services and some in-person interactions and other means (Money et al., 2024; Paskins et al., 2022). Ultimately, the assessment shows that improving the quality of digital transformation takes more than technological accessibility. Digital health and social care services must incorporate the diversity of elderly people and ensure that digital access does not prevent them from accessing essential services. </w:t>
      </w:r>
    </w:p>
    <w:p w14:paraId="6CD3DB16" w14:textId="77777777" w:rsidR="005E785B" w:rsidRPr="001F6351" w:rsidRDefault="005E785B" w:rsidP="005E785B">
      <w:pPr>
        <w:pStyle w:val="Heading2"/>
        <w:rPr>
          <w:rFonts w:ascii="Arial" w:hAnsi="Arial" w:cs="Arial"/>
        </w:rPr>
      </w:pPr>
      <w:bookmarkStart w:id="140" w:name="_Toc240143331"/>
      <w:r w:rsidRPr="001F6351">
        <w:rPr>
          <w:rFonts w:ascii="Arial" w:hAnsi="Arial" w:cs="Arial"/>
          <w:lang w:eastAsia="en-GB"/>
        </w:rPr>
        <w:t>6.3 Reflection on the Research</w:t>
      </w:r>
      <w:bookmarkEnd w:id="140"/>
    </w:p>
    <w:p w14:paraId="1688C83E" w14:textId="77777777" w:rsidR="005E785B" w:rsidRDefault="005E785B" w:rsidP="005E785B">
      <w:pPr>
        <w:spacing w:line="360" w:lineRule="auto"/>
        <w:jc w:val="both"/>
        <w:rPr>
          <w:rFonts w:ascii="Arial" w:hAnsi="Arial" w:cs="Arial"/>
        </w:rPr>
      </w:pPr>
      <w:r w:rsidRPr="00BB7828">
        <w:rPr>
          <w:rFonts w:ascii="Arial" w:hAnsi="Arial" w:cs="Arial"/>
        </w:rPr>
        <w:t xml:space="preserve">The qualitative systematic review approach was beneficial to the research objective as it integrated information from health and social care contexts and shared common experiences. The thematic synthesis showed that different obstacles, such as digital proficiency, self-assurance, language difficulties, socioeconomic deprivation, support systems, trust and usability, were often integrated and not independent. </w:t>
      </w:r>
    </w:p>
    <w:p w14:paraId="18769FB5" w14:textId="77777777" w:rsidR="005E785B" w:rsidRDefault="005E785B" w:rsidP="005E785B">
      <w:pPr>
        <w:spacing w:line="360" w:lineRule="auto"/>
        <w:jc w:val="both"/>
        <w:rPr>
          <w:rFonts w:ascii="Arial" w:hAnsi="Arial" w:cs="Arial"/>
        </w:rPr>
      </w:pPr>
      <w:r w:rsidRPr="00BB7828">
        <w:rPr>
          <w:rFonts w:ascii="Arial" w:hAnsi="Arial" w:cs="Arial"/>
        </w:rPr>
        <w:t xml:space="preserve">The qualitative focus was particularly important as the study was focused on experiences and barriers to access rather than on the success of a given intervention. The studies provided full perspectives of older people with digital services and revealed differences that quantitative indicators such as internet ownership or usage would fail to detect. </w:t>
      </w:r>
    </w:p>
    <w:p w14:paraId="19D9AA8A" w14:textId="77777777" w:rsidR="005E785B" w:rsidRDefault="005E785B" w:rsidP="005E785B">
      <w:pPr>
        <w:spacing w:line="360" w:lineRule="auto"/>
        <w:jc w:val="both"/>
        <w:rPr>
          <w:rFonts w:ascii="Arial" w:hAnsi="Arial" w:cs="Arial"/>
        </w:rPr>
      </w:pPr>
      <w:r w:rsidRPr="00BB7828">
        <w:rPr>
          <w:rFonts w:ascii="Arial" w:hAnsi="Arial" w:cs="Arial"/>
        </w:rPr>
        <w:t>However, the review also recognised limitations in the currently available data. The small amount of valid research and the heterogeneity of study cohorts, environments and digital technologies limit the applicability of the findings to the whole older adult population in the UK. The evidence was diverse over the services examined, from primary care</w:t>
      </w:r>
      <w:r>
        <w:rPr>
          <w:rFonts w:ascii="Arial" w:hAnsi="Arial" w:cs="Arial"/>
        </w:rPr>
        <w:t xml:space="preserve"> and</w:t>
      </w:r>
      <w:r w:rsidRPr="00BB7828">
        <w:rPr>
          <w:rFonts w:ascii="Arial" w:hAnsi="Arial" w:cs="Arial"/>
        </w:rPr>
        <w:t xml:space="preserve"> social care to remote consultations and digital self-management. So, the findings should be interpreted as recognising common patterns in the existing qualitative information as opposed to finding universal experiences. </w:t>
      </w:r>
    </w:p>
    <w:p w14:paraId="4E70240F" w14:textId="77777777" w:rsidR="005E785B" w:rsidRDefault="005E785B" w:rsidP="005E785B">
      <w:pPr>
        <w:spacing w:line="360" w:lineRule="auto"/>
        <w:jc w:val="both"/>
        <w:rPr>
          <w:rFonts w:ascii="Arial" w:hAnsi="Arial" w:cs="Arial"/>
        </w:rPr>
      </w:pPr>
      <w:r>
        <w:rPr>
          <w:rFonts w:ascii="Arial" w:hAnsi="Arial" w:cs="Arial"/>
        </w:rPr>
        <w:t>An important insigh</w:t>
      </w:r>
      <w:r w:rsidRPr="00BB7828">
        <w:rPr>
          <w:rFonts w:ascii="Arial" w:hAnsi="Arial" w:cs="Arial"/>
        </w:rPr>
        <w:t xml:space="preserve">t </w:t>
      </w:r>
      <w:r>
        <w:rPr>
          <w:rFonts w:ascii="Arial" w:hAnsi="Arial" w:cs="Arial"/>
        </w:rPr>
        <w:t xml:space="preserve">from the </w:t>
      </w:r>
      <w:r w:rsidRPr="00BB7828">
        <w:rPr>
          <w:rFonts w:ascii="Arial" w:hAnsi="Arial" w:cs="Arial"/>
        </w:rPr>
        <w:t xml:space="preserve">findings of the study was </w:t>
      </w:r>
      <w:r>
        <w:rPr>
          <w:rFonts w:ascii="Arial" w:hAnsi="Arial" w:cs="Arial"/>
        </w:rPr>
        <w:t>how</w:t>
      </w:r>
      <w:r w:rsidRPr="00BB7828">
        <w:rPr>
          <w:rFonts w:ascii="Arial" w:hAnsi="Arial" w:cs="Arial"/>
        </w:rPr>
        <w:t xml:space="preserve"> digital exclusion intersected with pre-existing disadvantage. Digital exclusion is not only a technology issue, but also related to poverty, language barriers, self-confidence, and accessibility to assistance (Chadwick et al., 2024; Ahmed et al., 2024; Husain and Greenhalgh, 2025). This is why it is crucial to tackle digital exclusion in an overall way in health and social care </w:t>
      </w:r>
      <w:r>
        <w:rPr>
          <w:rFonts w:ascii="Arial" w:hAnsi="Arial" w:cs="Arial"/>
        </w:rPr>
        <w:t>policymaking</w:t>
      </w:r>
      <w:r w:rsidRPr="00BB7828">
        <w:rPr>
          <w:rFonts w:ascii="Arial" w:hAnsi="Arial" w:cs="Arial"/>
        </w:rPr>
        <w:t xml:space="preserve">. </w:t>
      </w:r>
    </w:p>
    <w:p w14:paraId="3F242891" w14:textId="77777777" w:rsidR="005E785B" w:rsidRDefault="005E785B" w:rsidP="005E785B">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693529B3" w14:textId="77777777" w:rsidR="005E785B" w:rsidRPr="001F6351" w:rsidRDefault="005E785B" w:rsidP="005E785B">
      <w:pPr>
        <w:pStyle w:val="Heading2"/>
        <w:rPr>
          <w:rFonts w:ascii="Arial" w:hAnsi="Arial" w:cs="Arial"/>
        </w:rPr>
      </w:pPr>
      <w:bookmarkStart w:id="141" w:name="_Toc240143332"/>
      <w:r w:rsidRPr="001F6351">
        <w:rPr>
          <w:rFonts w:ascii="Arial" w:hAnsi="Arial" w:cs="Arial"/>
          <w:lang w:eastAsia="en-GB"/>
        </w:rPr>
        <w:lastRenderedPageBreak/>
        <w:t>6.4 Recommendations for Health and Social Care Practice and Policy</w:t>
      </w:r>
      <w:bookmarkEnd w:id="141"/>
    </w:p>
    <w:p w14:paraId="378DAEDD" w14:textId="77777777" w:rsidR="005E785B" w:rsidRDefault="005E785B" w:rsidP="005E785B">
      <w:pPr>
        <w:spacing w:line="360" w:lineRule="auto"/>
        <w:jc w:val="both"/>
        <w:rPr>
          <w:rFonts w:ascii="Arial" w:hAnsi="Arial" w:cs="Arial"/>
        </w:rPr>
      </w:pPr>
      <w:r w:rsidRPr="00BB7828">
        <w:rPr>
          <w:rFonts w:ascii="Arial" w:hAnsi="Arial" w:cs="Arial"/>
        </w:rPr>
        <w:t xml:space="preserve">From this review, health and social care institutions should be considering a variety of levels of digital skills for older people, rather than assuming that they are all as proficient with digital as the younger generation. Personal communication and accessibility may be determined to be an indicator of those who need extra support and to reduce expectations based on age. </w:t>
      </w:r>
    </w:p>
    <w:p w14:paraId="517A3145" w14:textId="77777777" w:rsidR="005E785B" w:rsidRDefault="005E785B" w:rsidP="005E785B">
      <w:pPr>
        <w:spacing w:line="360" w:lineRule="auto"/>
        <w:jc w:val="both"/>
        <w:rPr>
          <w:rFonts w:ascii="Arial" w:hAnsi="Arial" w:cs="Arial"/>
        </w:rPr>
      </w:pPr>
      <w:r w:rsidRPr="00BB7828">
        <w:rPr>
          <w:rFonts w:ascii="Arial" w:hAnsi="Arial" w:cs="Arial"/>
        </w:rPr>
        <w:t xml:space="preserve">Another idea is that digital routes should be provided, if possible, alongside other, still available, non-digital options. There are divergent attitudes towards digital, remote and in-person access (Money et al., 2024; Ahmed et al., 2024; Paskins et al., 2024), and keeping those options might help avoid any potential disadvantage of access to digital for people who are either unable or not able to use digital options (Money et al., 2024). </w:t>
      </w:r>
    </w:p>
    <w:p w14:paraId="57C10DDD" w14:textId="77777777" w:rsidR="005E785B" w:rsidRDefault="005E785B" w:rsidP="005E785B">
      <w:pPr>
        <w:spacing w:line="360" w:lineRule="auto"/>
        <w:jc w:val="both"/>
        <w:rPr>
          <w:rFonts w:ascii="Arial" w:hAnsi="Arial" w:cs="Arial"/>
        </w:rPr>
      </w:pPr>
      <w:r w:rsidRPr="00BB7828">
        <w:rPr>
          <w:rFonts w:ascii="Arial" w:hAnsi="Arial" w:cs="Arial"/>
        </w:rPr>
        <w:t>Health and social care providers could also look for regular</w:t>
      </w:r>
      <w:r>
        <w:rPr>
          <w:rFonts w:ascii="Arial" w:hAnsi="Arial" w:cs="Arial"/>
        </w:rPr>
        <w:t>, readily</w:t>
      </w:r>
      <w:r w:rsidRPr="00BB7828">
        <w:rPr>
          <w:rFonts w:ascii="Arial" w:hAnsi="Arial" w:cs="Arial"/>
        </w:rPr>
        <w:t xml:space="preserve"> available digital assistance. Community-oriented programs might be especially beneficial for those seeking skills, self-assurance and reliance on digital platforms (Poduval et al., 2025). </w:t>
      </w:r>
      <w:r>
        <w:rPr>
          <w:rFonts w:ascii="Arial" w:hAnsi="Arial" w:cs="Arial"/>
        </w:rPr>
        <w:t>Official assistance should not presume that family members are always present to facilitate access, as reliance on relatives may undermine autonomy and confidentiality of</w:t>
      </w:r>
      <w:r w:rsidRPr="00BB7828">
        <w:rPr>
          <w:rFonts w:ascii="Arial" w:hAnsi="Arial" w:cs="Arial"/>
        </w:rPr>
        <w:t xml:space="preserve"> personal health information (Ahmed et al., 2024). </w:t>
      </w:r>
    </w:p>
    <w:p w14:paraId="243DC369" w14:textId="77777777" w:rsidR="005E785B" w:rsidRDefault="005E785B" w:rsidP="005E785B">
      <w:pPr>
        <w:spacing w:line="360" w:lineRule="auto"/>
        <w:jc w:val="both"/>
        <w:rPr>
          <w:rFonts w:ascii="Arial" w:hAnsi="Arial" w:cs="Arial"/>
        </w:rPr>
      </w:pPr>
      <w:r w:rsidRPr="00BB7828">
        <w:rPr>
          <w:rFonts w:ascii="Arial" w:hAnsi="Arial" w:cs="Arial"/>
        </w:rPr>
        <w:t xml:space="preserve">Inclusive service design should continue to be a key factor. Digital systems can be designed and evaluated with various cohorts of older persons to identify usability, language, accessibility, and trust problems before they become barriers to accessing care. The research conducted by Clohessy et al. (2024), Chadwick et al. (2024) and Wanless et al. (2024) demonstrates the essential role of trust, usability and inclusiveness in digital health technology interaction. In the end, organisations can track users of digital services who are still experiencing barriers in doing so, and whether digital transformation is reducing disparities or if certain groups continue to be excluded. </w:t>
      </w:r>
    </w:p>
    <w:p w14:paraId="707E4ABD" w14:textId="77777777" w:rsidR="005E785B" w:rsidRPr="001A4045" w:rsidRDefault="005E785B" w:rsidP="005E785B">
      <w:pPr>
        <w:spacing w:line="360" w:lineRule="auto"/>
        <w:jc w:val="both"/>
        <w:rPr>
          <w:rFonts w:ascii="Arial" w:hAnsi="Arial" w:cs="Arial"/>
        </w:rPr>
      </w:pPr>
    </w:p>
    <w:p w14:paraId="38062C52" w14:textId="77777777" w:rsidR="005E785B" w:rsidRPr="001F6351" w:rsidRDefault="005E785B" w:rsidP="005E785B">
      <w:pPr>
        <w:pStyle w:val="Heading2"/>
        <w:rPr>
          <w:rFonts w:ascii="Arial" w:hAnsi="Arial" w:cs="Arial"/>
        </w:rPr>
      </w:pPr>
      <w:bookmarkStart w:id="142" w:name="_Toc240143333"/>
      <w:r w:rsidRPr="001F6351">
        <w:rPr>
          <w:rFonts w:ascii="Arial" w:hAnsi="Arial" w:cs="Arial"/>
          <w:lang w:eastAsia="en-GB"/>
        </w:rPr>
        <w:t>6.5 Recommendations for Future Research</w:t>
      </w:r>
      <w:bookmarkEnd w:id="142"/>
    </w:p>
    <w:p w14:paraId="5FDF22C6" w14:textId="77777777" w:rsidR="005E785B" w:rsidRDefault="005E785B" w:rsidP="005E785B">
      <w:pPr>
        <w:spacing w:line="360" w:lineRule="auto"/>
        <w:jc w:val="both"/>
        <w:rPr>
          <w:rFonts w:ascii="Arial" w:hAnsi="Arial" w:cs="Arial"/>
        </w:rPr>
      </w:pPr>
      <w:r w:rsidRPr="00BB7828">
        <w:rPr>
          <w:rFonts w:ascii="Arial" w:hAnsi="Arial" w:cs="Arial"/>
        </w:rPr>
        <w:t xml:space="preserve">These suggestions do not imply a reduction in digitalisation; rather, they suggest a strategy in which technological advancement is combined with accessibility, options, and fairness. We hope that future research will focus on digital marginalisation amongst a wider range of older people in different UK localities and health and social care settings. More especially, we would expect the study to focus on people who are in a difficult economic position, have poor English-speaking skills, have disabilities, and are not able to get informal help. This would expand the picture into the connection between advanced age and wider social conditions highlighted in this study. </w:t>
      </w:r>
    </w:p>
    <w:p w14:paraId="0E45EFBB" w14:textId="77777777" w:rsidR="005E785B" w:rsidRDefault="005E785B" w:rsidP="005E785B">
      <w:pPr>
        <w:spacing w:line="360" w:lineRule="auto"/>
        <w:jc w:val="both"/>
        <w:rPr>
          <w:rFonts w:ascii="Arial" w:hAnsi="Arial" w:cs="Arial"/>
        </w:rPr>
      </w:pPr>
      <w:r w:rsidRPr="00BB7828">
        <w:rPr>
          <w:rFonts w:ascii="Arial" w:hAnsi="Arial" w:cs="Arial"/>
        </w:rPr>
        <w:lastRenderedPageBreak/>
        <w:t xml:space="preserve">A longitudinal qualitative study would provide important insight into the development of digital skills and preferences for older people. Most of the existing information is based on experience, but digital technologies and service routes are evolving rapidly. Longitudinally monitored data on the experience and training of participants could help to understand whether they remain involved or if new technological demands are making it more challenging. </w:t>
      </w:r>
    </w:p>
    <w:p w14:paraId="2C0A9EB2" w14:textId="77777777" w:rsidR="005E785B" w:rsidRDefault="005E785B" w:rsidP="005E785B">
      <w:pPr>
        <w:spacing w:line="360" w:lineRule="auto"/>
        <w:jc w:val="both"/>
        <w:rPr>
          <w:rFonts w:ascii="Arial" w:hAnsi="Arial" w:cs="Arial"/>
        </w:rPr>
      </w:pPr>
      <w:r w:rsidRPr="00BB7828">
        <w:rPr>
          <w:rFonts w:ascii="Arial" w:hAnsi="Arial" w:cs="Arial"/>
        </w:rPr>
        <w:t xml:space="preserve">More research could investigate these hybrid service models that keep both in-person and telephonic access and digital alternatives. Similar studies might explore </w:t>
      </w:r>
      <w:r>
        <w:rPr>
          <w:rFonts w:ascii="Arial" w:hAnsi="Arial" w:cs="Arial"/>
        </w:rPr>
        <w:t>whether</w:t>
      </w:r>
      <w:r w:rsidRPr="00BB7828">
        <w:rPr>
          <w:rFonts w:ascii="Arial" w:hAnsi="Arial" w:cs="Arial"/>
        </w:rPr>
        <w:t xml:space="preserve"> these methods </w:t>
      </w:r>
      <w:r>
        <w:rPr>
          <w:rFonts w:ascii="Arial" w:hAnsi="Arial" w:cs="Arial"/>
        </w:rPr>
        <w:t>provide</w:t>
      </w:r>
      <w:r w:rsidRPr="00BB7828">
        <w:rPr>
          <w:rFonts w:ascii="Arial" w:hAnsi="Arial" w:cs="Arial"/>
        </w:rPr>
        <w:t xml:space="preserve"> equal access for senior citizens and have the convenience of digital services. </w:t>
      </w:r>
    </w:p>
    <w:p w14:paraId="2E76CA43" w14:textId="77777777" w:rsidR="005E785B" w:rsidRDefault="005E785B" w:rsidP="005E785B">
      <w:pPr>
        <w:spacing w:line="360" w:lineRule="auto"/>
        <w:jc w:val="both"/>
        <w:rPr>
          <w:rFonts w:ascii="Arial" w:hAnsi="Arial" w:cs="Arial"/>
        </w:rPr>
      </w:pPr>
      <w:r w:rsidRPr="00BB7828">
        <w:rPr>
          <w:rFonts w:ascii="Arial" w:hAnsi="Arial" w:cs="Arial"/>
        </w:rPr>
        <w:t xml:space="preserve">In the future, the inclusion of older people in designing and assessing digital health and social care systems should be a central part of the research. A better understanding of accessibility and usability for older people would be possible with the participation of people from different socioeconomic, ethnic, and linguistic backgrounds before the broad implementation of new digital options. </w:t>
      </w:r>
    </w:p>
    <w:p w14:paraId="1E3A3DA4" w14:textId="77777777" w:rsidR="005E785B" w:rsidRDefault="005E785B" w:rsidP="005E785B">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3B5B7320" w14:textId="77777777" w:rsidR="005E785B" w:rsidRPr="001F6351" w:rsidRDefault="005E785B" w:rsidP="005E785B">
      <w:pPr>
        <w:pStyle w:val="Heading2"/>
        <w:rPr>
          <w:rFonts w:ascii="Arial" w:hAnsi="Arial" w:cs="Arial"/>
        </w:rPr>
      </w:pPr>
      <w:bookmarkStart w:id="143" w:name="_Toc240143334"/>
      <w:r w:rsidRPr="001F6351">
        <w:rPr>
          <w:rFonts w:ascii="Arial" w:hAnsi="Arial" w:cs="Arial"/>
          <w:lang w:eastAsia="en-GB"/>
        </w:rPr>
        <w:t xml:space="preserve">6.6 Contribution and </w:t>
      </w:r>
      <w:r w:rsidRPr="001F6351">
        <w:rPr>
          <w:rFonts w:ascii="Arial" w:hAnsi="Arial" w:cs="Arial"/>
        </w:rPr>
        <w:t>Concluding Summary.</w:t>
      </w:r>
      <w:bookmarkEnd w:id="143"/>
      <w:r w:rsidRPr="001F6351">
        <w:rPr>
          <w:rFonts w:ascii="Arial" w:hAnsi="Arial" w:cs="Arial"/>
        </w:rPr>
        <w:t xml:space="preserve"> </w:t>
      </w:r>
    </w:p>
    <w:p w14:paraId="3E5C7575"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The study also adds to our understanding of digital exclusion and shows that the problem is more than just having technology or internet access. The review focuses on the linkages of digital skills, social class, human assistance, service choice, trust, and usability to access to health and social care for older people in the UK and provides qualitative and quantitative information. </w:t>
      </w:r>
    </w:p>
    <w:p w14:paraId="7C12D361" w14:textId="77777777" w:rsidR="005E785B" w:rsidRPr="00876E0A" w:rsidRDefault="005E785B" w:rsidP="005E785B">
      <w:pPr>
        <w:spacing w:line="360" w:lineRule="auto"/>
        <w:jc w:val="both"/>
        <w:rPr>
          <w:rFonts w:ascii="Arial" w:hAnsi="Arial" w:cs="Arial"/>
        </w:rPr>
      </w:pPr>
      <w:r w:rsidRPr="00876E0A">
        <w:rPr>
          <w:rFonts w:ascii="Arial" w:hAnsi="Arial" w:cs="Arial"/>
        </w:rPr>
        <w:t xml:space="preserve">The most important aspect is that it is not enough for advanced age to explain digital isolation by itself. Elderly individuals have many different abilities, inclinations, and situations, and disadvantages become more apparent when age interacts with socioeconomic, linguistic, and other barriers (Chadwick et al., 2024; Ahmed et al., 2024; Husain and Greenhalgh, 2025). </w:t>
      </w:r>
    </w:p>
    <w:p w14:paraId="6B7AA09D" w14:textId="7EC6D121" w:rsidR="005E785B" w:rsidRPr="000F2C85" w:rsidRDefault="005E785B" w:rsidP="000F2C85">
      <w:pPr>
        <w:spacing w:line="360" w:lineRule="auto"/>
        <w:jc w:val="both"/>
        <w:rPr>
          <w:rFonts w:ascii="Arial" w:eastAsia="Times New Roman" w:hAnsi="Arial" w:cs="Arial"/>
          <w:b/>
          <w:bCs/>
          <w:kern w:val="0"/>
          <w:sz w:val="36"/>
          <w:szCs w:val="36"/>
          <w:lang w:eastAsia="en-GB"/>
        </w:rPr>
      </w:pPr>
      <w:r w:rsidRPr="00876E0A">
        <w:rPr>
          <w:rFonts w:ascii="Arial" w:hAnsi="Arial" w:cs="Arial"/>
        </w:rPr>
        <w:t>The main lesson from this dissertation is that effective digital transformation in health and social care has to do with not only the provision or adoption of digital services but also the continued accessibility and fairness of those services for people with differing needs and situations. Digital technology has significant opportunities for service delivery as well as an opportunity to be effective, but this will not be possible unless digital competence, human support, inclusive design, and quality solutions can be integrated with technological development. Ensuring that care for older people in the UK is available to everyone, regardless of their digital proficiency, is key to the development of a more inclusive strategy for the digital transformation of health and social care in the United Kingdom</w:t>
      </w:r>
    </w:p>
    <w:p w14:paraId="29A25C66" w14:textId="77777777" w:rsidR="005E785B" w:rsidRDefault="005E785B">
      <w:pPr>
        <w:pStyle w:val="Heading1"/>
        <w:ind w:left="12" w:right="6"/>
        <w:rPr>
          <w:rFonts w:asciiTheme="minorBidi" w:hAnsiTheme="minorBidi" w:cstheme="minorBidi"/>
        </w:rPr>
      </w:pPr>
    </w:p>
    <w:p w14:paraId="51757469" w14:textId="77777777" w:rsidR="005E785B" w:rsidRDefault="005E785B" w:rsidP="000F2C85">
      <w:pPr>
        <w:pStyle w:val="Heading1"/>
        <w:ind w:left="0" w:right="6" w:firstLine="0"/>
        <w:jc w:val="left"/>
        <w:rPr>
          <w:rFonts w:asciiTheme="minorBidi" w:hAnsiTheme="minorBidi" w:cstheme="minorBidi"/>
        </w:rPr>
      </w:pPr>
    </w:p>
    <w:p w14:paraId="69CE32E2" w14:textId="77777777" w:rsidR="005E785B" w:rsidRDefault="005E785B">
      <w:pPr>
        <w:pStyle w:val="Heading1"/>
        <w:ind w:left="12" w:right="6"/>
        <w:rPr>
          <w:rFonts w:asciiTheme="minorBidi" w:hAnsiTheme="minorBidi" w:cstheme="minorBidi"/>
        </w:rPr>
      </w:pPr>
    </w:p>
    <w:p w14:paraId="0733BFF1" w14:textId="77777777" w:rsidR="005E785B" w:rsidRDefault="005E785B">
      <w:pPr>
        <w:pStyle w:val="Heading1"/>
        <w:ind w:left="12" w:right="6"/>
        <w:rPr>
          <w:rFonts w:asciiTheme="minorBidi" w:hAnsiTheme="minorBidi" w:cstheme="minorBidi"/>
        </w:rPr>
      </w:pPr>
    </w:p>
    <w:p w14:paraId="1C880B3B" w14:textId="2682E910" w:rsidR="009F64C5" w:rsidRPr="001F6351" w:rsidRDefault="009F64C5" w:rsidP="001F6351">
      <w:pPr>
        <w:pStyle w:val="Heading1"/>
        <w:rPr>
          <w:rFonts w:ascii="Arial" w:hAnsi="Arial" w:cs="Arial"/>
          <w:sz w:val="28"/>
          <w:szCs w:val="28"/>
        </w:rPr>
      </w:pPr>
      <w:bookmarkStart w:id="144" w:name="_Toc240143335"/>
      <w:r w:rsidRPr="001F6351">
        <w:rPr>
          <w:rFonts w:ascii="Arial" w:hAnsi="Arial" w:cs="Arial"/>
          <w:sz w:val="28"/>
          <w:szCs w:val="28"/>
        </w:rPr>
        <w:t>Reference list</w:t>
      </w:r>
      <w:bookmarkEnd w:id="144"/>
      <w:r w:rsidRPr="001F6351">
        <w:rPr>
          <w:rFonts w:ascii="Arial" w:hAnsi="Arial" w:cs="Arial"/>
          <w:sz w:val="28"/>
          <w:szCs w:val="28"/>
        </w:rPr>
        <w:t xml:space="preserve"> </w:t>
      </w:r>
      <w:bookmarkEnd w:id="137"/>
    </w:p>
    <w:p w14:paraId="2A2394B3"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186D603E" w14:textId="77777777" w:rsidR="009F64C5" w:rsidRPr="007F1C8A" w:rsidRDefault="009F64C5">
      <w:pPr>
        <w:spacing w:after="158"/>
        <w:ind w:left="720"/>
        <w:rPr>
          <w:rFonts w:asciiTheme="minorBidi" w:hAnsiTheme="minorBidi"/>
        </w:rPr>
      </w:pPr>
      <w:r w:rsidRPr="007F1C8A">
        <w:rPr>
          <w:rFonts w:asciiTheme="minorBidi" w:hAnsiTheme="minorBidi"/>
        </w:rPr>
        <w:t xml:space="preserve"> </w:t>
      </w:r>
    </w:p>
    <w:p w14:paraId="26BA3412" w14:textId="51D3475F" w:rsidR="00CA5859" w:rsidRPr="002C532A" w:rsidRDefault="00CA5859" w:rsidP="00CA5859">
      <w:pPr>
        <w:spacing w:after="120"/>
        <w:ind w:left="360" w:hanging="360"/>
        <w:jc w:val="both"/>
        <w:rPr>
          <w:rFonts w:ascii="Arial" w:hAnsi="Arial" w:cs="Arial"/>
        </w:rPr>
      </w:pPr>
      <w:r w:rsidRPr="002C532A">
        <w:rPr>
          <w:rFonts w:ascii="Arial" w:hAnsi="Arial" w:cs="Arial"/>
        </w:rPr>
        <w:t>Abel, G., Atherton, H., Sussex, J., Akter, N., Aminu, A.Q., Bak, W., Bryce, C., Clark, C.E., Cockcroft, E., Evans, H., Gkousis, E., Jenkins, G., Jenkinson, C., Khan, N., Lambert, J., Leach, B., Marriott, C., Newbould, J., Parkinson, S., Parsons, J., Pitchforth, E., Sheard, L., Stockwell, S., Thomas, C., Treadgold, B., Winder, R. and Campbell, J.L. (2024). Current experience and future potential of facilitating access to digital NHS primary care services in England: the Di-Facto mixed-methods study. Health and social care delivery research, 12(32), pp.1–197. Available at: https://doi.org/10.3310/jkyt5803 (Accessed:13 March 2026).</w:t>
      </w:r>
    </w:p>
    <w:p w14:paraId="506C6DD4" w14:textId="77777777" w:rsidR="00CA5859" w:rsidRPr="002C532A" w:rsidRDefault="00CA5859" w:rsidP="00CA5859">
      <w:pPr>
        <w:spacing w:after="120"/>
        <w:ind w:left="360" w:hanging="360"/>
        <w:jc w:val="both"/>
        <w:rPr>
          <w:rFonts w:ascii="Arial" w:hAnsi="Arial" w:cs="Arial"/>
        </w:rPr>
      </w:pPr>
      <w:r w:rsidRPr="002C532A">
        <w:rPr>
          <w:rFonts w:ascii="Arial" w:hAnsi="Arial" w:cs="Arial"/>
        </w:rPr>
        <w:t>Age UK (2021) Briefing paper: Digital inclusion and older people – how have things changed in a COVID-19 world? Available at: https://www.ageuk.org.uk/siteassets/documents/reportsand-publications/reports-and-briefings/active-communities/digital-inclusion-in-the-pandemicfinal-march-2021.pdf (Accessed: 12 March 2026).</w:t>
      </w:r>
    </w:p>
    <w:p w14:paraId="6ABE4F4E" w14:textId="77777777" w:rsidR="00CA5859" w:rsidRPr="002C532A" w:rsidRDefault="00CA5859" w:rsidP="00CA5859">
      <w:pPr>
        <w:spacing w:after="120"/>
        <w:ind w:left="360" w:hanging="360"/>
        <w:jc w:val="both"/>
        <w:rPr>
          <w:rFonts w:ascii="Arial" w:hAnsi="Arial" w:cs="Arial"/>
        </w:rPr>
      </w:pPr>
      <w:r w:rsidRPr="002C532A">
        <w:rPr>
          <w:rFonts w:ascii="Arial" w:hAnsi="Arial" w:cs="Arial"/>
        </w:rPr>
        <w:t>Age UK (2023) Age UK launches offline and overlooked digital campaign. Available at: https://www.ageuk.org.uk/latest-press/articles/2023/age-uk-analysis-reveals-that-almost-6-million-people-5800000-aged-65-are-either-unable-to-use-the-internet-safely-and-successfully-or-arent-online-at-all/ (Accessed: 16 June 2026).</w:t>
      </w:r>
    </w:p>
    <w:p w14:paraId="21F555C1" w14:textId="77777777" w:rsidR="00CA5859" w:rsidRPr="002C532A" w:rsidRDefault="00CA5859" w:rsidP="00CA5859">
      <w:pPr>
        <w:spacing w:after="120"/>
        <w:ind w:left="360" w:hanging="360"/>
        <w:jc w:val="both"/>
        <w:rPr>
          <w:rFonts w:ascii="Arial" w:hAnsi="Arial" w:cs="Arial"/>
        </w:rPr>
      </w:pPr>
      <w:r w:rsidRPr="002C532A">
        <w:rPr>
          <w:rFonts w:ascii="Arial" w:hAnsi="Arial" w:cs="Arial"/>
        </w:rPr>
        <w:t>Age UK (2023) Offline and Overlooked: Tackling Digital Exclusion in Later Life. London: Age UK.</w:t>
      </w:r>
    </w:p>
    <w:p w14:paraId="5BE78E99" w14:textId="77777777" w:rsidR="00CA5859" w:rsidRPr="002C532A" w:rsidRDefault="00CA5859" w:rsidP="00CA5859">
      <w:pPr>
        <w:spacing w:after="120"/>
        <w:ind w:left="360" w:hanging="360"/>
        <w:jc w:val="both"/>
        <w:rPr>
          <w:rFonts w:ascii="Arial" w:hAnsi="Arial" w:cs="Arial"/>
        </w:rPr>
      </w:pPr>
      <w:r w:rsidRPr="002C532A">
        <w:rPr>
          <w:rFonts w:ascii="Arial" w:hAnsi="Arial" w:cs="Arial"/>
        </w:rPr>
        <w:t>Age UK (2024) Offline and Overlooked: Digital exclusion and its impact on older people. (2024). Available at: https://www.ageuk.org.uk/siteassets/documents/reports-and-publications/reports-and-briefings/offline-and-overlooked-report.pdf (Accessed: 29 June 2026).</w:t>
      </w:r>
    </w:p>
    <w:p w14:paraId="5D567A58"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 xml:space="preserve">Age UK (2025) Age UK warns 2.4 million digitally excluded older people are at risk of being left behind in an increasingly digital world. Available at: </w:t>
      </w:r>
      <w:hyperlink r:id="rId18" w:history="1">
        <w:r w:rsidRPr="00CA5859">
          <w:rPr>
            <w:rStyle w:val="Hyperlink"/>
            <w:rFonts w:ascii="Arial" w:hAnsi="Arial" w:cs="Arial"/>
          </w:rPr>
          <w:t>https://www.ageuk.org.uk/latest-press/articles/age-uk-warns-22.4-million-digitally-excluded-older-people-are-at-risk-of-being-left-behind-in-an-increasingly-digital-worl</w:t>
        </w:r>
        <w:r w:rsidRPr="00CA5859">
          <w:rPr>
            <w:rStyle w:val="Hyperlink"/>
            <w:rFonts w:ascii="Arial" w:hAnsi="Arial" w:cs="Arial"/>
          </w:rPr>
          <w:t>d/</w:t>
        </w:r>
      </w:hyperlink>
      <w:r w:rsidRPr="00CA5859">
        <w:rPr>
          <w:rFonts w:ascii="Arial" w:hAnsi="Arial" w:cs="Arial"/>
        </w:rPr>
        <w:t xml:space="preserve">  (Accessed: 28 June 2026).</w:t>
      </w:r>
    </w:p>
    <w:p w14:paraId="59A057FC"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Ahmed, N., Hall, A., Poku, B., McDermott, J., Astbury, J. and Todd, C. (2024) ‘Experiences and views of older adults of South Asian, Black African, and Caribbean backgrounds about the digitalisation of primary care services since the COVID-19 pandemic: Qualitative focus group study’, JMIR Formative Research, 8, e57580. Available at: https://doi.org/10.2196/57580 (Accessed: 09 July 2026).</w:t>
      </w:r>
    </w:p>
    <w:p w14:paraId="775C4C7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Ahmed, S.K., Mohammed, R.A., Nashwan, A.J., Ibrahim, R.H., Abdalla, A.Q., Ameen, B.M.M. and Khidhir, R.M. (2025). Using Thematic Analysis in Qualitative Research. Journal of Medicine, Surgery, and Public Health, 6(6), p.100198. Available at: https://doi.org/10.1016/j.glmedi.2025.100198 (Accessed: 12 June 2026).</w:t>
      </w:r>
    </w:p>
    <w:p w14:paraId="2AEE5CFB" w14:textId="77777777" w:rsidR="00CA5859" w:rsidRPr="00CA5859" w:rsidRDefault="00CA5859" w:rsidP="00CA5859">
      <w:pPr>
        <w:spacing w:after="120"/>
        <w:ind w:left="360" w:hanging="360"/>
        <w:jc w:val="both"/>
        <w:rPr>
          <w:rFonts w:ascii="Arial" w:hAnsi="Arial" w:cs="Arial"/>
        </w:rPr>
      </w:pPr>
      <w:r w:rsidRPr="00CA5859">
        <w:rPr>
          <w:rFonts w:ascii="Arial" w:hAnsi="Arial" w:cs="Arial"/>
        </w:rPr>
        <w:lastRenderedPageBreak/>
        <w:t>Alruwaili, M.M., Shaban, M. and Elsayed Ramadan, O.M. (2023). Digital Health Interventions for Promoting Healthy Ageing: A Systematic Review of Adoption Patterns, Efficacy, and User Experience. Sustainability, 15(23), p.16503. Available at: https://doi.org/10.3390/su152316503 (Accessed: 12 June 2026).</w:t>
      </w:r>
    </w:p>
    <w:p w14:paraId="1571C474"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Aromataris, E. and Munn, Z. (eds.) (2020) JBI Manual for Evidence Synthesis. Adelaide: Joanna Briggs Institute. Available at: https://doi.org/10.46658/jbimes-20-01 (Accessed: 4 August 2026).</w:t>
      </w:r>
    </w:p>
    <w:p w14:paraId="488A639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Aslan, A. (2025) Reducing digital disadvantage in older adults and the role of families and/or carers in increasing technology acceptance and use. PhD thesis. Faculty of Health and Medical Sciences, School of Health Sciences, Available at: https://openresearch.surrey.ac.uk/esploro/outputs/doctoral/Reducing-Digital-Disadvantage-in-Older-Adults/991081028902346/filesAndLinks?index=0 (Accessed: 12 June 2026).</w:t>
      </w:r>
    </w:p>
    <w:p w14:paraId="001C773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Baker, S., Warburton, J., Waycott, J., Batchelor, F. and Hoang, T. (2020) ‘Combatting social isolation and increasing social participation of older adults through the use of technology’, Journal of Gerontological Social Work, 63(1–2), pp. 1–20.</w:t>
      </w:r>
    </w:p>
    <w:p w14:paraId="5F1587F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Barbosa, I. and de Oliveira, E.R. (2026). Beyond the digital divide: exploring older adults’ experiences of digital inclusion and socialisation. Education and Information Technologies. Available at: https://doi.org/10.1007/s10639-026-13980-8 (Accessed: 16 June 2026).</w:t>
      </w:r>
    </w:p>
    <w:p w14:paraId="580ED20C" w14:textId="6688B1C6" w:rsidR="00CA5859" w:rsidRPr="00CA5859" w:rsidRDefault="00CA5859" w:rsidP="00CA5859">
      <w:pPr>
        <w:spacing w:after="120"/>
        <w:ind w:left="360" w:hanging="360"/>
        <w:jc w:val="both"/>
        <w:rPr>
          <w:rFonts w:ascii="Arial" w:hAnsi="Arial" w:cs="Arial"/>
        </w:rPr>
      </w:pPr>
      <w:r w:rsidRPr="00CA5859">
        <w:rPr>
          <w:rFonts w:ascii="Arial" w:hAnsi="Arial" w:cs="Arial"/>
        </w:rPr>
        <w:t xml:space="preserve">Birati, Y. and Tzemah-Shahar, R. (2026). Barriers to Digital health adoption in older adults: Scoping review informed by Innovation resistance theory. Journal of Medical Internet Research, 28, </w:t>
      </w:r>
      <w:r w:rsidR="002C532A" w:rsidRPr="00CA5859">
        <w:rPr>
          <w:rFonts w:ascii="Arial" w:hAnsi="Arial" w:cs="Arial"/>
        </w:rPr>
        <w:t>pp. e</w:t>
      </w:r>
      <w:r w:rsidRPr="00CA5859">
        <w:rPr>
          <w:rFonts w:ascii="Arial" w:hAnsi="Arial" w:cs="Arial"/>
        </w:rPr>
        <w:t>75591-e75591. Available at: https://doi.org/10.2196/75591 (Accessed: 12 June 2026).</w:t>
      </w:r>
    </w:p>
    <w:p w14:paraId="4B9CF61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Booth, A., Sutton, A. and Papaioannou, D. (2022) Systematic Approaches to a Successful Literature Review. 3rd edn. London: Sage.</w:t>
      </w:r>
    </w:p>
    <w:p w14:paraId="5F9ABBFB"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Braun, V. and Clarke, V. (2006) ‘Using thematic analysis in psychology’, Qualitative Research in Psychology, 3(2), pp. 77–101. Available at: https://doi.org/10.1191/1478088706qp063oa (Accessed: 4 August 2026).</w:t>
      </w:r>
    </w:p>
    <w:p w14:paraId="4E2A794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Braun, V. and Clarke, V. (2021) Thematic Analysis: A Practical Guide. London: Sage.</w:t>
      </w:r>
    </w:p>
    <w:p w14:paraId="4E7B849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British Educational Research Association (BERA) (2024) Ethical Guidelines for Educational Research. 5th edn. London: BERA. Available at: https://www.bera.ac.uk/publication/ethical-guidelines-for-educational-research-2024 (Accessed: 4 August 2026).</w:t>
      </w:r>
    </w:p>
    <w:p w14:paraId="739B637B" w14:textId="0E5BA57E" w:rsidR="00CA5859" w:rsidRPr="00CA5859" w:rsidRDefault="00CA5859" w:rsidP="00CA5859">
      <w:pPr>
        <w:spacing w:after="120"/>
        <w:ind w:left="360" w:hanging="360"/>
        <w:jc w:val="both"/>
        <w:rPr>
          <w:rFonts w:ascii="Arial" w:hAnsi="Arial" w:cs="Arial"/>
        </w:rPr>
      </w:pPr>
      <w:r w:rsidRPr="00CA5859">
        <w:rPr>
          <w:rFonts w:ascii="Arial" w:hAnsi="Arial" w:cs="Arial"/>
        </w:rPr>
        <w:t xml:space="preserve">Brundle, C., Johansson, J.F., Best, K., Clegg, A., Forster, A., Atkinson, T., Foster, M., Humphrey, S., Iliff, A., Inglis, J., Walker, C. and Graham, L. (2025). Development of methods to identify digitally excluded older people, and tailoring of interventions to meet their digital needs: a protocol for a mixed-methods study (the INCLUDE study). BMJ Open, 15(9), p.e102723. Available at: https://doi.org/10.1136/bmjopen-2025-102723 (Accessed:18 June </w:t>
      </w:r>
      <w:r w:rsidR="002C532A" w:rsidRPr="00CA5859">
        <w:rPr>
          <w:rFonts w:ascii="Arial" w:hAnsi="Arial" w:cs="Arial"/>
        </w:rPr>
        <w:t>2026)</w:t>
      </w:r>
      <w:r w:rsidRPr="00CA5859">
        <w:rPr>
          <w:rFonts w:ascii="Arial" w:hAnsi="Arial" w:cs="Arial"/>
        </w:rPr>
        <w:t>.</w:t>
      </w:r>
    </w:p>
    <w:p w14:paraId="2B446DD4"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Bufel, T., Rémillard-Boilard, S. and Phillipson, C. (2021) Social isolation among older people in urban areas: A review of the literature for the Ambition for Ageing programme in Greater Manchester. Manchester: University of Manchester.</w:t>
      </w:r>
    </w:p>
    <w:p w14:paraId="7B363980"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 xml:space="preserve">Burholt, V., Winter, B., Aartsen, M., Constantinou, C., Dahlberg, L., Feliciano, V., De Jong Gierveld, J., Van Regenmortel, S. and Waldegrave, C. (2019) ‘A critical review and </w:t>
      </w:r>
      <w:r w:rsidRPr="00CA5859">
        <w:rPr>
          <w:rFonts w:ascii="Arial" w:hAnsi="Arial" w:cs="Arial"/>
        </w:rPr>
        <w:lastRenderedPageBreak/>
        <w:t>development of a conceptual model of exclusion from social relations for older people’, European Journal of Ageing, 17, pp. 3–19.</w:t>
      </w:r>
    </w:p>
    <w:p w14:paraId="6A48DB62"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Byeon, H. (2026). The impact of social isolation and digital exclusion on mental and physical health in older adults: A meta-analysis. Medicine, 105(4), p.e46010. Available at: https://doi.org/10.1097/md.0000000000046010 (Accessed: 15 June 2026).</w:t>
      </w:r>
    </w:p>
    <w:p w14:paraId="0815306C"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Carney, F. and Kandt, J. (2022). Health, out-of-home activities and digital inclusion in later life: Implications for emerging mobility services. Journal of Transport &amp; Health, 24, p.101311. Available at: https://doi.org/10.1016/j.jth.2021.101311 (Accessed: 13 June 2026).</w:t>
      </w:r>
    </w:p>
    <w:p w14:paraId="2FEF4F5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CASP (2018) CASP Qualitative Checklist. Oxford: Critical Appraisal Skills Programme. Available at: https://casp-uk.net/casp-tools-checklists/ (Accessed: 4 August 2026).</w:t>
      </w:r>
    </w:p>
    <w:p w14:paraId="0AC3879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Chadwick, D., Wesson, C., Fullwood, C. and Devonshire, I. (2024) 'Older adults' experiences of accessing digital healthcare services: A qualitative study', Health &amp; Social Care in the Community, 32(2), pp. 1–13.</w:t>
      </w:r>
    </w:p>
    <w:p w14:paraId="0A363EB2"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Chadwick, H., Laverty, L., Finnigan, R., Elias, R., Farrington, K., Caskey, F.J. and van der Veer, S.N. (2024). Engagement With Digital Health Technologies Among Older People Living in Socially Deprived Areas: Qualitative Study of Influencing Factors. JMIR Formative Research, 8, pp. e60483–e60483. Available at: https://doi.org/10.2196/60483 (Accessed: 28 July).</w:t>
      </w:r>
    </w:p>
    <w:p w14:paraId="5E0FF00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Chagnon, M., Levasseur, M. and Boissy, P. (2023) ‘Telehealth interventions in occupational therapy with older adults: Results from a scoping review targeting better health promotion’, Australian Occupational Therapy Journal, 71(1).</w:t>
      </w:r>
    </w:p>
    <w:p w14:paraId="247833A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Chowdhury, S.Z., Stevens, S., Wu, C., Woodward, C., Andrews, T., Ashall-Payne, L. and Leigh, S. (2023). An age-old problem or an old-age problem? A UK survey of attitudes, historical use and recommendations by healthcare professionals to use healthcare apps. BMC Geriatrics, 23(1). Available at: https://doi.org/10.1186/s12877-023-03772-x (Accessed: 21 July 2026).</w:t>
      </w:r>
    </w:p>
    <w:p w14:paraId="32636CB5"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Clarke, V. and Braun, V. (2017) ‘Thematic analysis’, The Journal of Positive Psychology, 12(3), pp. 297–298.</w:t>
      </w:r>
    </w:p>
    <w:p w14:paraId="2B4E3512" w14:textId="4991CED7" w:rsidR="00CA5859" w:rsidRPr="00CA5859" w:rsidRDefault="00CA5859" w:rsidP="00CA5859">
      <w:pPr>
        <w:spacing w:after="120"/>
        <w:ind w:left="360" w:hanging="360"/>
        <w:jc w:val="both"/>
        <w:rPr>
          <w:rFonts w:ascii="Arial" w:hAnsi="Arial" w:cs="Arial"/>
        </w:rPr>
      </w:pPr>
      <w:r w:rsidRPr="00CA5859">
        <w:rPr>
          <w:rFonts w:ascii="Arial" w:hAnsi="Arial" w:cs="Arial"/>
        </w:rPr>
        <w:t xml:space="preserve">Clohessy, S., Kempton, C., Ryan, K., Grinbergs, P. and Elliott, M.T. (2024). Exploring perceptions of using digital health platforms for self-managing musculoskeletal health conditions: A focus group study with older adults (Preprint). JMIR Aging, 7, </w:t>
      </w:r>
      <w:r w:rsidR="002C532A" w:rsidRPr="00CA5859">
        <w:rPr>
          <w:rFonts w:ascii="Arial" w:hAnsi="Arial" w:cs="Arial"/>
        </w:rPr>
        <w:t>pp. e</w:t>
      </w:r>
      <w:r w:rsidRPr="00CA5859">
        <w:rPr>
          <w:rFonts w:ascii="Arial" w:hAnsi="Arial" w:cs="Arial"/>
        </w:rPr>
        <w:t>55693-e55693. Available at: https://doi.org/10.2196/55693 (Accessed: 02 August 2026).</w:t>
      </w:r>
    </w:p>
    <w:p w14:paraId="7256BACB"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Clohessy, T., Acton, T. and Rogers, N. (2024) 'Digital inclusion for older adults: Barriers, facilitators and implications for healthcare', International Journal of Medical Informatics, 186, 105412.</w:t>
      </w:r>
    </w:p>
    <w:p w14:paraId="0448F3F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Cotterell, N., Buffel, T. and Phillipson, C. (2018) ‘Preventing social isolation in older people’, Maturitas, 113, pp. 80–84.</w:t>
      </w:r>
    </w:p>
    <w:p w14:paraId="7DC4D64C"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Dahlberg, L. and McKee, K.J. (2018) ‘Social exclusion and well-being among older adults in rural and urban areas’, Archives of Gerontology and Geriatrics, 79, pp. 176–184.</w:t>
      </w:r>
    </w:p>
    <w:p w14:paraId="035E13F4"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Damant, J., Knapp, M., Freddolino, P. and Lombard, D. (2016). Effects of digital engagement on the quality of life of older people. Health &amp; Social Care in the Community, 25(6), pp.1679–1703. Available at: https://doi.org/10.1111/hsc.12335 (Accessed: 12 August 2026).</w:t>
      </w:r>
    </w:p>
    <w:p w14:paraId="4B30324F"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 xml:space="preserve">Davies, A.R., Honeyman, M. and Gann, B. (2020). Addressing the digital inverse care law in the time of Covid-19: Potential for digital technology to exacerbate or mitigate health </w:t>
      </w:r>
      <w:r w:rsidRPr="00CA5859">
        <w:rPr>
          <w:rFonts w:ascii="Arial" w:hAnsi="Arial" w:cs="Arial"/>
        </w:rPr>
        <w:lastRenderedPageBreak/>
        <w:t>inequalities (preprint). Journal of Medical Internet Research, 23(4). Available at: https://doi.org/10.2196/21726 (Accessed: 15 July 2026).</w:t>
      </w:r>
    </w:p>
    <w:p w14:paraId="1306E328"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De Santis, K.K., Mergenthal, L., Christianson, L., Busskamp, A., Vonstein, C. and Zeeb, H. (2023). Digital Technologies for Health Promotion and Disease Prevention in Older People: Scoping Review. Journal of Medical Internet Research, 25, p.e43542. Available at: https://doi.org/10.2196/43542 (Accessed: 19 July 2026).</w:t>
      </w:r>
    </w:p>
    <w:p w14:paraId="0A4542F0"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Department of Health and Social Care (2022a) A plan for digital health and social care. Available at: https://www.gov.uk/government/publications/a-plan-for-digital-health-and-social-care (Accessed: 18 March 2026).</w:t>
      </w:r>
    </w:p>
    <w:p w14:paraId="1E2596A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Department of Health and Social Care (DHSC) (2022) Health and Social Care Integration: Joining Up Care for People, Places and Populations. London: DHSC.</w:t>
      </w:r>
    </w:p>
    <w:p w14:paraId="2311579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Digital inclusion: evidence signpost (2020) Available at: https://www.strategyunitwm.nhs.uk/sites/default/files/2021-04/Digital%20inclusion%20evidence%20signpost.pdf (Accessed: 16 June 2026).</w:t>
      </w:r>
    </w:p>
    <w:p w14:paraId="6B5AFECB"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Elian Eve Jentoft (2023). Technology and older adults in British loneliness policy and political discourse. Frontiers in Digital Health, 5. Available at: https://doi.org/10.3389/fdgth.2023.1168413 (Accessed: 16 June 2026).</w:t>
      </w:r>
    </w:p>
    <w:p w14:paraId="1CEDAD01" w14:textId="4E0A5E62" w:rsidR="00CA5859" w:rsidRPr="00CA5859" w:rsidRDefault="00CA5859" w:rsidP="00CA5859">
      <w:pPr>
        <w:spacing w:after="120"/>
        <w:ind w:left="360" w:hanging="360"/>
        <w:jc w:val="both"/>
        <w:rPr>
          <w:rFonts w:ascii="Arial" w:hAnsi="Arial" w:cs="Arial"/>
        </w:rPr>
      </w:pPr>
      <w:r w:rsidRPr="00CA5859">
        <w:rPr>
          <w:rFonts w:ascii="Arial" w:hAnsi="Arial" w:cs="Arial"/>
        </w:rPr>
        <w:t xml:space="preserve">Emilene Zitkus, P. John Clarkson &amp; Yeda A. Duarte (2025): State of Science: New frontiers in inclusive design and digital health intervention, Ergonomics, Available at: https://doi.org/10.1080/00140139.2025.2548007 (Accessed:16 June </w:t>
      </w:r>
      <w:r w:rsidR="002C532A" w:rsidRPr="00CA5859">
        <w:rPr>
          <w:rFonts w:ascii="Arial" w:hAnsi="Arial" w:cs="Arial"/>
        </w:rPr>
        <w:t>2026)</w:t>
      </w:r>
      <w:r w:rsidRPr="00CA5859">
        <w:rPr>
          <w:rFonts w:ascii="Arial" w:hAnsi="Arial" w:cs="Arial"/>
        </w:rPr>
        <w:t>.</w:t>
      </w:r>
    </w:p>
    <w:p w14:paraId="6512D18F" w14:textId="13298094" w:rsidR="00CA5859" w:rsidRPr="00CA5859" w:rsidRDefault="00CA5859" w:rsidP="00CA5859">
      <w:pPr>
        <w:spacing w:after="120"/>
        <w:ind w:left="360" w:hanging="360"/>
        <w:jc w:val="both"/>
        <w:rPr>
          <w:rFonts w:ascii="Arial" w:hAnsi="Arial" w:cs="Arial"/>
        </w:rPr>
      </w:pPr>
      <w:r w:rsidRPr="00CA5859">
        <w:rPr>
          <w:rFonts w:ascii="Arial" w:hAnsi="Arial" w:cs="Arial"/>
        </w:rPr>
        <w:t xml:space="preserve">Emmesjö, L., Hallgren, J. and Catharina Gillsjö (2025). Older adults’ digital technology experiences: a qualitative study. BMC Digital Health, 3(1). Available at: https://doi.org/10.1186/s44247-025-00163-7 (Accessed:23 June </w:t>
      </w:r>
      <w:r w:rsidR="002C532A" w:rsidRPr="00CA5859">
        <w:rPr>
          <w:rFonts w:ascii="Arial" w:hAnsi="Arial" w:cs="Arial"/>
        </w:rPr>
        <w:t>2026)</w:t>
      </w:r>
      <w:r w:rsidRPr="00CA5859">
        <w:rPr>
          <w:rFonts w:ascii="Arial" w:hAnsi="Arial" w:cs="Arial"/>
        </w:rPr>
        <w:t>.</w:t>
      </w:r>
    </w:p>
    <w:p w14:paraId="1DFE3EC2"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Erku, D., Khatri, R., Endalamaw, A., Wolka, E., Nigatu, F., Zewdie, A. and Assefa, Y. (2023). Digital health interventions to improve access to and quality of Primary health care services: A scoping review. International Journal of Environmental Research and Public Health, 20(19), p. 6854. Available at: https://doi.org/10.3390/ijerph20196854 (Accessed: 16 June 2026).</w:t>
      </w:r>
    </w:p>
    <w:p w14:paraId="3DBA49DB"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Erku, D.A., Belachew, S.A., Abrha, S. and colleagues (2023) 'Digital health interventions to improve access to primary healthcare: A scoping review', Frontiers in Digital Health, 5, Article 1178698.</w:t>
      </w:r>
    </w:p>
    <w:p w14:paraId="2EB024EF" w14:textId="778091C9" w:rsidR="00CA5859" w:rsidRPr="00CA5859" w:rsidRDefault="00CA5859" w:rsidP="00CA5859">
      <w:pPr>
        <w:spacing w:after="120"/>
        <w:ind w:left="360" w:hanging="360"/>
        <w:jc w:val="both"/>
        <w:rPr>
          <w:rFonts w:ascii="Arial" w:hAnsi="Arial" w:cs="Arial"/>
        </w:rPr>
      </w:pPr>
      <w:r w:rsidRPr="00CA5859">
        <w:rPr>
          <w:rFonts w:ascii="Arial" w:hAnsi="Arial" w:cs="Arial"/>
        </w:rPr>
        <w:t xml:space="preserve">Evans, L., Evans, J., Pagliari, C. and Källander, K. (2023). Scoping review: exploring the equity impact of current digital health design practices. Oxford Open Digital Health, 1. Available at: https://doi.org/10.1093/oodh/oqad006 (Accessed:22 June </w:t>
      </w:r>
      <w:r w:rsidR="002C532A" w:rsidRPr="00CA5859">
        <w:rPr>
          <w:rFonts w:ascii="Arial" w:hAnsi="Arial" w:cs="Arial"/>
        </w:rPr>
        <w:t>2026)</w:t>
      </w:r>
      <w:r w:rsidRPr="00CA5859">
        <w:rPr>
          <w:rFonts w:ascii="Arial" w:hAnsi="Arial" w:cs="Arial"/>
        </w:rPr>
        <w:t>.</w:t>
      </w:r>
    </w:p>
    <w:p w14:paraId="3685BE84"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Fakoya, O.A., McCorry, N.K. and Donnelly, M. (2020). Loneliness and social isolation interventions for older adults: a scoping review of reviews. BMC Public Health, 20(1). Available at: https://doi.org/10.1186/s12889-020-8251-6 (Accessed: 16 June 2026).</w:t>
      </w:r>
    </w:p>
    <w:p w14:paraId="43EA91B0"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Fang, Y., Shao, Y. and Wang, M. (2025). The involuntary experience of digital exclusion among older adults: A taxonomy and theoretical framework. American Psychologist. Available at: https://doi.org/10.1037/amp0001502 (Accessed: 10 June 2026).</w:t>
      </w:r>
    </w:p>
    <w:p w14:paraId="18E3EE92" w14:textId="0210379F" w:rsidR="00CA5859" w:rsidRPr="00CA5859" w:rsidRDefault="00CA5859" w:rsidP="00CA5859">
      <w:pPr>
        <w:spacing w:after="120"/>
        <w:ind w:left="360" w:hanging="360"/>
        <w:jc w:val="both"/>
        <w:rPr>
          <w:rFonts w:ascii="Arial" w:hAnsi="Arial" w:cs="Arial"/>
        </w:rPr>
      </w:pPr>
      <w:r w:rsidRPr="00CA5859">
        <w:rPr>
          <w:rFonts w:ascii="Arial" w:hAnsi="Arial" w:cs="Arial"/>
        </w:rPr>
        <w:t xml:space="preserve">Farre, A., Mei Lan Fang, Hannah, E., Meiko Makita, McFadden, A., Menezes, D., Rodriguez, A., Sixsmith, J. and Gray, N. (2023). Exploring the use of digital technology to deliver healthcare services with explicit consideration of health inequalities in UK settings: A scoping review. Digital Health, 9. Available at: https://doi.org/10.1177/20552076231185442 (Accessed:23 June </w:t>
      </w:r>
      <w:r w:rsidR="002C532A" w:rsidRPr="00CA5859">
        <w:rPr>
          <w:rFonts w:ascii="Arial" w:hAnsi="Arial" w:cs="Arial"/>
        </w:rPr>
        <w:t>2026)</w:t>
      </w:r>
      <w:r w:rsidRPr="00CA5859">
        <w:rPr>
          <w:rFonts w:ascii="Arial" w:hAnsi="Arial" w:cs="Arial"/>
        </w:rPr>
        <w:t>.</w:t>
      </w:r>
    </w:p>
    <w:p w14:paraId="7B44248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lastRenderedPageBreak/>
        <w:t>Farre, A., Shaw, K., Heath, G. and colleagues (2023) 'How digital healthcare influences patient access and experiences: A scoping review', BMC Health Services Research, 23, Article 1098.</w:t>
      </w:r>
    </w:p>
    <w:p w14:paraId="0039AEC1"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Finco, M.G., Mir, N., Gresham, G. and Huisingh-Scheetz, M. (2024) ‘Ethical considerations of digital health technology in older adult care’, The Lancet Healthy Longevity, 5(1), pp. e12–e13.</w:t>
      </w:r>
    </w:p>
    <w:p w14:paraId="3FF1CAA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Gallistl, V., Rohner, R., Hengl, L. and Kolland, F. (2021). Doing digital exclusion – technology practices of older internet non-users. Journal of Ageing Studies, 59, p.100973. Available at: https://doi.org/10.1016/j.jaging.2021.100973 (Accessed: 21 July 2026).</w:t>
      </w:r>
    </w:p>
    <w:p w14:paraId="39F82669" w14:textId="0622542A" w:rsidR="00CA5859" w:rsidRPr="00CA5859" w:rsidRDefault="00CA5859" w:rsidP="00CA5859">
      <w:pPr>
        <w:spacing w:after="120"/>
        <w:ind w:left="360" w:hanging="360"/>
        <w:jc w:val="both"/>
        <w:rPr>
          <w:rFonts w:ascii="Arial" w:hAnsi="Arial" w:cs="Arial"/>
        </w:rPr>
      </w:pPr>
      <w:r w:rsidRPr="00CA5859">
        <w:rPr>
          <w:rFonts w:ascii="Arial" w:hAnsi="Arial" w:cs="Arial"/>
        </w:rPr>
        <w:t xml:space="preserve">Garcia Reyes, E.P., Kelly, R., Buchanan, G. and Waycott, J. (2023). Understanding Older Adults’ Experiences </w:t>
      </w:r>
      <w:r w:rsidR="002C532A" w:rsidRPr="00CA5859">
        <w:rPr>
          <w:rFonts w:ascii="Arial" w:hAnsi="Arial" w:cs="Arial"/>
        </w:rPr>
        <w:t>with</w:t>
      </w:r>
      <w:r w:rsidRPr="00CA5859">
        <w:rPr>
          <w:rFonts w:ascii="Arial" w:hAnsi="Arial" w:cs="Arial"/>
        </w:rPr>
        <w:t xml:space="preserve"> Technologies for Health Self-management: Interview Study. JMIR Ageing, 6, p.e43197. Available at: https://doi.org/10.2196/43197 (Accessed: 12 August 2026).</w:t>
      </w:r>
    </w:p>
    <w:p w14:paraId="7FE665C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Gates, J.R. and Wilson-Menzfeld, G. (2022). What role does geragogy play in the delivery of digital skills programs for middle and older age adults? A systematic narrative review. Journal of applied gerontology: the official journal of the Southern Gerontological Society, 41(8), pp.1971–1980. Available at: https://doi.org/10.1177/07334648221091236 (Accessed: 29 August 2026).</w:t>
      </w:r>
    </w:p>
    <w:p w14:paraId="44DB891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Ge, H., Li, J., Hu, H., Feng, T. and Wu, X. (2025). Digital exclusion in older adults: A scoping review. International Journal of Nursing Studies, 168, p.105082. Available at: https://doi.org/10.1016/j.ijnurstu.2025.105082 (Accessed: 12 July 2026).</w:t>
      </w:r>
    </w:p>
    <w:p w14:paraId="3528074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Golbach RDJ, Bunt S, Jager-Wittenaar H, Finnema EJ, Hobbelen JSM. Exploring frailty perspectives of older people and professionals: a systematic integrative review. Ageing and Society. 2025;45(9):1892-1924. Available at: https://doi.org/10.1017/s0144686x2400028x (Accessed: 15 June 2026).</w:t>
      </w:r>
    </w:p>
    <w:p w14:paraId="5BAB5421"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Good Things Foundation (2023) Digital Inclusion for Health and Care. Sheffield: Good Things Foundation.</w:t>
      </w:r>
    </w:p>
    <w:p w14:paraId="56C75811"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Good Things Foundation (2024) Mitigating risks of digital exclusion in health systems. Available at: https://www.goodthingsfoundation.org/policy-and-research/research-and-evidence/research-2024/health-inequalities-digital-exclusion.html (Accessed: 11 March 2026).</w:t>
      </w:r>
    </w:p>
    <w:p w14:paraId="388A7B7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Good Things Foundation (2024). What we know about digital inclusion | Good Things Foundation. Goodthingsfoundation.org. Available at: https://www.goodthingsfoundation.org/policy-and-research/research-and-evidence/research-2024/digital-inclusion-datasets (Accessed: 28 July 2026).</w:t>
      </w:r>
    </w:p>
    <w:p w14:paraId="33AF3E4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Greaves, F., Papoutsi, C., Kc, S., Tewolde, S., Reidy, C., Gudgin, B., Laverty, A.A., Majeed, A., Costelloe, C. and Powell, J. (2026). Evaluating the national rollout of the NHS app in England using qualitative and quantitative methods. Health and social care delivery research, 14(15), pp.1–91. Available at: https://doi.org/10.3310/xyrv6485 (Accessed: 21 June 2026).</w:t>
      </w:r>
    </w:p>
    <w:p w14:paraId="64F5E10B"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Greenhalgh, T. et al. (2018) ‘Beyond adoption: A new framework for theorising and evaluating non-adoption, abandonment, and challenges to the scale-up of health technologies’, Journal of Medical Internet Research, 19(11), e367.</w:t>
      </w:r>
    </w:p>
    <w:p w14:paraId="47C7515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 xml:space="preserve">Greer, B., Robotham, D., Simblett, S., Curtis, H., Griffiths, H. and Wykes, T. (2019). Digital Exclusion Among Mental Health Service Users: Qualitative Investigation. Journal of </w:t>
      </w:r>
      <w:r w:rsidRPr="00CA5859">
        <w:rPr>
          <w:rFonts w:ascii="Arial" w:hAnsi="Arial" w:cs="Arial"/>
        </w:rPr>
        <w:lastRenderedPageBreak/>
        <w:t>Medical Internet Research, 21(1), p.e11696. Available at: https://doi.org/10.2196/11696 (Accessed: 22 June 2026).</w:t>
      </w:r>
    </w:p>
    <w:p w14:paraId="44894BFB"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Harvey, M., Hastings, D.P. and Chowdhury, G. (2021) ‘Understanding the costs and challenges of the digital divide through UK council services’, Journal of Information Science, 49(5).</w:t>
      </w:r>
    </w:p>
    <w:p w14:paraId="6234A4F0"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Helsper, E.J. (2012) ‘A corresponding fields model for the links between social and digital exclusion’, Communication Theory, 22(4), pp. 403–426. 01416.x Available at: https://doi.org/10.1111/j.1468-2885.2012 (Accessed: 12 June 2026).</w:t>
      </w:r>
    </w:p>
    <w:p w14:paraId="18A8735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Helsper, E.J. and Reisdorf, B.C. (2017) 'The emergence of a "digital underclass" in Great Britain and Sweden', New Media &amp; Society, 19(8), pp. 1253–1270.</w:t>
      </w:r>
    </w:p>
    <w:p w14:paraId="115D9684"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Helsper, Ellen J. and Reisdorf, Bianca C. (2016) ‘The emergence of a "digital underclass" in Great Britain and Sweden: changing reasons for digital exclusion '. New Media &amp; Society. ISSN 1461-4448. Available at: https://doi.org/10.1177/1461444816634676 (Accessed: 12 June 2026).</w:t>
      </w:r>
    </w:p>
    <w:p w14:paraId="4E640B7C" w14:textId="156DF27C" w:rsidR="00CA5859" w:rsidRPr="00CA5859" w:rsidRDefault="00CA5859" w:rsidP="00CA5859">
      <w:pPr>
        <w:spacing w:after="120"/>
        <w:ind w:left="360" w:hanging="360"/>
        <w:jc w:val="both"/>
        <w:rPr>
          <w:rFonts w:ascii="Arial" w:hAnsi="Arial" w:cs="Arial"/>
        </w:rPr>
      </w:pPr>
      <w:r w:rsidRPr="00CA5859">
        <w:rPr>
          <w:rFonts w:ascii="Arial" w:hAnsi="Arial" w:cs="Arial"/>
        </w:rPr>
        <w:t xml:space="preserve">Hepburn, J., Williams, L. and McCann, L. (2025) Barriers to and Facilitators of Digital Health Technology Adoption Among Older Adults </w:t>
      </w:r>
      <w:r w:rsidR="002C532A" w:rsidRPr="00CA5859">
        <w:rPr>
          <w:rFonts w:ascii="Arial" w:hAnsi="Arial" w:cs="Arial"/>
        </w:rPr>
        <w:t>with</w:t>
      </w:r>
      <w:r w:rsidRPr="00CA5859">
        <w:rPr>
          <w:rFonts w:ascii="Arial" w:hAnsi="Arial" w:cs="Arial"/>
        </w:rPr>
        <w:t xml:space="preserve"> Chronic Diseases: Updated Systematic Review. JMIR Ageing.</w:t>
      </w:r>
    </w:p>
    <w:p w14:paraId="6F198376" w14:textId="4FC5A16E" w:rsidR="00CA5859" w:rsidRPr="00CA5859" w:rsidRDefault="00CA5859" w:rsidP="00CA5859">
      <w:pPr>
        <w:spacing w:after="120"/>
        <w:ind w:left="360" w:hanging="360"/>
        <w:jc w:val="both"/>
        <w:rPr>
          <w:rFonts w:ascii="Arial" w:hAnsi="Arial" w:cs="Arial"/>
        </w:rPr>
      </w:pPr>
      <w:r w:rsidRPr="00CA5859">
        <w:rPr>
          <w:rFonts w:ascii="Arial" w:hAnsi="Arial" w:cs="Arial"/>
        </w:rPr>
        <w:t xml:space="preserve">Hepburn, J., Williams, L. and McCann, L. (2025). “Barriers and facilitators to Digital health technology adoption among older adults with chronic disease: An updated systematic review” (preprint). JMIR Aging, 8, </w:t>
      </w:r>
      <w:r w:rsidR="002C532A" w:rsidRPr="00CA5859">
        <w:rPr>
          <w:rFonts w:ascii="Arial" w:hAnsi="Arial" w:cs="Arial"/>
        </w:rPr>
        <w:t>pp. e</w:t>
      </w:r>
      <w:r w:rsidRPr="00CA5859">
        <w:rPr>
          <w:rFonts w:ascii="Arial" w:hAnsi="Arial" w:cs="Arial"/>
        </w:rPr>
        <w:t>80000-e80000. Available at: https://doi.org/10.2196/80000 (Accessed: 23 August 2026).</w:t>
      </w:r>
    </w:p>
    <w:p w14:paraId="40D549E4"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Hill, R., Betts, L.R. and Gardner, S.E. (2015). Older adults’ experiences and perceptions of digital technology: (Dis)empowerment, wellbeing, and inclusion. Computers in Human Behaviour, 48(48), pp.415–423. Available at: https://doi.org/10.1016/j.chb.2015.01.062 (Accessed: 12 June 2026).</w:t>
      </w:r>
    </w:p>
    <w:p w14:paraId="51808BC4" w14:textId="7712844F" w:rsidR="00CA5859" w:rsidRPr="00CA5859" w:rsidRDefault="00CA5859" w:rsidP="00CA5859">
      <w:pPr>
        <w:spacing w:after="120"/>
        <w:ind w:left="360" w:hanging="360"/>
        <w:jc w:val="both"/>
        <w:rPr>
          <w:rFonts w:ascii="Arial" w:hAnsi="Arial" w:cs="Arial"/>
        </w:rPr>
      </w:pPr>
      <w:r w:rsidRPr="00CA5859">
        <w:rPr>
          <w:rFonts w:ascii="Arial" w:hAnsi="Arial" w:cs="Arial"/>
        </w:rPr>
        <w:t xml:space="preserve">Hjorth, L., Sheahan, J., Figueiredo, B., Martin, D., Reid, M., Torgeir Aleti and Mark, B. (2024). Playing with persona: Highlighting older </w:t>
      </w:r>
      <w:r w:rsidR="002C532A" w:rsidRPr="00CA5859">
        <w:rPr>
          <w:rFonts w:ascii="Arial" w:hAnsi="Arial" w:cs="Arial"/>
        </w:rPr>
        <w:t>adults</w:t>
      </w:r>
      <w:r w:rsidRPr="00CA5859">
        <w:rPr>
          <w:rFonts w:ascii="Arial" w:hAnsi="Arial" w:cs="Arial"/>
        </w:rPr>
        <w:t xml:space="preserve"> lived experience with the digital media. Convergence. Available at: https://doi.org/10.1177/13548565241247415 (Accessed: 13 June 2026).</w:t>
      </w:r>
    </w:p>
    <w:p w14:paraId="4B7EB32C" w14:textId="7A9DB793" w:rsidR="00CA5859" w:rsidRPr="00CA5859" w:rsidRDefault="00CA5859" w:rsidP="00CA5859">
      <w:pPr>
        <w:spacing w:after="120"/>
        <w:ind w:left="360" w:hanging="360"/>
        <w:jc w:val="both"/>
        <w:rPr>
          <w:rFonts w:ascii="Arial" w:hAnsi="Arial" w:cs="Arial"/>
        </w:rPr>
      </w:pPr>
      <w:r w:rsidRPr="00CA5859">
        <w:rPr>
          <w:rFonts w:ascii="Arial" w:hAnsi="Arial" w:cs="Arial"/>
        </w:rPr>
        <w:t xml:space="preserve">Husain, L. and Greenhalgh, T. (2025). Examining Intersectionality and Barriers to the Uptake of Video Consultations Among Older Adults </w:t>
      </w:r>
      <w:r w:rsidR="002C532A" w:rsidRPr="00CA5859">
        <w:rPr>
          <w:rFonts w:ascii="Arial" w:hAnsi="Arial" w:cs="Arial"/>
        </w:rPr>
        <w:t>from</w:t>
      </w:r>
      <w:r w:rsidRPr="00CA5859">
        <w:rPr>
          <w:rFonts w:ascii="Arial" w:hAnsi="Arial" w:cs="Arial"/>
        </w:rPr>
        <w:t xml:space="preserve"> Disadvantaged Backgrounds </w:t>
      </w:r>
      <w:r w:rsidR="002C532A" w:rsidRPr="00CA5859">
        <w:rPr>
          <w:rFonts w:ascii="Arial" w:hAnsi="Arial" w:cs="Arial"/>
        </w:rPr>
        <w:t>with</w:t>
      </w:r>
      <w:r w:rsidRPr="00CA5859">
        <w:rPr>
          <w:rFonts w:ascii="Arial" w:hAnsi="Arial" w:cs="Arial"/>
        </w:rPr>
        <w:t xml:space="preserve"> Limited English Proficiency: Qualitative Narrative Interview Study. Journal of Medical Internet Research, 27, p.e65690. Available at: https://doi.org/10.2196/65690 (Accessed: 18 July 2026).</w:t>
      </w:r>
    </w:p>
    <w:p w14:paraId="56AC781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Husain, L., Choudhury, A., Newman, K. and colleagues (2022) 'Digital exclusion among older adults accessing healthcare services: A qualitative evidence synthesis', BMC Geriatrics, 22, Article 827.</w:t>
      </w:r>
    </w:p>
    <w:p w14:paraId="3187499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Husain, L., Finlay, T., Husain, A., Wherton, J., Hughes, G. and Greenhalgh, T. (2024). Developing user personas to capture intersecting dimensions of disadvantage in older patients who are marginalised: A qualitative study. British Journal of General Practice, 74(741), pp.250–257. Available at: https://doi.org/10.3399/bjgp.2023.0412 (Accessed: 19 August 2026).</w:t>
      </w:r>
    </w:p>
    <w:p w14:paraId="2E200EA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Husain, L., Greenhalgh, T., Hughes, G., Finlay, T. and Wherton, J. (2022). Desperately seeking intersectionality in Digital health disparity research: Narrative review to inform a richer theorisation of Multiple disadvantage. Journal of Medical Internet Research, 24(12), p.e42358. Available at: https://doi.org/10.2196/42358 (Accessed: 10 June 2026).</w:t>
      </w:r>
    </w:p>
    <w:p w14:paraId="1EDE4DB2" w14:textId="77777777" w:rsidR="00CA5859" w:rsidRPr="00CA5859" w:rsidRDefault="00CA5859" w:rsidP="00CA5859">
      <w:pPr>
        <w:spacing w:after="120"/>
        <w:ind w:left="360" w:hanging="360"/>
        <w:jc w:val="both"/>
        <w:rPr>
          <w:rFonts w:ascii="Arial" w:hAnsi="Arial" w:cs="Arial"/>
        </w:rPr>
      </w:pPr>
      <w:r w:rsidRPr="00CA5859">
        <w:rPr>
          <w:rFonts w:ascii="Arial" w:hAnsi="Arial" w:cs="Arial"/>
        </w:rPr>
        <w:lastRenderedPageBreak/>
        <w:t>Huyler, D. and McGill, C.M. (2019) ‘Research design: Qualitative, quantitative, and mixed methods approaches’, New Horizons in Adult Education and Human Resource Development, 31(3), pp. 75–77.</w:t>
      </w:r>
    </w:p>
    <w:p w14:paraId="51576E45"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Jandoo, T. (2020). WHO guidance for digital health: what it means for researchers. DIGITAL HEALTH, 6, p.205520761989898. Available at: https://doi.org/10.1177/2055207619898984 (Accessed: 17 June 2026).</w:t>
      </w:r>
    </w:p>
    <w:p w14:paraId="222E2748"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Jezewski, E., Miller, A., Eusebio, M. and Potter, J. (2022) ‘Targeted telehealth education increases interest in using telehealth among a diverse group of low-income older adults’, International Journal of Environmental Research and Public Health, 19(20), p. 13349.</w:t>
      </w:r>
    </w:p>
    <w:p w14:paraId="5FA5C34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Jmir.org. (2026). Factors Influencing the Implementation of Digital Advance Care Planning: Qualitative Interview Study. Available at: https://www.jmir.org/2024/1/e50217/PDF (Accessed: 30 July 2026).</w:t>
      </w:r>
    </w:p>
    <w:p w14:paraId="7542727B"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Johnson, N., Bradley, A., Klawitter, L., Johnson, J., Johnson, L., Tomkinson, G.R., Hackney, K.J., Stastny, S., Ehlers, D.K. and McGrath, R. (2021) ‘The impact of a telehealth intervention on activity profiles in older adults during the COVID-19 pandemic: A pilot study’, Geriatrics, 6(3), p. 68.</w:t>
      </w:r>
    </w:p>
    <w:p w14:paraId="112ECF2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Johnston, M. (2017) ‘Secondary data analysis: A method for which the time has come’. Available at: https://www.researchgate.net/publication/294718657 (Accessed: 15 June 2026).</w:t>
      </w:r>
    </w:p>
    <w:p w14:paraId="4BCD9F0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Jose, J.P., Cherayi, S.J. and Sudhakar, S. (2021) ‘Age identity and social exclusion of older persons: A psychosocial perspective’, Ageing International.</w:t>
      </w:r>
    </w:p>
    <w:p w14:paraId="2A5A8831"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Kaihlanen, A.-M., Virtanen, L., Buchert, U., Safarov, N., Valkonen, P., Hietapakka, L., Hörhammer, I., Kujala, S., Kouvonen, A. and Heponiemi, T. (2022). Towards digital health equity - a qualitative study of the challenges experienced by vulnerable groups in using digital health services in the COVID-19 era. BMC Health Services Research, 22(1). Available at: https://doi.org/10.1186/s12913-022-07584-4 (Accessed: 12 July 2026).</w:t>
      </w:r>
    </w:p>
    <w:p w14:paraId="6E277F90"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Kaihlanen, A.M., Virtanen, L., Buchert, U. and colleagues (2022) 'Towards digital health equity: A qualitative study of digital health literacy among older adults', BMC Public Health, 22, Article 1323.</w:t>
      </w:r>
    </w:p>
    <w:p w14:paraId="7C55A741" w14:textId="68D46642" w:rsidR="00CA5859" w:rsidRPr="00CA5859" w:rsidRDefault="00CA5859" w:rsidP="00CA5859">
      <w:pPr>
        <w:spacing w:after="120"/>
        <w:ind w:left="360" w:hanging="360"/>
        <w:jc w:val="both"/>
        <w:rPr>
          <w:rFonts w:ascii="Arial" w:hAnsi="Arial" w:cs="Arial"/>
        </w:rPr>
      </w:pPr>
      <w:r w:rsidRPr="00CA5859">
        <w:rPr>
          <w:rFonts w:ascii="Arial" w:hAnsi="Arial" w:cs="Arial"/>
        </w:rPr>
        <w:t xml:space="preserve">Kebede, A.S., Ozolins, L.-L., Holst, H. and Galvin, K. (2022). Digital engagement of </w:t>
      </w:r>
      <w:r w:rsidR="002C532A" w:rsidRPr="00CA5859">
        <w:rPr>
          <w:rFonts w:ascii="Arial" w:hAnsi="Arial" w:cs="Arial"/>
        </w:rPr>
        <w:t>older</w:t>
      </w:r>
      <w:r w:rsidRPr="00CA5859">
        <w:rPr>
          <w:rFonts w:ascii="Arial" w:hAnsi="Arial" w:cs="Arial"/>
        </w:rPr>
        <w:t xml:space="preserve"> adults: Scoping review. Journal of Medical Internet Research, 24(12), p.e40192. Available at: https://doi.org/10.2196/40192 (Accessed: 15 July 2026).</w:t>
      </w:r>
    </w:p>
    <w:p w14:paraId="7CFE50D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Kebede, M.M., Zeeb, H., Peters, M., Heise, T.L. and Pischke, C.R. (2018). Effectiveness of Digital interventions for improving glycemic control in Persons with poorly controlled type 2 diabetes: A systematic review, meta-analysis, and meta-regression analysis. Diabetes Technology &amp; Therapeutics, 20(11), pp.767–782. Available at: https://doi.org/10.1089/dia.2018.0216 (Accessed: 21 June 2026).</w:t>
      </w:r>
    </w:p>
    <w:p w14:paraId="4370150F"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Khan, S., Webster, S., Puxty, J. and Robertson, M. (2025). Key challenges and barriers to digital literacy for older adults: A scoping review (preprint). JMIR Ageing. Available at: https://doi.org/10.2196/80647 (Accessed: 22 July 2026).</w:t>
      </w:r>
    </w:p>
    <w:p w14:paraId="3DE4A8E8"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King's Fund (2022) Digital Change in Health and Social Care. London: The King's Fund.</w:t>
      </w:r>
    </w:p>
    <w:p w14:paraId="08309890"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Kingston, A. et al. (2018) ‘Forecasting the care needs of the older population in England over the next 20 years’, The Lancet Public Health, 3(9), pp. e447–e455. Available at: https://doi.org/10.1016/s2468-2667(18\30118-x (Accessed: 18 June 2026).</w:t>
      </w:r>
    </w:p>
    <w:p w14:paraId="4B597C57" w14:textId="10147F0B" w:rsidR="00CA5859" w:rsidRPr="00CA5859" w:rsidRDefault="00CA5859" w:rsidP="00CA5859">
      <w:pPr>
        <w:spacing w:after="120"/>
        <w:ind w:left="360" w:hanging="360"/>
        <w:jc w:val="both"/>
        <w:rPr>
          <w:rFonts w:ascii="Arial" w:hAnsi="Arial" w:cs="Arial"/>
        </w:rPr>
      </w:pPr>
      <w:r w:rsidRPr="00CA5859">
        <w:rPr>
          <w:rFonts w:ascii="Arial" w:hAnsi="Arial" w:cs="Arial"/>
        </w:rPr>
        <w:lastRenderedPageBreak/>
        <w:t xml:space="preserve">Knotnerus, H.R., Ngo, H.T.N., Maarsingh, O.R. and Vincent (2024). Understanding Older Adults’ Experiences </w:t>
      </w:r>
      <w:r w:rsidR="002C532A" w:rsidRPr="00CA5859">
        <w:rPr>
          <w:rFonts w:ascii="Arial" w:hAnsi="Arial" w:cs="Arial"/>
        </w:rPr>
        <w:t>with</w:t>
      </w:r>
      <w:r w:rsidRPr="00CA5859">
        <w:rPr>
          <w:rFonts w:ascii="Arial" w:hAnsi="Arial" w:cs="Arial"/>
        </w:rPr>
        <w:t xml:space="preserve"> a Digital Health Platform in General Practice: Qualitative Interview Study. JMIR Aging, 7, </w:t>
      </w:r>
      <w:r w:rsidR="002C532A" w:rsidRPr="00CA5859">
        <w:rPr>
          <w:rFonts w:ascii="Arial" w:hAnsi="Arial" w:cs="Arial"/>
        </w:rPr>
        <w:t>pp. e</w:t>
      </w:r>
      <w:r w:rsidRPr="00CA5859">
        <w:rPr>
          <w:rFonts w:ascii="Arial" w:hAnsi="Arial" w:cs="Arial"/>
        </w:rPr>
        <w:t>59168-e59168. Available at: https://doi.org/10.2196/59168 (Accessed: 16 June 2026).</w:t>
      </w:r>
    </w:p>
    <w:p w14:paraId="43040001"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Ko, M., Azzopardi, M., Loizou, C., Logeswaran, A., Ng, B., Pacho, A. and Chong, Y.J. (2025) ‘Telehealth and people with disabilities in the United Kingdom: A scoping review’, Frontiers in Public Health, 13.</w:t>
      </w:r>
    </w:p>
    <w:p w14:paraId="0B80FD82"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Koizia, L.J., Xiao, S.-L., Harris, B.H.L. and Fertleman, M.B. (2026). Older adults’ perspectives on big data use in hip fracture research: a qualitative study. BMC Geriatrics, 26(1). Available at: https://doi.org/10.1186/s12877-026-07618-0 (Accessed: 25 July 2026).</w:t>
      </w:r>
    </w:p>
    <w:p w14:paraId="6E8A213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Kruse, C., Fohn, J., Wilson, N., Nunez-Patlan, E., Zipp, S. and Mileski, M. (2020) ‘Barriers to utilising and medical outcomes commensurate with the use of telehealth among older adults: A systematic review’, JMIR Medical Informatics, 8(8).</w:t>
      </w:r>
    </w:p>
    <w:p w14:paraId="442935A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Kunonga, T.P., Spiers, G., Beyer, F. and colleagues (2021) 'Effects of digital technologies on older adults' access to healthcare: A systematic review', Journal of Medical Internet Research, 23(11), e29828.</w:t>
      </w:r>
    </w:p>
    <w:p w14:paraId="7BFB956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Kunonga, T.P., Spiers, G.F., Beyer, F.R., Hanratty, B., Boulton, E., Hall, A., Bower, P., Todd, C. and Craig, D. (2021) ‘Effects of Digital Technologies on Older People’s Access to Health and Social Care: Umbrella Review’, Journal of Medical Internet Research, 23(11), p. e25887. Available at: https://doi.org/10.2196/25887 (Accessed: 15 June 2026).</w:t>
      </w:r>
    </w:p>
    <w:p w14:paraId="7D9EFBBC"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Leach, B., Parkinson, S., Gkousis, E., Abel, G., Atherton, H., Campbell, J., Clark, C., Cockcroft, E., Marriott, C., Pitchforth, E. and Sussex, J. (2022). Digital Facilitation to Support Patient Access to Web-Based Primary Care Services: Scoping Literature Review. Journal of Medical Internet Research, 24(7), p.e33911. Available at: https://doi.org/10.2196/33911 (Accessed: 12 July 2026).</w:t>
      </w:r>
    </w:p>
    <w:p w14:paraId="572C566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Leff, B., Ritchie, C.S., Rising, K.L., Cannon, K. and Wardlow, L. (2025) ‘Addressing barriers to equitable telehealth for older adults’, Frontiers in Medicine, 12.</w:t>
      </w:r>
    </w:p>
    <w:p w14:paraId="5AFB980A"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Lennon, M.R., Bouamrane, M.-M., Devlin, A.M., O’Connor, S., O’Donnell, C., Chetty, U., Agbakoba, R., Bikker, A., Grieve, E., Finch, T., Watson, N., Wyke, S. and Mair, F.S. (2017b). Readiness for delivering digital health at scale: lessons from a longitudinal qualitative evaluation of a national digital health innovation program in the United Kingdom. Journal of Medical Internet Research, 19(2). Available at: https://doi.org/10.2196/jmir.6900 (Accessed: 12 July 2026).</w:t>
      </w:r>
    </w:p>
    <w:p w14:paraId="0104A3AF"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Liu, B.C.-P. (2020). The impact of Intersectionality of Multiple identities on the digital health divide, quality of Life and loneliness amongst older adults in the UK. The British Journal of Social Work, 51(8), pp.3077–3097. Available at: (Accessed: 17 July 2026). Available at: https://doi.org/10.1093/bjsw/bcaa149 (Accessed: 14 June 2026).</w:t>
      </w:r>
    </w:p>
    <w:p w14:paraId="2A082134"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Lockwood, C., Munn, Z. and Porritt, K. (2015) ‘Qualitative research synthesis: Methodological guidance for systematic reviewers utilising meta</w:t>
      </w:r>
      <w:r w:rsidRPr="00CA5859">
        <w:rPr>
          <w:rFonts w:ascii="Cambria Math" w:hAnsi="Cambria Math" w:cs="Cambria Math"/>
        </w:rPr>
        <w:t>‐</w:t>
      </w:r>
      <w:r w:rsidRPr="00CA5859">
        <w:rPr>
          <w:rFonts w:ascii="Arial" w:hAnsi="Arial" w:cs="Arial"/>
        </w:rPr>
        <w:t>aggregation’, International Journal of Evidence-Based Healthcare, 13(3), pp. 179–187. Available at: https://doi.org/10.1097/xeb.0000000000000062 (Accessed: 4 August 2026).</w:t>
      </w:r>
    </w:p>
    <w:p w14:paraId="14EE9D50"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Long, H.A., French, D.P. and Brooks, J.M. (2020) ‘Optimising the value of the Critical Appraisal Skills Programme (CASP) tool for quality appraisal in qualitative evidence synthesis’, Research Methods in Medicine &amp; Health Sciences, 1(1), pp. 31–42. Available at: https://doi.org/10.1177/2632084320947559 (Accessed: 4 August 2026).</w:t>
      </w:r>
    </w:p>
    <w:p w14:paraId="2115C7B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lastRenderedPageBreak/>
        <w:t>MACLEOD, C.A., ROSS, A., SACKER, A., NETUVELI, G. and WINDLE, G. (2017) ‘Re-thinking social exclusion in later life: A case for a new framework for measurement’, Ageing and Society, 39(1), pp. 74–111.</w:t>
      </w:r>
    </w:p>
    <w:p w14:paraId="5B9C6C4C"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Marmot, M., Allen, J., Boyce, T., Goldblatt, P. and Morrison, J. (2020). Health Equity in England: The Marmot Review 10 Years On. Institute of Health Equity. Available at: https://www.instituteofhealthequity.org/resources-reports/marmot-review-10-years-on/the-marmot-review-10-years-on-full-report.pdf (Accessed: 19 July 2026).</w:t>
      </w:r>
    </w:p>
    <w:p w14:paraId="1AF37E82"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Marston, H.R., Genoe, R., Freeman, S., Kulczycki, C. and Musselwhite, C. (2019). Older adults’ perceptions of ICT: Main findings from the technology in Later life (TILL) study. Healthcare, 7(3), p.86. Available at: https://doi.org/10.3390/healthcare7030086 (Accessed: 19 June 2026).</w:t>
      </w:r>
    </w:p>
    <w:p w14:paraId="0A4909C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Marston, H.R., Musselwhite, C. and Hadley, R. (2020) 'COVID-19 versus social isolation: The impact of digital technologies on older adults', Journal of Ageing Studies, 54, 100866.</w:t>
      </w:r>
    </w:p>
    <w:p w14:paraId="2F082AB9"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McCosker, A., Critchley, C., Walshe, J., Tucker, J. and Suchowerska, R. (2021) ‘Accounting for diversity in older adults’ digital inclusion and literacy: The impact of a national intervention’, Ageing &amp; Society, 43(11), pp. 1–21.</w:t>
      </w:r>
    </w:p>
    <w:p w14:paraId="675BCD7A"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Mee, P., Gussy, M., Huntley, P., Kenny, A., Jarratt, T., Kenward, N., Ward, D. and Vaughan, A. (2024). Digital exclusion as a barrier to accessing healthcare: a summary composite indicator and online tool to explore and quantify local differences in levels of exclusion. Universal Access in the Information Society. Available at: https://doi.org/10.1007/s10209-024-01148-5 (Accessed: 21 June 2026).</w:t>
      </w:r>
    </w:p>
    <w:p w14:paraId="47E6AC18"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Mee, P., O'Connor, S., Smith, J. and colleagues (2024) 'Socioeconomic inequalities in digital inclusion among older adults in the United Kingdom', Age and Ageing, 53(4), afae056.</w:t>
      </w:r>
    </w:p>
    <w:p w14:paraId="7764E85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Methley, A.M., Campbell, S., Chew-Graham, C., McNally, R. and Cheraghi-Sohi, S. (2014) ‘PICO, PICOS and SPIDER: A comparison study of specificity and sensitivity in three search tools for qualitative systematic reviews’, BMC Health Services Research, 14, p. 579. Available at: https://doi.org/10.1186/s12913-014-0579-0 (Accessed: 4 August 2026).</w:t>
      </w:r>
    </w:p>
    <w:p w14:paraId="7532205A" w14:textId="3649BAD2" w:rsidR="00CA5859" w:rsidRPr="00CA5859" w:rsidRDefault="00CA5859" w:rsidP="00CA5859">
      <w:pPr>
        <w:spacing w:after="120"/>
        <w:ind w:left="360" w:hanging="360"/>
        <w:jc w:val="both"/>
        <w:rPr>
          <w:rFonts w:ascii="Arial" w:hAnsi="Arial" w:cs="Arial"/>
        </w:rPr>
      </w:pPr>
      <w:r w:rsidRPr="00CA5859">
        <w:rPr>
          <w:rFonts w:ascii="Arial" w:hAnsi="Arial" w:cs="Arial"/>
        </w:rPr>
        <w:t xml:space="preserve">Mistry, P. and Jabbal, J. (2023). Moving From Exclusion </w:t>
      </w:r>
      <w:r w:rsidR="002C532A" w:rsidRPr="00CA5859">
        <w:rPr>
          <w:rFonts w:ascii="Arial" w:hAnsi="Arial" w:cs="Arial"/>
        </w:rPr>
        <w:t>to</w:t>
      </w:r>
      <w:r w:rsidRPr="00CA5859">
        <w:rPr>
          <w:rFonts w:ascii="Arial" w:hAnsi="Arial" w:cs="Arial"/>
        </w:rPr>
        <w:t xml:space="preserve"> Inclusion </w:t>
      </w:r>
      <w:r w:rsidR="002C532A" w:rsidRPr="00CA5859">
        <w:rPr>
          <w:rFonts w:ascii="Arial" w:hAnsi="Arial" w:cs="Arial"/>
        </w:rPr>
        <w:t>in</w:t>
      </w:r>
      <w:r w:rsidRPr="00CA5859">
        <w:rPr>
          <w:rFonts w:ascii="Arial" w:hAnsi="Arial" w:cs="Arial"/>
        </w:rPr>
        <w:t xml:space="preserve"> Digital Health </w:t>
      </w:r>
      <w:r w:rsidR="002C532A" w:rsidRPr="00CA5859">
        <w:rPr>
          <w:rFonts w:ascii="Arial" w:hAnsi="Arial" w:cs="Arial"/>
        </w:rPr>
        <w:t>and</w:t>
      </w:r>
      <w:r w:rsidRPr="00CA5859">
        <w:rPr>
          <w:rFonts w:ascii="Arial" w:hAnsi="Arial" w:cs="Arial"/>
        </w:rPr>
        <w:t xml:space="preserve"> Care. The King’s Fund. Available at: https://www.kingsfund.org.uk/insight-and-analysis/long-reads/exclusion-inclusion-digital-health-care (Accessed: 23 June 2026).</w:t>
      </w:r>
    </w:p>
    <w:p w14:paraId="1F10194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Mohan, R., Saleem, F., Kiran Voderhobli and Akbar Sheikh-Akbari (2024). Ensuring Sustainable Digital Inclusion among the Elderly: A Comprehensive Analysis. Sustainability, 16(17), pp.7485–7485. Available at: https://doi.org/10.3390/su16177485 (Accessed: 23 August 2026).</w:t>
      </w:r>
    </w:p>
    <w:p w14:paraId="47A77B82"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Money, A., Hall, A., Harris, D., Eost-Telling, C., McDermott, J. and Todd, C. (2023). Barriers and facilitators to older people’s engagement with online services: a qualitative study of adults aged 75+ years (Preprint). JMIR Ageing, 7. Available at: https://doi.org/10.2196/46522 (Accessed: 26 June 2026).</w:t>
      </w:r>
    </w:p>
    <w:p w14:paraId="7F3A109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Moody, L., Wood, E., Needham, A., Booth, A., Jimenez-Aranda, A., &amp; Tindale, W. (2022). Identifying individual enablers and barriers to the use of digital technology for the self-management of long-term conditions by older adults. Journal of Medical Engineering &amp; Technology, 46(6), 448–461. Available at: https://doi.org/10.1080/03091902.2022.2089249 (Accessed: 22 July 2026).</w:t>
      </w:r>
    </w:p>
    <w:p w14:paraId="719ADC3F"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Mubarak, F. and Suomi, R. (2022) 'Elderly forgotten? Digital exclusion in later life: A systematic review, Information Development, 38(3), pp. 455–472.</w:t>
      </w:r>
    </w:p>
    <w:p w14:paraId="5D005F09" w14:textId="77777777" w:rsidR="00CA5859" w:rsidRPr="00CA5859" w:rsidRDefault="00CA5859" w:rsidP="00CA5859">
      <w:pPr>
        <w:spacing w:after="120"/>
        <w:ind w:left="360" w:hanging="360"/>
        <w:jc w:val="both"/>
        <w:rPr>
          <w:rFonts w:ascii="Arial" w:hAnsi="Arial" w:cs="Arial"/>
        </w:rPr>
      </w:pPr>
      <w:r w:rsidRPr="00CA5859">
        <w:rPr>
          <w:rFonts w:ascii="Arial" w:hAnsi="Arial" w:cs="Arial"/>
        </w:rPr>
        <w:lastRenderedPageBreak/>
        <w:t>Mubarak, F. and Suomi, R. (2022). Elderly forgotten? Digital exclusion in the information age and the rising grey digital divide. The journal of Health care organization, provision, and financing, 59(1). Available at: https://doi.org/10.1177/00469580221096272 (Accessed: 17 June 2026).</w:t>
      </w:r>
    </w:p>
    <w:p w14:paraId="724AC9B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NHS England (2023) Digital First Primary Care and NHS Digital Transformation. London: NHS England.</w:t>
      </w:r>
    </w:p>
    <w:p w14:paraId="3A2A3FF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NHS England (2023) Inclusive digital healthcare: A framework for NHS action on digital inclusion. Available at: https://www.england.nhs.uk/long-read/inclusive-digital-healthcare-a-framework-for-nhs-action-on-digital-inclusion/ (Accessed: 10 March 2026).</w:t>
      </w:r>
    </w:p>
    <w:p w14:paraId="01E4943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NHS England (2025) Tackling digital exclusion and health literacy: How libraries can help bridge the gap. Available at: https://www.england.nhs.uk/blog/tackling-digital-exclusion-and-health-literacy-how-libraries-can-help-bridge-the-gap/ (Accessed: 16 June 2026).</w:t>
      </w:r>
    </w:p>
    <w:p w14:paraId="3916BF4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NICE (2022) Introduction to health technology evaluation. Available at: https://www.nice.org.uk/process/pmg36/chapter/introduction-to-health-technology-evaluation (Accessed: 10 March 2026).</w:t>
      </w:r>
    </w:p>
    <w:p w14:paraId="38B4AA3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Noyes, J., Booth, A., Cargo, M., Flemming, K., Harden, A., Harris, J., Garside, R., Hannes, K., Pantoja, T. and Thomas, J. (2019) ‘Chapter 21: Qualitative evidence’, in Higgins, J.P.T., Thomas, J., Chandler, J., Cumpston, M., Li, T., Page, M.J. and Welch, V.A. (eds.) Cochrane Handbook for Systematic Reviews of Interventions. 2nd edn. Chichester: John Wiley &amp; Sons, pp. 525–545.</w:t>
      </w:r>
    </w:p>
    <w:p w14:paraId="05F3AD6C"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Ochieng, B., Hall, V., Ochieng, R., Amedzro, J. and Wong, R. (2026). ‘It felt like surveillance, not support’: understanding barriers to enrolling older adults in an energy-linked digital health study during pandemic recovery and the cost-of-living crisis. BMC Geriatrics, pp.10.1186/s12877–026–07665–7. Available at: https://doi.org/10.1186/s12877–026–07665–7 (Accessed: 18 March 2026).</w:t>
      </w:r>
    </w:p>
    <w:p w14:paraId="7050B1B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Ofcom (2023) Adults’ media use and attitudes report 2023. Available at: https://www.ofcom.org.uk (Accessed: 12 March 2026).</w:t>
      </w:r>
    </w:p>
    <w:p w14:paraId="62BFB7F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Office for National Statistics (2018) Living longer: How our population is changing and why it matters. Available at: https://www.ons.gov.uk (Accessed: 11 March 2026).</w:t>
      </w:r>
    </w:p>
    <w:p w14:paraId="7002496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Olphert, W. and Damodaran, L. (2013). Older people and digital disengagement: A fourth digital divide? Gerontology, 59(6), pp.564–570. Available at: https://doi.org/10.1159/000353630 (Accessed: 18 July 2026).</w:t>
      </w:r>
    </w:p>
    <w:p w14:paraId="22C64B0F"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O’Donnell, C.A., Macdonald, S., Browne, S., Albanese, A., Blane, D., Ibbotson, T., Laidlaw, L., Heaney, D. and Lowe, D.J. (2022). Widening or narrowing inequalities? The equity implications of digital tools to support COVID</w:t>
      </w:r>
      <w:r w:rsidRPr="00CA5859">
        <w:rPr>
          <w:rFonts w:ascii="Cambria Math" w:hAnsi="Cambria Math" w:cs="Cambria Math"/>
        </w:rPr>
        <w:t>‐</w:t>
      </w:r>
      <w:r w:rsidRPr="00CA5859">
        <w:rPr>
          <w:rFonts w:ascii="Arial" w:hAnsi="Arial" w:cs="Arial"/>
        </w:rPr>
        <w:t>19 contact tracing: A qualitative study. Health Expectations. Available at: https://doi.org/10.1111/hex.13593 (Accessed: 12 June 2026).</w:t>
      </w:r>
    </w:p>
    <w:p w14:paraId="2C3A4E19"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Page, M.J. et al. (2021) ‘The PRISMA 2020 statement: An updated guideline for reporting systematic reviews’, International Journal of Surgery, 88, p. 105906. Available at: https://doi.org/10.1016/j.ijsu.2021.105906 (Accessed: 10 May 2026).</w:t>
      </w:r>
    </w:p>
    <w:p w14:paraId="53D2F224"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w:t>
      </w:r>
      <w:r w:rsidRPr="00CA5859">
        <w:rPr>
          <w:rFonts w:ascii="Arial" w:hAnsi="Arial" w:cs="Arial"/>
        </w:rPr>
        <w:lastRenderedPageBreak/>
        <w:t>systematic reviews’, BMJ, 372, n71. Available at: https://doi.org/10.1136/bmj.n71 (Accessed: 4 August 2026).</w:t>
      </w:r>
    </w:p>
    <w:p w14:paraId="5EA03FD8"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Palmer, D.A. and Robjohns, H. (2026). Bridging the digital divide in mental health: A community-led intervention to address digital exclusion in the NHS digital era. Mental health and digital technologies, pp.1–18. Available at: https://doi.org/10.1108/mhdt-08-2025-0054 (Accessed: 18 March 2026).</w:t>
      </w:r>
    </w:p>
    <w:p w14:paraId="44BE2978"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Paskins, Z., Bullock, L., Manning, F., Bishop, S., Campbell, P., Cottrell, E., Partner, G.P., Jinks, C., Narayanasamy, M., Scott, I.C., Sahota, O. and Ryan, S. (2022) ‘Acceptability of, and preferences for, remote consulting during COVID-19 among older patients with two common long-term musculoskeletal conditions: Findings from three qualitative studies and recommendations for practice’, BMC Musculoskeletal Disorders, 23, 312. Available at: https://doi.org/10.1186/s12891-022-05273-1 (Accessed: 13 March 2026).</w:t>
      </w:r>
    </w:p>
    <w:p w14:paraId="4E49BEE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Paul, R., Wray, R.K., Stamp, E., Allen-Collinson, J. and Hurst, P. (2024). ‘At least you got to see people when you went out for a walk’: older adults’ lived, embodied experiences during COVID-19 times in the United Kingdom. Qualitative Research in Sport Exercise and Health, pp.1–14. Available at: https://doi.org/10.1080/2159676x.2024.2382430 (Accessed: 19 June 2026).</w:t>
      </w:r>
    </w:p>
    <w:p w14:paraId="7E2E7E3C"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Paulhus, L., Bernard, K., Bourque, C., Guilmette, S., Laquerre, M.-Ê., Laramée, L.-È. and Levasseur, M. (2025). An updated synthesis of environmental factors influencing mobility and social participation in older adults: results from a scoping review. BMC Public Health, 26(1). Available at: https://doi.org/10.1186/s12889-025-25849-5 (Accessed: 29 June 2026).</w:t>
      </w:r>
    </w:p>
    <w:p w14:paraId="58ADB27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Paveley, A.M., Hall, H.M., Partridge, J.S.L. and Dhesi, J.K. (2026). What is known about digital literacy, digital inclusion and attitudes to digital health tools among older adults undergoing surgery? A systematic review and narrative synthesis. Age and Ageing, 55(6). Available at: https://doi.org/10.1093/ageing/afag165 (Accessed: 27 June 2026).</w:t>
      </w:r>
    </w:p>
    <w:p w14:paraId="1AA4640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Poduval, S., Arnold, L., Carta, E., Nimmons, D., Stratton, I., Shaw, M., Bradbury, K. and Stevenson, F. (2025) ‘Do community-based digital health inclusion programmes contribute to tackling health inequalities in disadvantaged population groups? A qualitative study of experiences of a city-wide programme in the North of England’, BMC Public Health, 25, 275. Available at: https://doi.org/10.1186/s12889-025-21418-y (Accessed: 21 June 2026).</w:t>
      </w:r>
    </w:p>
    <w:p w14:paraId="2F9D8655"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Pywell, J., Vijaykumar, S., Dodd, A. and Coventry, L. (2020). Barriers to older adults’ uptake of mobile-based mental health interventions. DIGITAL HEALTH, 6(6), p.205520762090542. Available at: https://doi.org/10.1177/2055207620905422 (Accessed: 11 June 2026).</w:t>
      </w:r>
    </w:p>
    <w:p w14:paraId="49372A0B"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Reidy, C., Papoutsi, C., KC, S., Gudgin, B., Laverty, A.A., Greaves, F. and Powell, J. (2025). Qualitative evaluation of the implementation and national roll-out of the NHS App in England. BMC Medicine, 23(1). Available at: https://doi.org/10.1186/s12916-024-03842-w (Accessed: 28 June 2026).</w:t>
      </w:r>
    </w:p>
    <w:p w14:paraId="6454C68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Reneland-Forsman, L. (2018). ‘Borrowed access’ – the struggle of older persons for digital participation. International Journal of lifelong education, 37(3), pp.333–344. Available at: https://doi.org/10.1080/02601370.2018.1473516 (Accessed: 20 August 2026).</w:t>
      </w:r>
    </w:p>
    <w:p w14:paraId="23521845"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Resnik, D.B. (2018) The ethics of research with human subjects. Cham: Springer. Saunders, M., Lewis, P. and Thornhill, A. (2023) Research methods for business students. 9th edn. Harlow: Pearson.</w:t>
      </w:r>
    </w:p>
    <w:p w14:paraId="1F79CB0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 xml:space="preserve">Rich, E., Miah, A. and Lewis, S. (2019). Is digital health care more equitable? The framing of health inequalities within England’s digital health policy 2010–2017. Sociology of Health &amp; </w:t>
      </w:r>
      <w:r w:rsidRPr="00CA5859">
        <w:rPr>
          <w:rFonts w:ascii="Arial" w:hAnsi="Arial" w:cs="Arial"/>
        </w:rPr>
        <w:lastRenderedPageBreak/>
        <w:t>Illness, 41(S1), pp.31–49. Available at: https://doi.org/10.1111/1467-9566.12980 (Accessed: 29 July 2026).</w:t>
      </w:r>
    </w:p>
    <w:p w14:paraId="1E6DF18E" w14:textId="78403C32" w:rsidR="00CA5859" w:rsidRPr="00CA5859" w:rsidRDefault="00CA5859" w:rsidP="00CA5859">
      <w:pPr>
        <w:spacing w:after="120"/>
        <w:ind w:left="360" w:hanging="360"/>
        <w:jc w:val="both"/>
        <w:rPr>
          <w:rFonts w:ascii="Arial" w:hAnsi="Arial" w:cs="Arial"/>
        </w:rPr>
      </w:pPr>
      <w:r w:rsidRPr="00CA5859">
        <w:rPr>
          <w:rFonts w:ascii="Arial" w:hAnsi="Arial" w:cs="Arial"/>
        </w:rPr>
        <w:t xml:space="preserve">Rousaki, A., Zamani, E. D., Sbaffi, L., Hamblin, K. and Black, R. (2024). The digitalisation of social care in England and the implications for older unpaid carers: A constructionist thematic analysis (preprint). Journal of Medical Internet Research, 26, </w:t>
      </w:r>
      <w:r w:rsidR="002C532A" w:rsidRPr="00CA5859">
        <w:rPr>
          <w:rFonts w:ascii="Arial" w:hAnsi="Arial" w:cs="Arial"/>
        </w:rPr>
        <w:t>pp. e</w:t>
      </w:r>
      <w:r w:rsidRPr="00CA5859">
        <w:rPr>
          <w:rFonts w:ascii="Arial" w:hAnsi="Arial" w:cs="Arial"/>
        </w:rPr>
        <w:t>60056-e60056. Available at: https://doi.org/10.2196/60056 (Accessed: 21 June 2026).</w:t>
      </w:r>
    </w:p>
    <w:p w14:paraId="7AD8A8A7"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Saunders, M., Lewis, P. and Thornhill, A. (2023) Research Methods for Business Students. 9th edn. Harlow: Pearson.</w:t>
      </w:r>
    </w:p>
    <w:p w14:paraId="64CB073A"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Seifert, A., Cotten, S.R. and Xie, B. (2021) ‘A Double Burden of Exclusion? Digital and Social Exclusion of Older Adults in Times of COVID-19’, The Journals of Gerontology: Series B, 76(3). Available at: https://doi.org/10.1093/geronb/gbaa098 (Accessed: 16 June 2026).</w:t>
      </w:r>
    </w:p>
    <w:p w14:paraId="5BE11FF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Seifert, A., Hofer, M. and Rössel, J. (2018) ‘Older adults’ perceived sense of social exclusion from the digital world’, Educational Gerontology, 44(12), pp. 775–785.</w:t>
      </w:r>
    </w:p>
    <w:p w14:paraId="66938BFC"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Shi, Z., Du, X., Li, J., Hou, R., Sun, J. and Marohabutr, T. (2024). Factors influencing digital health literacy among older adults: a scoping review. Frontiers in Public Health, 12. Available at: https://doi.org/10.3389/fpubh.2024.1447747 (Accessed: 22 July 2026).</w:t>
      </w:r>
    </w:p>
    <w:p w14:paraId="456E332A"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Snyder, H. (2019) ‘Literature review as a research methodology’, Journal of Business Research, 104, pp. 333–339. Available at: https://doi.org/10.1016/j.jbusres.2019.07.039 (Accessed: 9 May 2026).</w:t>
      </w:r>
    </w:p>
    <w:p w14:paraId="2FADAC5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Stevens, G. (2024). Braun and Clarke: An Approach to Thematic Analysis. Academic Writing &amp; Research. Available at: https://academic-writing.uk/braun-clarke-thematic-analysis/ (Accessed: 12 July 2026).</w:t>
      </w:r>
    </w:p>
    <w:p w14:paraId="34B8AC5E" w14:textId="4468A1DB" w:rsidR="00CA5859" w:rsidRPr="00CA5859" w:rsidRDefault="00CA5859" w:rsidP="00CA5859">
      <w:pPr>
        <w:spacing w:after="120"/>
        <w:ind w:left="360" w:hanging="360"/>
        <w:jc w:val="both"/>
        <w:rPr>
          <w:rFonts w:ascii="Arial" w:hAnsi="Arial" w:cs="Arial"/>
        </w:rPr>
      </w:pPr>
      <w:r w:rsidRPr="00CA5859">
        <w:rPr>
          <w:rFonts w:ascii="Arial" w:hAnsi="Arial" w:cs="Arial"/>
        </w:rPr>
        <w:t xml:space="preserve">Szekeres, Z., Agustín-Sierra, N., Zaidell, L., Mileva, K.N. and De, R.F. (2024). Insights from older </w:t>
      </w:r>
      <w:proofErr w:type="gramStart"/>
      <w:r w:rsidR="006632DC">
        <w:rPr>
          <w:rFonts w:ascii="Arial" w:hAnsi="Arial" w:cs="Arial"/>
        </w:rPr>
        <w:t>adults'</w:t>
      </w:r>
      <w:proofErr w:type="gramEnd"/>
      <w:r w:rsidRPr="00CA5859">
        <w:rPr>
          <w:rFonts w:ascii="Arial" w:hAnsi="Arial" w:cs="Arial"/>
        </w:rPr>
        <w:t xml:space="preserve"> lived experience of physical activity and exercise during the COVID-19 lockdown in England. Frontiers in Sports and Active Living, 6. Available at: https://doi.org/10.3389/fspor.2024.1395471 (Accessed: 27 July 2026).</w:t>
      </w:r>
    </w:p>
    <w:p w14:paraId="2BB95F2D" w14:textId="0677EA15" w:rsidR="00CA5859" w:rsidRPr="00CA5859" w:rsidRDefault="00CA5859" w:rsidP="00CA5859">
      <w:pPr>
        <w:spacing w:after="120"/>
        <w:ind w:left="360" w:hanging="360"/>
        <w:jc w:val="both"/>
        <w:rPr>
          <w:rFonts w:ascii="Arial" w:hAnsi="Arial" w:cs="Arial"/>
        </w:rPr>
      </w:pPr>
      <w:r w:rsidRPr="00CA5859">
        <w:rPr>
          <w:rFonts w:ascii="Arial" w:hAnsi="Arial" w:cs="Arial"/>
        </w:rPr>
        <w:t xml:space="preserve">Thakrar, S., Cole, J., Parretti, H. and Steel, N. (2021). OP33 Digital exclusion during the COVID-19 pandemic in the English longitudinal study for ageing population. SSM Annual Scientific Meeting, </w:t>
      </w:r>
      <w:r w:rsidR="002C532A" w:rsidRPr="00CA5859">
        <w:rPr>
          <w:rFonts w:ascii="Arial" w:hAnsi="Arial" w:cs="Arial"/>
        </w:rPr>
        <w:t>pp. A</w:t>
      </w:r>
      <w:r w:rsidRPr="00CA5859">
        <w:rPr>
          <w:rFonts w:ascii="Arial" w:hAnsi="Arial" w:cs="Arial"/>
        </w:rPr>
        <w:t>15.2-A16. Available at: https://doi.org/10.1136/jech-2021-ssmabstracts.33 (Accessed: 16 June 2026).</w:t>
      </w:r>
    </w:p>
    <w:p w14:paraId="018510B3"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Thomas, J. and Harden, A. (2008) ‘Methods for the thematic synthesis of qualitative research in systematic reviews’, BMC Medical Research Methodology, 8, p. 45. Available at: https://doi.org/10.1186/1471-2288-8-45 (Accessed: 4 August 2026).</w:t>
      </w:r>
    </w:p>
    <w:p w14:paraId="68DE643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Tooman, T.R., Frost, H., Adams, R., Anand, A., Aujla, N., Bareham, B., Guthrie, B., Hanratty, B., Kaner, E., O’Donnell, A., Ogden, M.E., Pain, H.G., Shenkin, S.D. and Mercer, S.W. (2026). Excluded by design: A qualitative study of inequalities in health and social care innovation. International Journal for Equity in Health. Available at: https://doi.org/10.1186/s12939-025-02751-5 (Accessed: 18 June 2026).</w:t>
      </w:r>
    </w:p>
    <w:p w14:paraId="36B76CDF"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Turcotte, S., Bouchard, C., Rousseau, J., DeBroux Leduc, R., Bier, N., Kairy, D., Dang</w:t>
      </w:r>
      <w:r w:rsidRPr="00CA5859">
        <w:rPr>
          <w:rFonts w:ascii="Cambria Math" w:hAnsi="Cambria Math" w:cs="Cambria Math"/>
        </w:rPr>
        <w:t>‐</w:t>
      </w:r>
      <w:r w:rsidRPr="00CA5859">
        <w:rPr>
          <w:rFonts w:ascii="Arial" w:hAnsi="Arial" w:cs="Arial"/>
        </w:rPr>
        <w:t>Vu, T.T., Sarimanukoglu, K., Dubé, F., Racine, C.B., Rioux, C., Shea, C. and Filiatrault, J. (2023) ‘Factors influencing older adults’ participation in telehealth interventions for primary prevention and health promotion: A rapid review’, Australasian Journal on Ageing.</w:t>
      </w:r>
    </w:p>
    <w:p w14:paraId="35D8729E"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Victor, C., Scambler, S. and Bond, J. (2009) The social world of older people: Understanding loneliness and social isolation in later life. Maidenhead: Open University Press.</w:t>
      </w:r>
    </w:p>
    <w:p w14:paraId="4BB1D570" w14:textId="77777777" w:rsidR="00CA5859" w:rsidRPr="00CA5859" w:rsidRDefault="00CA5859" w:rsidP="00CA5859">
      <w:pPr>
        <w:spacing w:after="120"/>
        <w:ind w:left="360" w:hanging="360"/>
        <w:jc w:val="both"/>
        <w:rPr>
          <w:rFonts w:ascii="Arial" w:hAnsi="Arial" w:cs="Arial"/>
        </w:rPr>
      </w:pPr>
      <w:r w:rsidRPr="00CA5859">
        <w:rPr>
          <w:rFonts w:ascii="Arial" w:hAnsi="Arial" w:cs="Arial"/>
        </w:rPr>
        <w:lastRenderedPageBreak/>
        <w:t>Wale, A., Everitt, J., Ayres, T., Okolie, C., Morgan, H., Shaw, H., Rhiannon Tudor Edwards, Davies, J., Lewis, R., Cooper, A. and Edwards, A. (2024). A rapid review of the effectiveness of interventions for addressing digital exclusion in older adults. medRxiv (Cold Spring Harbour Laboratory). Available at: https://doi.org/10.1101/2024.03.21.24304670 (Accessed: 23 July 2026).</w:t>
      </w:r>
    </w:p>
    <w:p w14:paraId="005612D1"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Wale, A., Everitt, J., Ayres, T., Okolie, C., Morgan, H.E., Shaw, H., Cooper, A., Edwards, A. and Lewis, R. (2025). Effectiveness of Interventions for Addressing Digital Exclusion in Older Adults in the Social Care Domain: Rapid Review. JMIR Ageing, 8, p.e70377. Available at: https://doi.org/10.2196/70377 (Accessed: 22 June 2026).</w:t>
      </w:r>
    </w:p>
    <w:p w14:paraId="011C8956"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Wale, N., Brown, A., Patel, R. and colleagues (2025) 'Interventions to improve digital inclusion among older adults: A systematic review', Journal of Medical Internet Research, 27, e56789.</w:t>
      </w:r>
    </w:p>
    <w:p w14:paraId="3ECD5E91"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Walsh, K., O’Shea, E. and Scharf, T. (2019) ‘Rural old-age social exclusion: A conceptual framework on mediators of exclusion across the lifecourse’, Ageing and Society, 40(11), pp. 1–27.</w:t>
      </w:r>
    </w:p>
    <w:p w14:paraId="67B1BCF9"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Wang, F. and Hinojosa, V. (2026) ‘Barriers to mental health service use among older adults: A multistakeholder qualitative study in Southampton’, Health &amp; Social Care in the Community, 2026(1), 5577869. Available at: https://doi.org/10.1155/hsc/5577869 (Accessed: 21 June 2026).</w:t>
      </w:r>
    </w:p>
    <w:p w14:paraId="28AB88E1"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Wanless, B., Hassan, N., McClellan, C., Sothinathan, C., Agustín, D., Herweijer, T., Thorpe, J., Noblet, T. and Berry, A. (2024). How Do We Better Serve Excluded Populations When Delivering Digital Health Technology? Inclusion Evaluation of a Digital Musculoskeletal Self</w:t>
      </w:r>
      <w:r w:rsidRPr="00CA5859">
        <w:rPr>
          <w:rFonts w:ascii="Cambria Math" w:hAnsi="Cambria Math" w:cs="Cambria Math"/>
        </w:rPr>
        <w:t>‐</w:t>
      </w:r>
      <w:r w:rsidRPr="00CA5859">
        <w:rPr>
          <w:rFonts w:ascii="Arial" w:hAnsi="Arial" w:cs="Arial"/>
        </w:rPr>
        <w:t>Management Solution. Musculoskeletal Care, 22(3). Available at: https://doi.org/10.1002/msc.1925 (Accessed: 12 July 2026).</w:t>
      </w:r>
    </w:p>
    <w:p w14:paraId="57AEF335"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Watts, G. (2020) ‘COVID-19 and the digital divide in the UK’, The Lancet Digital Health, 2(8), pp. e395–e396. Available at: https://doi.org/10.1016/s2589-7500(20\30169-2 (Accessed: 17 April 2026).</w:t>
      </w:r>
    </w:p>
    <w:p w14:paraId="6DB51F6D"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Web Team (2024) Digitalisation of health and social care services for older adults. Available at: https://www.hapru.nihr.ac.uk/2024/06/30/digitalisation-of-health-and-social-care-services-for-older-adults/ (Accessed: 16 June 2026).</w:t>
      </w:r>
    </w:p>
    <w:p w14:paraId="58839D5F" w14:textId="64953372" w:rsidR="00CA5859" w:rsidRPr="00CA5859" w:rsidRDefault="00CA5859" w:rsidP="00CA5859">
      <w:pPr>
        <w:spacing w:after="120"/>
        <w:ind w:left="360" w:hanging="360"/>
        <w:jc w:val="both"/>
        <w:rPr>
          <w:rFonts w:ascii="Arial" w:hAnsi="Arial" w:cs="Arial"/>
        </w:rPr>
      </w:pPr>
      <w:r w:rsidRPr="00CA5859">
        <w:rPr>
          <w:rFonts w:ascii="Arial" w:hAnsi="Arial" w:cs="Arial"/>
        </w:rPr>
        <w:t xml:space="preserve">Wilding, E., Bartl, S., Littlemore, J., Clark, M. and Brooke, J. (2023). A metaphor analysis of older </w:t>
      </w:r>
      <w:proofErr w:type="gramStart"/>
      <w:r w:rsidR="006632DC">
        <w:rPr>
          <w:rFonts w:ascii="Arial" w:hAnsi="Arial" w:cs="Arial"/>
        </w:rPr>
        <w:t>adults'</w:t>
      </w:r>
      <w:proofErr w:type="gramEnd"/>
      <w:r w:rsidRPr="00CA5859">
        <w:rPr>
          <w:rFonts w:ascii="Arial" w:hAnsi="Arial" w:cs="Arial"/>
        </w:rPr>
        <w:t xml:space="preserve"> lived experience of household isolation during COVID-19. Frontiers in Communication, 7. Available at: https://doi.org/10.3389/fcomm.2022.1015562 (Accessed: 21 June 2026).</w:t>
      </w:r>
    </w:p>
    <w:p w14:paraId="4C391A41"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WILLIAMS, R.L.J.C., 2025. Exploring Subjective Cognitive Decline and Ageism: At-Risk Older Adults’ Lived Experience, Antioch University.</w:t>
      </w:r>
    </w:p>
    <w:p w14:paraId="45B11A29"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Wilson, C. and Brittain, K. (2022) 'Digital exclusion and health inequalities among older adults: A systematic review', Ageing &amp; Society, 42(12), pp. 1–27.</w:t>
      </w:r>
    </w:p>
    <w:p w14:paraId="36457BF9"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Wilson, G. and Brittain, K. (2022). Digital Exclusion in Later Life: A Narrative Review. Springer eBooks, pp.169–188. Available at: https://doi.org/10.1007/978-3-030-94122-2_9 (Accessed: 12 March 2026).</w:t>
      </w:r>
    </w:p>
    <w:p w14:paraId="22B1DA92" w14:textId="72AC7E13" w:rsidR="00CA5859" w:rsidRPr="00CA5859" w:rsidRDefault="00CA5859" w:rsidP="00CA5859">
      <w:pPr>
        <w:spacing w:after="120"/>
        <w:ind w:left="360" w:hanging="360"/>
        <w:jc w:val="both"/>
        <w:rPr>
          <w:rFonts w:ascii="Arial" w:hAnsi="Arial" w:cs="Arial"/>
        </w:rPr>
      </w:pPr>
      <w:r w:rsidRPr="00CA5859">
        <w:rPr>
          <w:rFonts w:ascii="Arial" w:hAnsi="Arial" w:cs="Arial"/>
        </w:rPr>
        <w:t xml:space="preserve">Wilson, S., Tolley, C., Mc Ardle, R., Hassan, N., Slight, R. and Slight, S. (2026). Under-served groups’ perspectives on mitigating digital exclusion within healthcare in the </w:t>
      </w:r>
      <w:r w:rsidR="002C532A" w:rsidRPr="00CA5859">
        <w:rPr>
          <w:rFonts w:ascii="Arial" w:hAnsi="Arial" w:cs="Arial"/>
        </w:rPr>
        <w:t>Northeast</w:t>
      </w:r>
      <w:r w:rsidRPr="00CA5859">
        <w:rPr>
          <w:rFonts w:ascii="Arial" w:hAnsi="Arial" w:cs="Arial"/>
        </w:rPr>
        <w:t xml:space="preserve"> of England. npj Digital Public Health, 1(1). Available at: https://doi.org/10.1038/s44482-026-00022-w (Accessed: 16 March 2026).</w:t>
      </w:r>
    </w:p>
    <w:p w14:paraId="1C1AE816" w14:textId="3E15C8A7" w:rsidR="00CA5859" w:rsidRPr="00CA5859" w:rsidRDefault="00CA5859" w:rsidP="00CA5859">
      <w:pPr>
        <w:spacing w:after="120"/>
        <w:ind w:left="360" w:hanging="360"/>
        <w:jc w:val="both"/>
        <w:rPr>
          <w:rFonts w:ascii="Arial" w:hAnsi="Arial" w:cs="Arial"/>
        </w:rPr>
      </w:pPr>
      <w:r w:rsidRPr="00CA5859">
        <w:rPr>
          <w:rFonts w:ascii="Arial" w:hAnsi="Arial" w:cs="Arial"/>
        </w:rPr>
        <w:lastRenderedPageBreak/>
        <w:t xml:space="preserve">Wilson, S., Tolley, C., McArdle, R., Slight, R. and Slight, S. (2024). Who is most at risk of digital exclusion within healthcare? International Journal of Pharmacy Practice, 32(Supplement_1), </w:t>
      </w:r>
      <w:r w:rsidR="002C532A" w:rsidRPr="00CA5859">
        <w:rPr>
          <w:rFonts w:ascii="Arial" w:hAnsi="Arial" w:cs="Arial"/>
        </w:rPr>
        <w:t>pp. i</w:t>
      </w:r>
      <w:r w:rsidRPr="00CA5859">
        <w:rPr>
          <w:rFonts w:ascii="Arial" w:hAnsi="Arial" w:cs="Arial"/>
        </w:rPr>
        <w:t>3-i4. Available at: https://doi.org/10.1093/ijpp/riae013.004 (Accessed: 19 June 2026).</w:t>
      </w:r>
    </w:p>
    <w:p w14:paraId="4F464DB0"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World Health Organisation (2021) Global strategy on digital health 2020–2025. Available at: https://www.who.int/publications/i/item/9789240020924 (Accessed: 12 March 2026).</w:t>
      </w:r>
    </w:p>
    <w:p w14:paraId="571F2D88"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Xue, Z., Zhou, N., Wu, Y. and Qi, H. (2026). Digital exclusion in healthcare services: A scoping review. International Journal for Equity in Health. Available at: https://doi.org/10.1186/s12939-025-02755-1 (Accessed: 13 August 2026).</w:t>
      </w:r>
    </w:p>
    <w:p w14:paraId="62229704" w14:textId="77777777" w:rsidR="00CA5859" w:rsidRPr="00CA5859" w:rsidRDefault="00CA5859" w:rsidP="00CA5859">
      <w:pPr>
        <w:spacing w:after="120"/>
        <w:ind w:left="360" w:hanging="360"/>
        <w:jc w:val="both"/>
        <w:rPr>
          <w:rFonts w:ascii="Arial" w:hAnsi="Arial" w:cs="Arial"/>
        </w:rPr>
      </w:pPr>
      <w:r w:rsidRPr="00CA5859">
        <w:rPr>
          <w:rFonts w:ascii="Arial" w:hAnsi="Arial" w:cs="Arial"/>
        </w:rPr>
        <w:t>Yin, R., Martinengo, L., Smith, H.E., Subramaniam, M., Konstadina Griva and Car, L.T. (2024). The views and experiences of older adults regarding digital mental health interventions: a systematic review of qualitative studies. The Lancet Healthy Longevity, 5(11), pp.100638–100638. Available at: https://doi.org/10.1016/j.lanhl.2024.08.007 (Accessed:  21 June 2026).</w:t>
      </w:r>
    </w:p>
    <w:p w14:paraId="3711E63E" w14:textId="640861C6" w:rsidR="009F64C5" w:rsidRPr="007F1C8A" w:rsidRDefault="009F64C5">
      <w:pPr>
        <w:spacing w:after="0"/>
        <w:rPr>
          <w:rFonts w:asciiTheme="minorBidi" w:hAnsiTheme="minorBidi"/>
        </w:rPr>
      </w:pPr>
      <w:r w:rsidRPr="007F1C8A">
        <w:rPr>
          <w:rFonts w:asciiTheme="minorBidi" w:hAnsiTheme="minorBidi"/>
        </w:rPr>
        <w:br w:type="page"/>
      </w:r>
    </w:p>
    <w:p w14:paraId="071C17ED" w14:textId="77777777" w:rsidR="00FE5460" w:rsidRDefault="009F64C5">
      <w:pPr>
        <w:pStyle w:val="Heading1"/>
        <w:ind w:left="12" w:right="0"/>
        <w:rPr>
          <w:rFonts w:asciiTheme="minorBidi" w:hAnsiTheme="minorBidi" w:cstheme="minorBidi"/>
        </w:rPr>
      </w:pPr>
      <w:bookmarkStart w:id="145" w:name="_Toc12223"/>
      <w:bookmarkStart w:id="146" w:name="_Toc240143336"/>
      <w:r w:rsidRPr="007F1C8A">
        <w:rPr>
          <w:rFonts w:asciiTheme="minorBidi" w:hAnsiTheme="minorBidi" w:cstheme="minorBidi"/>
        </w:rPr>
        <w:lastRenderedPageBreak/>
        <w:t xml:space="preserve">Appendix 1: </w:t>
      </w:r>
      <w:r w:rsidR="00FE5460" w:rsidRPr="00FE5460">
        <w:rPr>
          <w:rFonts w:asciiTheme="minorBidi" w:hAnsiTheme="minorBidi" w:cstheme="minorBidi"/>
        </w:rPr>
        <w:t>PICO Framework and Search Strategy</w:t>
      </w:r>
      <w:bookmarkEnd w:id="146"/>
    </w:p>
    <w:p w14:paraId="1E5B68C4" w14:textId="77777777" w:rsidR="00FE5460" w:rsidRDefault="00FE5460">
      <w:pPr>
        <w:pStyle w:val="Heading1"/>
        <w:ind w:left="12" w:right="0"/>
        <w:rPr>
          <w:rFonts w:asciiTheme="minorBidi" w:hAnsiTheme="minorBidi" w:cstheme="minorBidi"/>
        </w:rPr>
      </w:pPr>
    </w:p>
    <w:p w14:paraId="44BAA972" w14:textId="3B4D1AF3" w:rsidR="009F64C5" w:rsidRPr="00FE5460" w:rsidRDefault="00FE5460" w:rsidP="00FE5460">
      <w:pPr>
        <w:spacing w:line="360" w:lineRule="auto"/>
        <w:jc w:val="both"/>
        <w:rPr>
          <w:rFonts w:ascii="Arial" w:hAnsi="Arial" w:cs="Arial"/>
        </w:rPr>
      </w:pPr>
      <w:r w:rsidRPr="00FE5460">
        <w:rPr>
          <w:rFonts w:ascii="Arial" w:hAnsi="Arial" w:cs="Arial"/>
        </w:rPr>
        <w:t>This appendix presents the PICO framework and search strategy used to identify relevant studies for the systematic review. It outlines the key search terms, Boolean operators, databases searched and limits applied.</w:t>
      </w:r>
      <w:r w:rsidR="009F64C5" w:rsidRPr="00FE5460">
        <w:rPr>
          <w:rFonts w:ascii="Arial" w:hAnsi="Arial" w:cs="Arial"/>
        </w:rPr>
        <w:t xml:space="preserve"> </w:t>
      </w:r>
      <w:bookmarkEnd w:id="145"/>
    </w:p>
    <w:p w14:paraId="48035AD9" w14:textId="77777777" w:rsidR="009F64C5" w:rsidRPr="007F1C8A" w:rsidRDefault="009F64C5">
      <w:pPr>
        <w:spacing w:after="158"/>
        <w:rPr>
          <w:rFonts w:asciiTheme="minorBidi" w:hAnsiTheme="minorBidi"/>
        </w:rPr>
      </w:pPr>
      <w:r w:rsidRPr="007F1C8A">
        <w:rPr>
          <w:rFonts w:asciiTheme="minorBidi" w:hAnsiTheme="minorBidi"/>
        </w:rPr>
        <w:t xml:space="preserve"> </w:t>
      </w:r>
    </w:p>
    <w:tbl>
      <w:tblPr>
        <w:tblW w:w="9016" w:type="dxa"/>
        <w:tblCellMar>
          <w:left w:w="10" w:type="dxa"/>
          <w:right w:w="10" w:type="dxa"/>
        </w:tblCellMar>
        <w:tblLook w:val="04A0" w:firstRow="1" w:lastRow="0" w:firstColumn="1" w:lastColumn="0" w:noHBand="0" w:noVBand="1"/>
      </w:tblPr>
      <w:tblGrid>
        <w:gridCol w:w="4508"/>
        <w:gridCol w:w="4508"/>
      </w:tblGrid>
      <w:tr w:rsidR="002C532A" w14:paraId="612F5F97" w14:textId="77777777" w:rsidTr="00CD4F87">
        <w:trPr>
          <w:trHeight w:val="521"/>
        </w:trPr>
        <w:tc>
          <w:tcPr>
            <w:tcW w:w="450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1350E7C0" w14:textId="77777777" w:rsidR="002C532A" w:rsidRDefault="002C532A" w:rsidP="00CD4F87">
            <w:pPr>
              <w:spacing w:after="0" w:line="240" w:lineRule="auto"/>
            </w:pPr>
            <w:r>
              <w:rPr>
                <w:rFonts w:ascii="Arial" w:eastAsia="Times New Roman" w:hAnsi="Arial" w:cs="Arial"/>
                <w:b/>
                <w:bCs/>
                <w:kern w:val="0"/>
                <w:sz w:val="28"/>
                <w:szCs w:val="28"/>
                <w:lang w:eastAsia="en-GB"/>
              </w:rPr>
              <w:t>PICO Element</w:t>
            </w:r>
          </w:p>
        </w:tc>
        <w:tc>
          <w:tcPr>
            <w:tcW w:w="450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21D771A4" w14:textId="77777777" w:rsidR="002C532A" w:rsidRDefault="002C532A" w:rsidP="00CD4F87">
            <w:pPr>
              <w:spacing w:after="0" w:line="240" w:lineRule="auto"/>
            </w:pPr>
            <w:r>
              <w:rPr>
                <w:rFonts w:ascii="Arial" w:eastAsia="Times New Roman" w:hAnsi="Arial" w:cs="Arial"/>
                <w:b/>
                <w:bCs/>
                <w:kern w:val="0"/>
                <w:sz w:val="28"/>
                <w:szCs w:val="28"/>
                <w:lang w:eastAsia="en-GB"/>
              </w:rPr>
              <w:t>Search Terms Used</w:t>
            </w:r>
          </w:p>
        </w:tc>
      </w:tr>
      <w:tr w:rsidR="002C532A" w14:paraId="584DFED3"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731AD7" w14:textId="77777777" w:rsidR="002C532A" w:rsidRDefault="002C532A" w:rsidP="00CD4F87">
            <w:pPr>
              <w:spacing w:after="0" w:line="360" w:lineRule="auto"/>
            </w:pPr>
            <w:r>
              <w:rPr>
                <w:rFonts w:ascii="Arial" w:eastAsia="Times New Roman" w:hAnsi="Arial" w:cs="Arial"/>
                <w:b/>
                <w:bCs/>
                <w:kern w:val="0"/>
                <w:lang w:eastAsia="en-GB"/>
              </w:rPr>
              <w:t>Population (P)</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D99507" w14:textId="77777777" w:rsidR="002C532A" w:rsidRDefault="002C532A"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"Older adults" OR "Older people" OR Elderly OR Ageing OR "65 years and over"</w:t>
            </w:r>
          </w:p>
          <w:p w14:paraId="21370F2D" w14:textId="77777777" w:rsidR="002C532A" w:rsidRDefault="002C532A" w:rsidP="00CD4F87">
            <w:pPr>
              <w:spacing w:after="0" w:line="360" w:lineRule="auto"/>
              <w:rPr>
                <w:rFonts w:ascii="Arial" w:hAnsi="Arial" w:cs="Arial"/>
              </w:rPr>
            </w:pPr>
            <w:r>
              <w:rPr>
                <w:rFonts w:ascii="Arial" w:hAnsi="Arial" w:cs="Arial"/>
              </w:rPr>
              <w:t>OR “Senior”</w:t>
            </w:r>
          </w:p>
        </w:tc>
      </w:tr>
      <w:tr w:rsidR="002C532A" w14:paraId="60D14214"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35B773" w14:textId="77777777" w:rsidR="002C532A" w:rsidRDefault="002C532A" w:rsidP="00CD4F87">
            <w:pPr>
              <w:spacing w:after="0" w:line="360" w:lineRule="auto"/>
            </w:pPr>
            <w:r>
              <w:rPr>
                <w:rFonts w:ascii="Arial" w:eastAsia="Times New Roman" w:hAnsi="Arial" w:cs="Arial"/>
                <w:b/>
                <w:bCs/>
                <w:kern w:val="0"/>
                <w:lang w:eastAsia="en-GB"/>
              </w:rPr>
              <w:t>Issue (I)</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CB8599" w14:textId="77777777" w:rsidR="002C532A" w:rsidRDefault="002C532A" w:rsidP="00CD4F87">
            <w:pPr>
              <w:spacing w:after="0" w:line="360" w:lineRule="auto"/>
            </w:pPr>
            <w:r>
              <w:rPr>
                <w:rFonts w:ascii="Arial" w:eastAsia="Times New Roman" w:hAnsi="Arial" w:cs="Arial"/>
                <w:kern w:val="0"/>
                <w:lang w:eastAsia="en-GB"/>
              </w:rPr>
              <w:t>"Digital exclusion" OR "Digital divide" OR "Digital literacy" OR "Digital access" OR "Digital health"</w:t>
            </w:r>
          </w:p>
        </w:tc>
      </w:tr>
      <w:tr w:rsidR="002C532A" w14:paraId="5E5FB056"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0F113" w14:textId="77777777" w:rsidR="002C532A" w:rsidRDefault="002C532A" w:rsidP="00CD4F87">
            <w:pPr>
              <w:spacing w:after="0" w:line="360" w:lineRule="auto"/>
            </w:pPr>
            <w:r>
              <w:rPr>
                <w:rFonts w:ascii="Arial" w:eastAsia="Times New Roman" w:hAnsi="Arial" w:cs="Arial"/>
                <w:b/>
                <w:bCs/>
                <w:kern w:val="0"/>
                <w:lang w:eastAsia="en-GB"/>
              </w:rPr>
              <w:t>Comparison (C)</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8D50C1" w14:textId="77777777" w:rsidR="002C532A" w:rsidRDefault="002C532A" w:rsidP="00CD4F87">
            <w:pPr>
              <w:spacing w:after="0" w:line="360" w:lineRule="auto"/>
            </w:pPr>
            <w:r>
              <w:rPr>
                <w:rFonts w:ascii="Arial" w:eastAsia="Times New Roman" w:hAnsi="Arial" w:cs="Arial"/>
                <w:kern w:val="0"/>
                <w:lang w:eastAsia="en-GB"/>
              </w:rPr>
              <w:t>Not applicable</w:t>
            </w:r>
          </w:p>
        </w:tc>
      </w:tr>
      <w:tr w:rsidR="002C532A" w14:paraId="5DA9C393"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CC43D" w14:textId="77777777" w:rsidR="002C532A" w:rsidRDefault="002C532A" w:rsidP="00CD4F87">
            <w:pPr>
              <w:spacing w:after="0" w:line="360" w:lineRule="auto"/>
            </w:pPr>
            <w:r>
              <w:rPr>
                <w:rFonts w:ascii="Arial" w:eastAsia="Times New Roman" w:hAnsi="Arial" w:cs="Arial"/>
                <w:b/>
                <w:bCs/>
                <w:kern w:val="0"/>
                <w:lang w:eastAsia="en-GB"/>
              </w:rPr>
              <w:t>Outcome (O)</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010857" w14:textId="77777777" w:rsidR="002C532A" w:rsidRDefault="002C532A" w:rsidP="00CD4F87">
            <w:pPr>
              <w:spacing w:after="0" w:line="360" w:lineRule="auto"/>
            </w:pPr>
            <w:r>
              <w:rPr>
                <w:rFonts w:ascii="Arial" w:eastAsia="Times New Roman" w:hAnsi="Arial" w:cs="Arial"/>
                <w:kern w:val="0"/>
                <w:lang w:eastAsia="en-GB"/>
              </w:rPr>
              <w:t>Healthcare OR "Health services" OR "Social care" OR NHS OR "Public services" OR Experience* OR Barrier* OR Facilitator*</w:t>
            </w:r>
          </w:p>
        </w:tc>
      </w:tr>
      <w:tr w:rsidR="002C532A" w14:paraId="7E185F88"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C0D3AA" w14:textId="77777777" w:rsidR="002C532A" w:rsidRDefault="002C532A"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Boolean operators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504DE" w14:textId="77777777" w:rsidR="002C532A" w:rsidRDefault="002C532A" w:rsidP="00CD4F87">
            <w:pPr>
              <w:spacing w:after="0" w:line="360" w:lineRule="auto"/>
            </w:pPr>
            <w:r>
              <w:rPr>
                <w:rFonts w:ascii="Arial" w:eastAsia="Times New Roman" w:hAnsi="Arial" w:cs="Arial"/>
                <w:kern w:val="0"/>
                <w:lang w:eastAsia="en-GB"/>
              </w:rPr>
              <w:t xml:space="preserve">(Population) </w:t>
            </w:r>
            <w:r>
              <w:rPr>
                <w:rFonts w:ascii="Arial" w:eastAsia="Times New Roman" w:hAnsi="Arial" w:cs="Arial"/>
                <w:b/>
                <w:bCs/>
                <w:kern w:val="0"/>
                <w:lang w:eastAsia="en-GB"/>
              </w:rPr>
              <w:t>AND</w:t>
            </w:r>
            <w:r>
              <w:rPr>
                <w:rFonts w:ascii="Arial" w:eastAsia="Times New Roman" w:hAnsi="Arial" w:cs="Arial"/>
                <w:kern w:val="0"/>
                <w:lang w:eastAsia="en-GB"/>
              </w:rPr>
              <w:t xml:space="preserve"> (Issue) </w:t>
            </w:r>
            <w:r>
              <w:rPr>
                <w:rFonts w:ascii="Arial" w:eastAsia="Times New Roman" w:hAnsi="Arial" w:cs="Arial"/>
                <w:b/>
                <w:bCs/>
                <w:kern w:val="0"/>
                <w:lang w:eastAsia="en-GB"/>
              </w:rPr>
              <w:t>AND</w:t>
            </w:r>
            <w:r>
              <w:rPr>
                <w:rFonts w:ascii="Arial" w:eastAsia="Times New Roman" w:hAnsi="Arial" w:cs="Arial"/>
                <w:kern w:val="0"/>
                <w:lang w:eastAsia="en-GB"/>
              </w:rPr>
              <w:t xml:space="preserve"> (Outcome); synonyms combined using </w:t>
            </w:r>
            <w:r>
              <w:rPr>
                <w:rFonts w:ascii="Arial" w:eastAsia="Times New Roman" w:hAnsi="Arial" w:cs="Arial"/>
                <w:b/>
                <w:bCs/>
                <w:kern w:val="0"/>
                <w:lang w:eastAsia="en-GB"/>
              </w:rPr>
              <w:t>OR</w:t>
            </w:r>
          </w:p>
        </w:tc>
      </w:tr>
      <w:tr w:rsidR="002C532A" w14:paraId="557175E7"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15EF07" w14:textId="77777777" w:rsidR="002C532A" w:rsidRDefault="002C532A"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Databases searched</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7F9484" w14:textId="77777777" w:rsidR="002C532A" w:rsidRDefault="002C532A" w:rsidP="00CD4F87">
            <w:pPr>
              <w:spacing w:after="0" w:line="360" w:lineRule="auto"/>
            </w:pPr>
            <w:r>
              <w:rPr>
                <w:rFonts w:ascii="Arial" w:eastAsia="Times New Roman" w:hAnsi="Arial" w:cs="Arial"/>
                <w:kern w:val="0"/>
                <w:lang w:eastAsia="en-GB"/>
              </w:rPr>
              <w:t>Scopus, Web of Science, Google Scholar</w:t>
            </w:r>
          </w:p>
        </w:tc>
      </w:tr>
      <w:tr w:rsidR="002C532A" w14:paraId="48532C29"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4F29C" w14:textId="77777777" w:rsidR="002C532A" w:rsidRDefault="002C532A"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Limits applied</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9C46C1" w14:textId="77777777" w:rsidR="002C532A" w:rsidRDefault="002C532A" w:rsidP="00CD4F87">
            <w:pPr>
              <w:spacing w:after="0" w:line="360" w:lineRule="auto"/>
            </w:pPr>
            <w:r>
              <w:rPr>
                <w:rFonts w:ascii="Arial" w:eastAsia="Times New Roman" w:hAnsi="Arial" w:cs="Arial"/>
                <w:kern w:val="0"/>
                <w:lang w:eastAsia="en-GB"/>
              </w:rPr>
              <w:t>English language; UK studies; peer-reviewed; published 2020–2025</w:t>
            </w:r>
          </w:p>
        </w:tc>
      </w:tr>
    </w:tbl>
    <w:p w14:paraId="747F319E" w14:textId="77777777" w:rsidR="009F64C5" w:rsidRDefault="009F64C5">
      <w:pPr>
        <w:spacing w:after="0"/>
        <w:rPr>
          <w:rFonts w:asciiTheme="minorBidi" w:hAnsiTheme="minorBidi"/>
        </w:rPr>
      </w:pPr>
      <w:r w:rsidRPr="007F1C8A">
        <w:rPr>
          <w:rFonts w:asciiTheme="minorBidi" w:eastAsia="Calibri" w:hAnsiTheme="minorBidi"/>
        </w:rPr>
        <w:t xml:space="preserve"> </w:t>
      </w:r>
      <w:r w:rsidRPr="007F1C8A">
        <w:rPr>
          <w:rFonts w:asciiTheme="minorBidi" w:eastAsia="Calibri" w:hAnsiTheme="minorBidi"/>
        </w:rPr>
        <w:tab/>
      </w:r>
      <w:r w:rsidRPr="007F1C8A">
        <w:rPr>
          <w:rFonts w:asciiTheme="minorBidi" w:eastAsia="Times New Roman" w:hAnsiTheme="minorBidi"/>
          <w:b/>
        </w:rPr>
        <w:t xml:space="preserve"> </w:t>
      </w:r>
      <w:r w:rsidRPr="007F1C8A">
        <w:rPr>
          <w:rFonts w:asciiTheme="minorBidi" w:hAnsiTheme="minorBidi"/>
        </w:rPr>
        <w:br w:type="page"/>
      </w:r>
    </w:p>
    <w:p w14:paraId="0A45A66F" w14:textId="77777777" w:rsidR="00FE5460" w:rsidRPr="00FE5460" w:rsidRDefault="00FE5460">
      <w:pPr>
        <w:spacing w:after="0"/>
        <w:rPr>
          <w:rFonts w:ascii="Arial" w:hAnsi="Arial" w:cs="Arial"/>
        </w:rPr>
      </w:pPr>
    </w:p>
    <w:p w14:paraId="251F079D" w14:textId="77777777" w:rsidR="00FE5460" w:rsidRPr="007F1C8A" w:rsidRDefault="00FE5460">
      <w:pPr>
        <w:spacing w:after="0"/>
        <w:rPr>
          <w:rFonts w:asciiTheme="minorBidi" w:hAnsiTheme="minorBidi"/>
        </w:rPr>
      </w:pPr>
    </w:p>
    <w:p w14:paraId="4E9F67F1" w14:textId="7BE72D72" w:rsidR="009F64C5" w:rsidRPr="00FE5460" w:rsidRDefault="009F64C5" w:rsidP="00FE5460">
      <w:pPr>
        <w:pStyle w:val="Heading1"/>
        <w:rPr>
          <w:rFonts w:ascii="Arial" w:hAnsi="Arial" w:cs="Arial"/>
        </w:rPr>
      </w:pPr>
      <w:bookmarkStart w:id="147" w:name="_Toc12224"/>
      <w:bookmarkStart w:id="148" w:name="_Toc240143337"/>
      <w:r w:rsidRPr="00FE5460">
        <w:rPr>
          <w:rFonts w:ascii="Arial" w:hAnsi="Arial" w:cs="Arial"/>
        </w:rPr>
        <w:t xml:space="preserve">Appendix 2: </w:t>
      </w:r>
      <w:bookmarkEnd w:id="147"/>
      <w:r w:rsidR="00FE5460" w:rsidRPr="00FE5460">
        <w:rPr>
          <w:rFonts w:ascii="Arial" w:hAnsi="Arial" w:cs="Arial"/>
        </w:rPr>
        <w:t>Study Inclusion and Exclusion</w:t>
      </w:r>
      <w:r w:rsidR="00FE5460" w:rsidRPr="00FE5460">
        <w:rPr>
          <w:rFonts w:ascii="Arial" w:hAnsi="Arial" w:cs="Arial"/>
        </w:rPr>
        <w:t xml:space="preserve"> </w:t>
      </w:r>
      <w:r w:rsidR="00FE5460" w:rsidRPr="00FE5460">
        <w:rPr>
          <w:rFonts w:ascii="Arial" w:hAnsi="Arial" w:cs="Arial"/>
        </w:rPr>
        <w:t>Criteria</w:t>
      </w:r>
      <w:bookmarkEnd w:id="148"/>
    </w:p>
    <w:p w14:paraId="546377F8" w14:textId="77777777" w:rsidR="009F64C5" w:rsidRPr="007F1C8A" w:rsidRDefault="009F64C5" w:rsidP="00FE5460">
      <w:pPr>
        <w:spacing w:after="158" w:line="360" w:lineRule="auto"/>
        <w:rPr>
          <w:rFonts w:asciiTheme="minorBidi" w:hAnsiTheme="minorBidi"/>
        </w:rPr>
      </w:pPr>
      <w:r w:rsidRPr="007F1C8A">
        <w:rPr>
          <w:rFonts w:asciiTheme="minorBidi" w:eastAsia="Calibri" w:hAnsiTheme="minorBidi"/>
        </w:rPr>
        <w:t xml:space="preserve"> </w:t>
      </w:r>
    </w:p>
    <w:p w14:paraId="6EC5107E" w14:textId="58C9944F" w:rsidR="009F64C5" w:rsidRPr="00FE5460" w:rsidRDefault="009F64C5" w:rsidP="00FE5460">
      <w:pPr>
        <w:spacing w:line="360" w:lineRule="auto"/>
        <w:jc w:val="both"/>
        <w:rPr>
          <w:rFonts w:ascii="Arial" w:hAnsi="Arial" w:cs="Arial"/>
        </w:rPr>
      </w:pPr>
      <w:r w:rsidRPr="007F1C8A">
        <w:rPr>
          <w:rFonts w:asciiTheme="minorBidi" w:eastAsia="Calibri" w:hAnsiTheme="minorBidi"/>
        </w:rPr>
        <w:t xml:space="preserve"> </w:t>
      </w:r>
      <w:r w:rsidR="00FE5460" w:rsidRPr="00FE5460">
        <w:rPr>
          <w:rFonts w:ascii="Arial" w:eastAsia="Calibri" w:hAnsi="Arial" w:cs="Arial"/>
        </w:rPr>
        <w:t>This appendix presents the inclusion and exclusion criteria applied during the study selection process for the systematic review.</w:t>
      </w:r>
    </w:p>
    <w:p w14:paraId="321D18D5" w14:textId="77777777" w:rsidR="00FE5460" w:rsidRPr="007F1C8A" w:rsidRDefault="009F64C5">
      <w:pPr>
        <w:spacing w:after="158"/>
        <w:rPr>
          <w:rFonts w:asciiTheme="minorBidi" w:hAnsiTheme="minorBidi"/>
        </w:rPr>
      </w:pPr>
      <w:r w:rsidRPr="007F1C8A">
        <w:rPr>
          <w:rFonts w:asciiTheme="minorBidi" w:eastAsia="Calibri" w:hAnsiTheme="minorBidi"/>
        </w:rPr>
        <w:t xml:space="preserve"> </w:t>
      </w:r>
    </w:p>
    <w:tbl>
      <w:tblPr>
        <w:tblW w:w="9016" w:type="dxa"/>
        <w:tblCellMar>
          <w:left w:w="10" w:type="dxa"/>
          <w:right w:w="10" w:type="dxa"/>
        </w:tblCellMar>
        <w:tblLook w:val="04A0" w:firstRow="1" w:lastRow="0" w:firstColumn="1" w:lastColumn="0" w:noHBand="0" w:noVBand="1"/>
      </w:tblPr>
      <w:tblGrid>
        <w:gridCol w:w="4508"/>
        <w:gridCol w:w="4508"/>
      </w:tblGrid>
      <w:tr w:rsidR="00FE5460" w14:paraId="6C70FCE8" w14:textId="77777777" w:rsidTr="00CD4F87">
        <w:tc>
          <w:tcPr>
            <w:tcW w:w="450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214E63D2" w14:textId="77777777" w:rsidR="00FE5460" w:rsidRDefault="00FE5460" w:rsidP="00CD4F87">
            <w:pPr>
              <w:spacing w:after="0" w:line="360" w:lineRule="auto"/>
              <w:rPr>
                <w:rFonts w:ascii="Arial" w:hAnsi="Arial" w:cs="Arial"/>
                <w:b/>
                <w:bCs/>
                <w:sz w:val="28"/>
                <w:szCs w:val="28"/>
              </w:rPr>
            </w:pPr>
            <w:r>
              <w:rPr>
                <w:rFonts w:ascii="Arial" w:hAnsi="Arial" w:cs="Arial"/>
                <w:b/>
                <w:bCs/>
                <w:sz w:val="28"/>
                <w:szCs w:val="28"/>
              </w:rPr>
              <w:t>Inclusion Criteria</w:t>
            </w:r>
          </w:p>
        </w:tc>
        <w:tc>
          <w:tcPr>
            <w:tcW w:w="450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57582ADB" w14:textId="77777777" w:rsidR="00FE5460" w:rsidRDefault="00FE5460" w:rsidP="00CD4F87">
            <w:pPr>
              <w:spacing w:after="0" w:line="360" w:lineRule="auto"/>
              <w:rPr>
                <w:rFonts w:ascii="Arial" w:hAnsi="Arial" w:cs="Arial"/>
                <w:b/>
                <w:bCs/>
                <w:sz w:val="36"/>
                <w:szCs w:val="36"/>
              </w:rPr>
            </w:pPr>
            <w:r>
              <w:rPr>
                <w:rFonts w:ascii="Arial" w:hAnsi="Arial" w:cs="Arial"/>
                <w:b/>
                <w:bCs/>
                <w:sz w:val="36"/>
                <w:szCs w:val="36"/>
              </w:rPr>
              <w:t>Exclusion Criteria</w:t>
            </w:r>
          </w:p>
        </w:tc>
      </w:tr>
      <w:tr w:rsidR="00FE5460" w14:paraId="4BA3486F"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A338F5" w14:textId="77777777" w:rsidR="00FE5460" w:rsidRDefault="00FE5460" w:rsidP="00CD4F87">
            <w:pPr>
              <w:spacing w:after="0" w:line="360" w:lineRule="auto"/>
            </w:pPr>
            <w:r>
              <w:rPr>
                <w:rFonts w:ascii="Arial" w:eastAsia="Times New Roman" w:hAnsi="Arial" w:cs="Arial"/>
                <w:kern w:val="0"/>
                <w:lang w:eastAsia="en-GB"/>
              </w:rPr>
              <w:t>Peer-reviewed journal articles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CDF67" w14:textId="77777777" w:rsidR="00FE5460" w:rsidRDefault="00FE5460" w:rsidP="00CD4F87">
            <w:pPr>
              <w:spacing w:after="0" w:line="360" w:lineRule="auto"/>
            </w:pPr>
            <w:r>
              <w:rPr>
                <w:rFonts w:ascii="Arial" w:eastAsia="Times New Roman" w:hAnsi="Arial" w:cs="Arial"/>
                <w:kern w:val="0"/>
                <w:lang w:eastAsia="en-GB"/>
              </w:rPr>
              <w:t>Literature reviews and systematic reviews</w:t>
            </w:r>
          </w:p>
        </w:tc>
      </w:tr>
      <w:tr w:rsidR="00FE5460" w14:paraId="2E234E8D"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EB83E" w14:textId="77777777" w:rsidR="00FE5460" w:rsidRDefault="00FE5460" w:rsidP="00CD4F87">
            <w:pPr>
              <w:spacing w:after="0" w:line="360" w:lineRule="auto"/>
            </w:pPr>
            <w:r>
              <w:rPr>
                <w:rFonts w:ascii="Arial" w:eastAsia="Times New Roman" w:hAnsi="Arial" w:cs="Arial"/>
                <w:kern w:val="0"/>
                <w:lang w:eastAsia="en-GB"/>
              </w:rPr>
              <w:t>Qualitative studies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F0E44" w14:textId="77777777" w:rsidR="00FE5460" w:rsidRDefault="00FE5460" w:rsidP="00CD4F87">
            <w:pPr>
              <w:spacing w:after="0" w:line="360" w:lineRule="auto"/>
            </w:pPr>
            <w:r>
              <w:rPr>
                <w:rFonts w:ascii="Arial" w:eastAsia="Times New Roman" w:hAnsi="Arial" w:cs="Arial"/>
                <w:kern w:val="0"/>
                <w:lang w:eastAsia="en-GB"/>
              </w:rPr>
              <w:t>Quantitative studies</w:t>
            </w:r>
          </w:p>
        </w:tc>
      </w:tr>
      <w:tr w:rsidR="00FE5460" w14:paraId="5C293CB4"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8936D7" w14:textId="77777777" w:rsidR="00FE5460" w:rsidRDefault="00FE5460" w:rsidP="00CD4F87">
            <w:pPr>
              <w:spacing w:after="0" w:line="360" w:lineRule="auto"/>
            </w:pPr>
            <w:r>
              <w:rPr>
                <w:rFonts w:ascii="Arial" w:eastAsia="Times New Roman" w:hAnsi="Arial" w:cs="Arial"/>
                <w:kern w:val="0"/>
                <w:lang w:eastAsia="en-GB"/>
              </w:rPr>
              <w:t>Mixed-methods studies with extractable qualitative findings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0991BF" w14:textId="77777777" w:rsidR="00FE5460" w:rsidRDefault="00FE5460" w:rsidP="00CD4F87">
            <w:pPr>
              <w:spacing w:after="0" w:line="360" w:lineRule="auto"/>
            </w:pPr>
            <w:r>
              <w:rPr>
                <w:rFonts w:ascii="Arial" w:eastAsia="Times New Roman" w:hAnsi="Arial" w:cs="Arial"/>
                <w:kern w:val="0"/>
                <w:lang w:eastAsia="en-GB"/>
              </w:rPr>
              <w:t>Mixed-methods studies where qualitative findings could not be separated</w:t>
            </w:r>
          </w:p>
        </w:tc>
      </w:tr>
      <w:tr w:rsidR="00FE5460" w14:paraId="4E5AB174"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AAA05" w14:textId="77777777" w:rsidR="00FE5460" w:rsidRDefault="00FE5460" w:rsidP="00CD4F87">
            <w:pPr>
              <w:spacing w:after="0" w:line="360" w:lineRule="auto"/>
            </w:pPr>
            <w:r>
              <w:rPr>
                <w:rFonts w:ascii="Arial" w:eastAsia="Times New Roman" w:hAnsi="Arial" w:cs="Arial"/>
                <w:kern w:val="0"/>
                <w:lang w:eastAsia="en-GB"/>
              </w:rPr>
              <w:t xml:space="preserve">Participants aged </w:t>
            </w:r>
            <w:r>
              <w:rPr>
                <w:rFonts w:ascii="Arial" w:eastAsia="Times New Roman" w:hAnsi="Arial" w:cs="Arial"/>
                <w:b/>
                <w:bCs/>
                <w:kern w:val="0"/>
                <w:lang w:eastAsia="en-GB"/>
              </w:rPr>
              <w:t>65 years and over.</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29597B" w14:textId="77777777" w:rsidR="00FE5460" w:rsidRDefault="00FE5460" w:rsidP="00CD4F87">
            <w:pPr>
              <w:spacing w:after="0" w:line="360" w:lineRule="auto"/>
            </w:pPr>
            <w:r>
              <w:rPr>
                <w:rFonts w:ascii="Arial" w:eastAsia="Times New Roman" w:hAnsi="Arial" w:cs="Arial"/>
                <w:kern w:val="0"/>
                <w:lang w:eastAsia="en-GB"/>
              </w:rPr>
              <w:t>Participants younger than 65 years</w:t>
            </w:r>
          </w:p>
        </w:tc>
      </w:tr>
      <w:tr w:rsidR="00FE5460" w14:paraId="2206BF0C"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568D08" w14:textId="77777777" w:rsidR="00FE5460" w:rsidRDefault="00FE5460" w:rsidP="00CD4F87">
            <w:pPr>
              <w:spacing w:after="0" w:line="360" w:lineRule="auto"/>
            </w:pPr>
            <w:r>
              <w:rPr>
                <w:rFonts w:ascii="Arial" w:eastAsia="Times New Roman" w:hAnsi="Arial" w:cs="Arial"/>
                <w:kern w:val="0"/>
                <w:lang w:eastAsia="en-GB"/>
              </w:rPr>
              <w:t xml:space="preserve">Studies conducted in the </w:t>
            </w:r>
            <w:r>
              <w:rPr>
                <w:rFonts w:ascii="Arial" w:eastAsia="Times New Roman" w:hAnsi="Arial" w:cs="Arial"/>
                <w:b/>
                <w:bCs/>
                <w:kern w:val="0"/>
                <w:lang w:eastAsia="en-GB"/>
              </w:rPr>
              <w:t>United Kingdom</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6D0FDE" w14:textId="77777777" w:rsidR="00FE5460" w:rsidRDefault="00FE5460" w:rsidP="00CD4F87">
            <w:pPr>
              <w:spacing w:after="0" w:line="360" w:lineRule="auto"/>
            </w:pPr>
            <w:r>
              <w:rPr>
                <w:rFonts w:ascii="Arial" w:eastAsia="Times New Roman" w:hAnsi="Arial" w:cs="Arial"/>
                <w:kern w:val="0"/>
                <w:lang w:eastAsia="en-GB"/>
              </w:rPr>
              <w:t>Studies conducted outside the UK</w:t>
            </w:r>
          </w:p>
        </w:tc>
      </w:tr>
      <w:tr w:rsidR="00FE5460" w14:paraId="2B83A05E"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BEB86" w14:textId="77777777" w:rsidR="00FE5460" w:rsidRDefault="00FE5460"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Published in English</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E76E69" w14:textId="77777777" w:rsidR="00FE5460" w:rsidRDefault="00FE5460" w:rsidP="00CD4F87">
            <w:pPr>
              <w:spacing w:after="0" w:line="360" w:lineRule="auto"/>
            </w:pPr>
            <w:r>
              <w:rPr>
                <w:rFonts w:ascii="Arial" w:eastAsia="Times New Roman" w:hAnsi="Arial" w:cs="Arial"/>
                <w:kern w:val="0"/>
                <w:lang w:eastAsia="en-GB"/>
              </w:rPr>
              <w:t>Non-English publications</w:t>
            </w:r>
          </w:p>
        </w:tc>
      </w:tr>
      <w:tr w:rsidR="00FE5460" w14:paraId="26E50EC0"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ABF10A" w14:textId="77777777" w:rsidR="00FE5460" w:rsidRDefault="00FE5460" w:rsidP="00CD4F87">
            <w:pPr>
              <w:spacing w:after="0" w:line="360" w:lineRule="auto"/>
            </w:pPr>
            <w:r>
              <w:rPr>
                <w:rFonts w:ascii="Arial" w:eastAsia="Times New Roman" w:hAnsi="Arial" w:cs="Arial"/>
                <w:kern w:val="0"/>
                <w:lang w:eastAsia="en-GB"/>
              </w:rPr>
              <w:t xml:space="preserve">Published between </w:t>
            </w:r>
            <w:r>
              <w:rPr>
                <w:rFonts w:ascii="Arial" w:eastAsia="Times New Roman" w:hAnsi="Arial" w:cs="Arial"/>
                <w:b/>
                <w:bCs/>
                <w:kern w:val="0"/>
                <w:lang w:eastAsia="en-GB"/>
              </w:rPr>
              <w:t>2020 and 2025</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4B03FF" w14:textId="77777777" w:rsidR="00FE5460" w:rsidRDefault="00FE5460" w:rsidP="00CD4F87">
            <w:pPr>
              <w:spacing w:after="0" w:line="360" w:lineRule="auto"/>
            </w:pPr>
            <w:r>
              <w:rPr>
                <w:rFonts w:ascii="Arial" w:eastAsia="Times New Roman" w:hAnsi="Arial" w:cs="Arial"/>
                <w:kern w:val="0"/>
                <w:lang w:eastAsia="en-GB"/>
              </w:rPr>
              <w:t>Published before 2020</w:t>
            </w:r>
          </w:p>
        </w:tc>
      </w:tr>
      <w:tr w:rsidR="00FE5460" w14:paraId="20ACEE13" w14:textId="77777777" w:rsidTr="00CD4F8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3AFAC" w14:textId="77777777" w:rsidR="00FE5460" w:rsidRDefault="00FE5460"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Focus on digital exclusion and access to public health and/or social care services</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271DBF" w14:textId="77777777" w:rsidR="00FE5460" w:rsidRDefault="00FE5460" w:rsidP="00CD4F87">
            <w:pPr>
              <w:spacing w:after="0" w:line="360" w:lineRule="auto"/>
            </w:pPr>
            <w:r>
              <w:rPr>
                <w:rFonts w:ascii="Arial" w:eastAsia="Times New Roman" w:hAnsi="Arial" w:cs="Arial"/>
                <w:kern w:val="0"/>
                <w:lang w:eastAsia="en-GB"/>
              </w:rPr>
              <w:t>Studies focusing on general technology use without relevance to health or social care access</w:t>
            </w:r>
          </w:p>
        </w:tc>
      </w:tr>
    </w:tbl>
    <w:p w14:paraId="1916A577" w14:textId="387D1861" w:rsidR="009F64C5" w:rsidRDefault="009F64C5">
      <w:pPr>
        <w:spacing w:after="158"/>
        <w:rPr>
          <w:rFonts w:asciiTheme="minorBidi" w:hAnsiTheme="minorBidi"/>
        </w:rPr>
      </w:pPr>
    </w:p>
    <w:p w14:paraId="109E4B4F" w14:textId="77777777" w:rsidR="00FE5460" w:rsidRDefault="00FE5460">
      <w:pPr>
        <w:spacing w:after="158"/>
        <w:rPr>
          <w:rFonts w:asciiTheme="minorBidi" w:hAnsiTheme="minorBidi"/>
        </w:rPr>
      </w:pPr>
    </w:p>
    <w:p w14:paraId="7455A9B5" w14:textId="77777777" w:rsidR="00FE5460" w:rsidRDefault="00FE5460">
      <w:pPr>
        <w:spacing w:after="158"/>
        <w:rPr>
          <w:rFonts w:asciiTheme="minorBidi" w:hAnsiTheme="minorBidi"/>
        </w:rPr>
      </w:pPr>
    </w:p>
    <w:p w14:paraId="1A68311D" w14:textId="77777777" w:rsidR="00FE5460" w:rsidRDefault="00FE5460">
      <w:pPr>
        <w:spacing w:after="158"/>
        <w:rPr>
          <w:rFonts w:asciiTheme="minorBidi" w:hAnsiTheme="minorBidi"/>
        </w:rPr>
      </w:pPr>
    </w:p>
    <w:p w14:paraId="31E4D887" w14:textId="77777777" w:rsidR="00FE5460" w:rsidRDefault="00FE5460">
      <w:pPr>
        <w:spacing w:after="158"/>
        <w:rPr>
          <w:rFonts w:asciiTheme="minorBidi" w:hAnsiTheme="minorBidi"/>
        </w:rPr>
      </w:pPr>
    </w:p>
    <w:p w14:paraId="23C154C6" w14:textId="77777777" w:rsidR="00FE5460" w:rsidRDefault="00FE5460">
      <w:pPr>
        <w:spacing w:after="158"/>
        <w:rPr>
          <w:rFonts w:asciiTheme="minorBidi" w:hAnsiTheme="minorBidi"/>
        </w:rPr>
      </w:pPr>
    </w:p>
    <w:p w14:paraId="3DA63BBD" w14:textId="77777777" w:rsidR="00FE5460" w:rsidRDefault="00FE5460">
      <w:pPr>
        <w:spacing w:after="158"/>
        <w:rPr>
          <w:rFonts w:asciiTheme="minorBidi" w:hAnsiTheme="minorBidi"/>
        </w:rPr>
      </w:pPr>
    </w:p>
    <w:p w14:paraId="3A2680E4" w14:textId="77777777" w:rsidR="00FE5460" w:rsidRDefault="00FE5460">
      <w:pPr>
        <w:spacing w:after="158"/>
        <w:rPr>
          <w:rFonts w:asciiTheme="minorBidi" w:hAnsiTheme="minorBidi"/>
        </w:rPr>
      </w:pPr>
    </w:p>
    <w:p w14:paraId="08DB5953" w14:textId="77777777" w:rsidR="00FE5460" w:rsidRDefault="00FE5460">
      <w:pPr>
        <w:spacing w:after="158"/>
        <w:rPr>
          <w:rFonts w:asciiTheme="minorBidi" w:hAnsiTheme="minorBidi"/>
        </w:rPr>
      </w:pPr>
    </w:p>
    <w:p w14:paraId="7B9CFC31" w14:textId="77777777" w:rsidR="00FE5460" w:rsidRDefault="00FE5460">
      <w:pPr>
        <w:spacing w:after="158"/>
        <w:rPr>
          <w:rFonts w:asciiTheme="minorBidi" w:hAnsiTheme="minorBidi"/>
        </w:rPr>
      </w:pPr>
    </w:p>
    <w:p w14:paraId="6B4834B7" w14:textId="77777777" w:rsidR="00FE5460" w:rsidRDefault="00FE5460">
      <w:pPr>
        <w:spacing w:after="158"/>
        <w:rPr>
          <w:rFonts w:asciiTheme="minorBidi" w:hAnsiTheme="minorBidi"/>
        </w:rPr>
      </w:pPr>
    </w:p>
    <w:p w14:paraId="4E6081D7" w14:textId="77777777" w:rsidR="00FE5460" w:rsidRPr="007F1C8A" w:rsidRDefault="00FE5460">
      <w:pPr>
        <w:spacing w:after="158"/>
        <w:rPr>
          <w:rFonts w:asciiTheme="minorBidi" w:hAnsiTheme="minorBidi"/>
        </w:rPr>
      </w:pPr>
    </w:p>
    <w:p w14:paraId="14D68B18"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05A2C86D" w14:textId="5C8B6046" w:rsidR="009F64C5" w:rsidRDefault="009F64C5" w:rsidP="00FE5460">
      <w:pPr>
        <w:pStyle w:val="Heading1"/>
        <w:rPr>
          <w:rFonts w:ascii="Arial" w:hAnsi="Arial" w:cs="Arial"/>
        </w:rPr>
      </w:pPr>
      <w:r w:rsidRPr="007F1C8A">
        <w:rPr>
          <w:rFonts w:asciiTheme="minorBidi" w:eastAsia="Calibri" w:hAnsiTheme="minorBidi"/>
        </w:rPr>
        <w:lastRenderedPageBreak/>
        <w:t xml:space="preserve"> </w:t>
      </w:r>
      <w:bookmarkStart w:id="149" w:name="_Toc240143338"/>
      <w:r w:rsidR="00FE5460" w:rsidRPr="00FE5460">
        <w:rPr>
          <w:rFonts w:ascii="Arial" w:eastAsia="Calibri" w:hAnsi="Arial" w:cs="Arial"/>
        </w:rPr>
        <w:t xml:space="preserve">Appendix 3: </w:t>
      </w:r>
      <w:r w:rsidR="00FE5460" w:rsidRPr="00FE5460">
        <w:rPr>
          <w:rFonts w:ascii="Arial" w:hAnsi="Arial" w:cs="Arial"/>
        </w:rPr>
        <w:t>Appendix 3: PRISMA 2020 Flow Diagram</w:t>
      </w:r>
      <w:bookmarkEnd w:id="149"/>
    </w:p>
    <w:p w14:paraId="7EE51E6C" w14:textId="77777777" w:rsidR="00FE5460" w:rsidRPr="00FE5460" w:rsidRDefault="00FE5460" w:rsidP="00FE5460"/>
    <w:p w14:paraId="25A0629A" w14:textId="643757E7" w:rsidR="00FE5460" w:rsidRPr="00FE5460" w:rsidRDefault="00FE5460" w:rsidP="00FE5460">
      <w:pPr>
        <w:spacing w:after="158" w:line="360" w:lineRule="auto"/>
        <w:jc w:val="both"/>
        <w:rPr>
          <w:rFonts w:ascii="Arial" w:eastAsia="Calibri" w:hAnsi="Arial" w:cs="Arial"/>
        </w:rPr>
      </w:pPr>
      <w:r w:rsidRPr="00FE5460">
        <w:rPr>
          <w:rFonts w:ascii="Arial" w:eastAsia="Calibri" w:hAnsi="Arial" w:cs="Arial"/>
        </w:rPr>
        <w:t>This appendix presents the PRISMA 2020 flow diagram showing the identification, screening, eligibility and inclusion of studies in the systematic review.</w:t>
      </w:r>
    </w:p>
    <w:p w14:paraId="5BAA72D7" w14:textId="77777777" w:rsidR="00FE5460" w:rsidRDefault="00FE5460">
      <w:pPr>
        <w:spacing w:after="158"/>
        <w:rPr>
          <w:rFonts w:asciiTheme="minorBidi" w:eastAsia="Calibri" w:hAnsiTheme="minorBidi"/>
        </w:rPr>
      </w:pPr>
    </w:p>
    <w:p w14:paraId="0952D63C" w14:textId="77777777" w:rsidR="00FE5460" w:rsidRDefault="00FE5460">
      <w:pPr>
        <w:spacing w:after="158"/>
        <w:rPr>
          <w:rFonts w:asciiTheme="minorBidi" w:eastAsia="Calibri" w:hAnsiTheme="minorBidi"/>
        </w:rPr>
      </w:pPr>
    </w:p>
    <w:p w14:paraId="3DEDD108" w14:textId="77777777" w:rsidR="00FE5460" w:rsidRPr="00FE5460" w:rsidRDefault="00FE5460" w:rsidP="00FE5460">
      <w:pPr>
        <w:suppressAutoHyphens/>
        <w:autoSpaceDN w:val="0"/>
        <w:spacing w:line="360" w:lineRule="auto"/>
        <w:rPr>
          <w:rFonts w:ascii="Arial" w:eastAsia="Calibri" w:hAnsi="Arial" w:cs="Arial"/>
          <w:i/>
          <w:iCs/>
          <w:kern w:val="3"/>
          <w:lang w:eastAsia="en-US"/>
          <w14:ligatures w14:val="none"/>
        </w:rPr>
      </w:pPr>
    </w:p>
    <w:tbl>
      <w:tblPr>
        <w:tblW w:w="10652" w:type="dxa"/>
        <w:jc w:val="center"/>
        <w:tblLayout w:type="fixed"/>
        <w:tblCellMar>
          <w:left w:w="10" w:type="dxa"/>
          <w:right w:w="10" w:type="dxa"/>
        </w:tblCellMar>
        <w:tblLook w:val="04A0" w:firstRow="1" w:lastRow="0" w:firstColumn="1" w:lastColumn="0" w:noHBand="0" w:noVBand="1"/>
      </w:tblPr>
      <w:tblGrid>
        <w:gridCol w:w="10652"/>
      </w:tblGrid>
      <w:tr w:rsidR="00FE5460" w:rsidRPr="00FE5460" w14:paraId="25B055F8" w14:textId="77777777" w:rsidTr="00CD4F87">
        <w:trPr>
          <w:jc w:val="center"/>
        </w:trPr>
        <w:tc>
          <w:tcPr>
            <w:tcW w:w="10652" w:type="dxa"/>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vAlign w:val="center"/>
          </w:tcPr>
          <w:p w14:paraId="6778F087"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Arial" w:eastAsia="Calibri" w:hAnsi="Arial" w:cs="Times New Roman"/>
                <w:b/>
                <w:kern w:val="3"/>
                <w:sz w:val="20"/>
                <w:lang w:eastAsia="en-US"/>
                <w14:ligatures w14:val="none"/>
              </w:rPr>
              <w:t>Identification of studies via databases and registers</w:t>
            </w:r>
          </w:p>
        </w:tc>
      </w:tr>
    </w:tbl>
    <w:p w14:paraId="78DEC649" w14:textId="77777777" w:rsidR="00FE5460" w:rsidRPr="00FE5460" w:rsidRDefault="00FE5460" w:rsidP="00FE5460">
      <w:pPr>
        <w:suppressAutoHyphens/>
        <w:autoSpaceDN w:val="0"/>
        <w:spacing w:after="20" w:line="256" w:lineRule="auto"/>
        <w:rPr>
          <w:rFonts w:ascii="Calibri" w:eastAsia="Calibri" w:hAnsi="Calibri" w:cs="Times New Roman"/>
          <w:kern w:val="3"/>
          <w:lang w:eastAsia="en-US"/>
          <w14:ligatures w14:val="none"/>
        </w:rPr>
      </w:pPr>
    </w:p>
    <w:tbl>
      <w:tblPr>
        <w:tblW w:w="10652" w:type="dxa"/>
        <w:jc w:val="center"/>
        <w:tblLayout w:type="fixed"/>
        <w:tblCellMar>
          <w:left w:w="10" w:type="dxa"/>
          <w:right w:w="10" w:type="dxa"/>
        </w:tblCellMar>
        <w:tblLook w:val="04A0" w:firstRow="1" w:lastRow="0" w:firstColumn="1" w:lastColumn="0" w:noHBand="0" w:noVBand="1"/>
      </w:tblPr>
      <w:tblGrid>
        <w:gridCol w:w="5326"/>
        <w:gridCol w:w="5326"/>
      </w:tblGrid>
      <w:tr w:rsidR="00FE5460" w:rsidRPr="00FE5460" w14:paraId="75762934" w14:textId="77777777" w:rsidTr="00CD4F87">
        <w:trPr>
          <w:jc w:val="center"/>
        </w:trPr>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569CB65"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Records identified from databases (n = 3,256)</w:t>
            </w:r>
            <w:r w:rsidRPr="00FE5460">
              <w:rPr>
                <w:rFonts w:ascii="Arial" w:eastAsia="Calibri" w:hAnsi="Arial" w:cs="Times New Roman"/>
                <w:kern w:val="3"/>
                <w:sz w:val="16"/>
                <w:lang w:eastAsia="en-US"/>
                <w14:ligatures w14:val="none"/>
              </w:rPr>
              <w:br/>
              <w:t>• CINAHL (n = 1,102)</w:t>
            </w:r>
            <w:r w:rsidRPr="00FE5460">
              <w:rPr>
                <w:rFonts w:ascii="Arial" w:eastAsia="Calibri" w:hAnsi="Arial" w:cs="Times New Roman"/>
                <w:kern w:val="3"/>
                <w:sz w:val="16"/>
                <w:lang w:eastAsia="en-US"/>
                <w14:ligatures w14:val="none"/>
              </w:rPr>
              <w:br/>
              <w:t>• MEDLINE (n = 978)</w:t>
            </w:r>
            <w:r w:rsidRPr="00FE5460">
              <w:rPr>
                <w:rFonts w:ascii="Arial" w:eastAsia="Calibri" w:hAnsi="Arial" w:cs="Times New Roman"/>
                <w:kern w:val="3"/>
                <w:sz w:val="16"/>
                <w:lang w:eastAsia="en-US"/>
                <w14:ligatures w14:val="none"/>
              </w:rPr>
              <w:br/>
              <w:t>• PsycINFO (n = 545)</w:t>
            </w:r>
            <w:r w:rsidRPr="00FE5460">
              <w:rPr>
                <w:rFonts w:ascii="Arial" w:eastAsia="Calibri" w:hAnsi="Arial" w:cs="Times New Roman"/>
                <w:kern w:val="3"/>
                <w:sz w:val="16"/>
                <w:lang w:eastAsia="en-US"/>
                <w14:ligatures w14:val="none"/>
              </w:rPr>
              <w:br/>
              <w:t>• Scopus (n = 631)</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Additional databases searched:</w:t>
            </w:r>
            <w:r w:rsidRPr="00FE5460">
              <w:rPr>
                <w:rFonts w:ascii="Arial" w:eastAsia="Calibri" w:hAnsi="Arial" w:cs="Times New Roman"/>
                <w:kern w:val="3"/>
                <w:sz w:val="16"/>
                <w:lang w:eastAsia="en-US"/>
                <w14:ligatures w14:val="none"/>
              </w:rPr>
              <w:br/>
              <w:t>• Google Scholar (n = 214)</w:t>
            </w:r>
            <w:r w:rsidRPr="00FE5460">
              <w:rPr>
                <w:rFonts w:ascii="Arial" w:eastAsia="Calibri" w:hAnsi="Arial" w:cs="Times New Roman"/>
                <w:kern w:val="3"/>
                <w:sz w:val="16"/>
                <w:lang w:eastAsia="en-US"/>
                <w14:ligatures w14:val="none"/>
              </w:rPr>
              <w:br/>
              <w:t>• ProQuest (n = 312)</w:t>
            </w:r>
            <w:r w:rsidRPr="00FE5460">
              <w:rPr>
                <w:rFonts w:ascii="Arial" w:eastAsia="Calibri" w:hAnsi="Arial" w:cs="Times New Roman"/>
                <w:kern w:val="3"/>
                <w:sz w:val="16"/>
                <w:lang w:eastAsia="en-US"/>
                <w14:ligatures w14:val="none"/>
              </w:rPr>
              <w:br/>
              <w:t>• PubMed (n = 187)</w:t>
            </w:r>
          </w:p>
        </w:tc>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AC9253"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Records removed before screening:</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Duplicate records removed (n = 1,042)</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Records marked as ineligible by automation tools (n = 0)</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Records removed for other reasons (n = 0)</w:t>
            </w:r>
          </w:p>
        </w:tc>
      </w:tr>
    </w:tbl>
    <w:p w14:paraId="5117B2CA"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Calibri" w:eastAsia="Calibri" w:hAnsi="Calibri" w:cs="Times New Roman"/>
          <w:b/>
          <w:kern w:val="3"/>
          <w:sz w:val="26"/>
          <w:lang w:eastAsia="en-US"/>
          <w14:ligatures w14:val="none"/>
        </w:rPr>
        <w:t>↓</w:t>
      </w:r>
    </w:p>
    <w:tbl>
      <w:tblPr>
        <w:tblW w:w="10652" w:type="dxa"/>
        <w:jc w:val="center"/>
        <w:tblLayout w:type="fixed"/>
        <w:tblCellMar>
          <w:left w:w="10" w:type="dxa"/>
          <w:right w:w="10" w:type="dxa"/>
        </w:tblCellMar>
        <w:tblLook w:val="04A0" w:firstRow="1" w:lastRow="0" w:firstColumn="1" w:lastColumn="0" w:noHBand="0" w:noVBand="1"/>
      </w:tblPr>
      <w:tblGrid>
        <w:gridCol w:w="5326"/>
        <w:gridCol w:w="5326"/>
      </w:tblGrid>
      <w:tr w:rsidR="00FE5460" w:rsidRPr="00FE5460" w14:paraId="16001D43" w14:textId="77777777" w:rsidTr="00CD4F87">
        <w:trPr>
          <w:jc w:val="center"/>
        </w:trPr>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532D5D0"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Records screened</w:t>
            </w:r>
            <w:r w:rsidRPr="00FE5460">
              <w:rPr>
                <w:rFonts w:ascii="Arial" w:eastAsia="Calibri" w:hAnsi="Arial" w:cs="Times New Roman"/>
                <w:kern w:val="3"/>
                <w:sz w:val="16"/>
                <w:lang w:eastAsia="en-US"/>
                <w14:ligatures w14:val="none"/>
              </w:rPr>
              <w:br/>
              <w:t>(n = 2,214)</w:t>
            </w:r>
          </w:p>
        </w:tc>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A414BA7"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Records excluded</w:t>
            </w:r>
            <w:r w:rsidRPr="00FE5460">
              <w:rPr>
                <w:rFonts w:ascii="Arial" w:eastAsia="Calibri" w:hAnsi="Arial" w:cs="Times New Roman"/>
                <w:kern w:val="3"/>
                <w:sz w:val="16"/>
                <w:lang w:eastAsia="en-US"/>
                <w14:ligatures w14:val="none"/>
              </w:rPr>
              <w:br/>
              <w:t>(n = 1,902)</w:t>
            </w:r>
          </w:p>
        </w:tc>
      </w:tr>
    </w:tbl>
    <w:p w14:paraId="1D6F53C8"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Calibri" w:eastAsia="Calibri" w:hAnsi="Calibri" w:cs="Times New Roman"/>
          <w:b/>
          <w:kern w:val="3"/>
          <w:sz w:val="26"/>
          <w:lang w:eastAsia="en-US"/>
          <w14:ligatures w14:val="none"/>
        </w:rPr>
        <w:t>↓</w:t>
      </w:r>
    </w:p>
    <w:tbl>
      <w:tblPr>
        <w:tblW w:w="10652" w:type="dxa"/>
        <w:jc w:val="center"/>
        <w:tblLayout w:type="fixed"/>
        <w:tblCellMar>
          <w:left w:w="10" w:type="dxa"/>
          <w:right w:w="10" w:type="dxa"/>
        </w:tblCellMar>
        <w:tblLook w:val="04A0" w:firstRow="1" w:lastRow="0" w:firstColumn="1" w:lastColumn="0" w:noHBand="0" w:noVBand="1"/>
      </w:tblPr>
      <w:tblGrid>
        <w:gridCol w:w="5326"/>
        <w:gridCol w:w="5326"/>
      </w:tblGrid>
      <w:tr w:rsidR="00FE5460" w:rsidRPr="00FE5460" w14:paraId="3D8218C3" w14:textId="77777777" w:rsidTr="00CD4F87">
        <w:trPr>
          <w:jc w:val="center"/>
        </w:trPr>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2EDDB39"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Reports sought for retrieval.</w:t>
            </w:r>
            <w:r w:rsidRPr="00FE5460">
              <w:rPr>
                <w:rFonts w:ascii="Arial" w:eastAsia="Calibri" w:hAnsi="Arial" w:cs="Times New Roman"/>
                <w:kern w:val="3"/>
                <w:sz w:val="16"/>
                <w:lang w:eastAsia="en-US"/>
                <w14:ligatures w14:val="none"/>
              </w:rPr>
              <w:br/>
              <w:t>(n = 312)</w:t>
            </w:r>
          </w:p>
        </w:tc>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A00030F"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Reports not retrieved</w:t>
            </w:r>
            <w:r w:rsidRPr="00FE5460">
              <w:rPr>
                <w:rFonts w:ascii="Arial" w:eastAsia="Calibri" w:hAnsi="Arial" w:cs="Times New Roman"/>
                <w:kern w:val="3"/>
                <w:sz w:val="16"/>
                <w:lang w:eastAsia="en-US"/>
                <w14:ligatures w14:val="none"/>
              </w:rPr>
              <w:br/>
              <w:t>(n = 37)</w:t>
            </w:r>
          </w:p>
        </w:tc>
      </w:tr>
    </w:tbl>
    <w:p w14:paraId="42FCC12A"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Calibri" w:eastAsia="Calibri" w:hAnsi="Calibri" w:cs="Times New Roman"/>
          <w:b/>
          <w:kern w:val="3"/>
          <w:sz w:val="26"/>
          <w:lang w:eastAsia="en-US"/>
          <w14:ligatures w14:val="none"/>
        </w:rPr>
        <w:t>↓</w:t>
      </w:r>
    </w:p>
    <w:tbl>
      <w:tblPr>
        <w:tblW w:w="10652" w:type="dxa"/>
        <w:jc w:val="center"/>
        <w:tblLayout w:type="fixed"/>
        <w:tblCellMar>
          <w:left w:w="10" w:type="dxa"/>
          <w:right w:w="10" w:type="dxa"/>
        </w:tblCellMar>
        <w:tblLook w:val="04A0" w:firstRow="1" w:lastRow="0" w:firstColumn="1" w:lastColumn="0" w:noHBand="0" w:noVBand="1"/>
      </w:tblPr>
      <w:tblGrid>
        <w:gridCol w:w="5326"/>
        <w:gridCol w:w="5326"/>
      </w:tblGrid>
      <w:tr w:rsidR="00FE5460" w:rsidRPr="00FE5460" w14:paraId="36035766" w14:textId="77777777" w:rsidTr="00CD4F87">
        <w:trPr>
          <w:jc w:val="center"/>
        </w:trPr>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58B374E"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Reports assessed for eligibility.</w:t>
            </w:r>
            <w:r w:rsidRPr="00FE5460">
              <w:rPr>
                <w:rFonts w:ascii="Arial" w:eastAsia="Calibri" w:hAnsi="Arial" w:cs="Times New Roman"/>
                <w:kern w:val="3"/>
                <w:sz w:val="16"/>
                <w:lang w:eastAsia="en-US"/>
                <w14:ligatures w14:val="none"/>
              </w:rPr>
              <w:br/>
              <w:t>(n = 275)</w:t>
            </w:r>
          </w:p>
        </w:tc>
        <w:tc>
          <w:tcPr>
            <w:tcW w:w="5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8D59D60" w14:textId="77777777" w:rsidR="00FE5460" w:rsidRPr="00FE5460" w:rsidRDefault="00FE5460" w:rsidP="00FE5460">
            <w:pPr>
              <w:suppressAutoHyphens/>
              <w:autoSpaceDN w:val="0"/>
              <w:spacing w:after="0" w:line="256" w:lineRule="auto"/>
              <w:rPr>
                <w:rFonts w:ascii="Calibri" w:eastAsia="Calibri" w:hAnsi="Calibri" w:cs="Times New Roman"/>
                <w:kern w:val="3"/>
                <w:lang w:eastAsia="en-US"/>
                <w14:ligatures w14:val="none"/>
              </w:rPr>
            </w:pPr>
            <w:r w:rsidRPr="00FE5460">
              <w:rPr>
                <w:rFonts w:ascii="Arial" w:eastAsia="Calibri" w:hAnsi="Arial" w:cs="Times New Roman"/>
                <w:kern w:val="3"/>
                <w:sz w:val="16"/>
                <w:lang w:eastAsia="en-US"/>
                <w14:ligatures w14:val="none"/>
              </w:rPr>
              <w:t>Reports excluded (n = 264)</w:t>
            </w:r>
            <w:r w:rsidRPr="00FE5460">
              <w:rPr>
                <w:rFonts w:ascii="Arial" w:eastAsia="Calibri" w:hAnsi="Arial" w:cs="Times New Roman"/>
                <w:kern w:val="3"/>
                <w:sz w:val="16"/>
                <w:lang w:eastAsia="en-US"/>
                <w14:ligatures w14:val="none"/>
              </w:rPr>
              <w:br/>
            </w:r>
            <w:r w:rsidRPr="00FE5460">
              <w:rPr>
                <w:rFonts w:ascii="Arial" w:eastAsia="Calibri" w:hAnsi="Arial" w:cs="Times New Roman"/>
                <w:kern w:val="3"/>
                <w:sz w:val="16"/>
                <w:lang w:eastAsia="en-US"/>
                <w14:ligatures w14:val="none"/>
              </w:rPr>
              <w:br/>
              <w:t>• Not older adults (n = 82)</w:t>
            </w:r>
            <w:r w:rsidRPr="00FE5460">
              <w:rPr>
                <w:rFonts w:ascii="Arial" w:eastAsia="Calibri" w:hAnsi="Arial" w:cs="Times New Roman"/>
                <w:kern w:val="3"/>
                <w:sz w:val="16"/>
                <w:lang w:eastAsia="en-US"/>
                <w14:ligatures w14:val="none"/>
              </w:rPr>
              <w:br/>
              <w:t>• Not UK setting (n = 67)</w:t>
            </w:r>
            <w:r w:rsidRPr="00FE5460">
              <w:rPr>
                <w:rFonts w:ascii="Arial" w:eastAsia="Calibri" w:hAnsi="Arial" w:cs="Times New Roman"/>
                <w:kern w:val="3"/>
                <w:sz w:val="16"/>
                <w:lang w:eastAsia="en-US"/>
                <w14:ligatures w14:val="none"/>
              </w:rPr>
              <w:br/>
              <w:t>• Not focused on digital exclusion or access to services (n = 71)</w:t>
            </w:r>
            <w:r w:rsidRPr="00FE5460">
              <w:rPr>
                <w:rFonts w:ascii="Arial" w:eastAsia="Calibri" w:hAnsi="Arial" w:cs="Times New Roman"/>
                <w:kern w:val="3"/>
                <w:sz w:val="16"/>
                <w:lang w:eastAsia="en-US"/>
                <w14:ligatures w14:val="none"/>
              </w:rPr>
              <w:br/>
              <w:t>• Not qualitative / primary empirical study (n = 30) [VERIFY]</w:t>
            </w:r>
            <w:r w:rsidRPr="00FE5460">
              <w:rPr>
                <w:rFonts w:ascii="Arial" w:eastAsia="Calibri" w:hAnsi="Arial" w:cs="Times New Roman"/>
                <w:kern w:val="3"/>
                <w:sz w:val="16"/>
                <w:lang w:eastAsia="en-US"/>
                <w14:ligatures w14:val="none"/>
              </w:rPr>
              <w:br/>
              <w:t>• Not relevant population (n = 14)</w:t>
            </w:r>
          </w:p>
        </w:tc>
      </w:tr>
    </w:tbl>
    <w:p w14:paraId="393CB0B5"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Calibri" w:eastAsia="Calibri" w:hAnsi="Calibri" w:cs="Times New Roman"/>
          <w:b/>
          <w:kern w:val="3"/>
          <w:sz w:val="26"/>
          <w:lang w:eastAsia="en-US"/>
          <w14:ligatures w14:val="none"/>
        </w:rPr>
        <w:t>↓</w:t>
      </w:r>
    </w:p>
    <w:tbl>
      <w:tblPr>
        <w:tblW w:w="10652" w:type="dxa"/>
        <w:jc w:val="center"/>
        <w:tblLayout w:type="fixed"/>
        <w:tblCellMar>
          <w:left w:w="10" w:type="dxa"/>
          <w:right w:w="10" w:type="dxa"/>
        </w:tblCellMar>
        <w:tblLook w:val="04A0" w:firstRow="1" w:lastRow="0" w:firstColumn="1" w:lastColumn="0" w:noHBand="0" w:noVBand="1"/>
      </w:tblPr>
      <w:tblGrid>
        <w:gridCol w:w="10652"/>
      </w:tblGrid>
      <w:tr w:rsidR="00FE5460" w:rsidRPr="00FE5460" w14:paraId="7529E9EA" w14:textId="77777777" w:rsidTr="00CD4F87">
        <w:trPr>
          <w:jc w:val="center"/>
        </w:trPr>
        <w:tc>
          <w:tcPr>
            <w:tcW w:w="10652" w:type="dxa"/>
            <w:tcBorders>
              <w:top w:val="single" w:sz="8" w:space="0" w:color="000000"/>
              <w:left w:val="single" w:sz="8" w:space="0" w:color="000000"/>
              <w:bottom w:val="single" w:sz="8" w:space="0" w:color="000000"/>
              <w:right w:val="single" w:sz="8" w:space="0" w:color="000000"/>
            </w:tcBorders>
            <w:shd w:val="clear" w:color="auto" w:fill="F7CAAC"/>
            <w:tcMar>
              <w:top w:w="100" w:type="dxa"/>
              <w:left w:w="100" w:type="dxa"/>
              <w:bottom w:w="100" w:type="dxa"/>
              <w:right w:w="100" w:type="dxa"/>
            </w:tcMar>
            <w:vAlign w:val="center"/>
          </w:tcPr>
          <w:p w14:paraId="6853E29F" w14:textId="77777777" w:rsidR="00FE5460" w:rsidRPr="00FE5460" w:rsidRDefault="00FE5460" w:rsidP="00FE5460">
            <w:pPr>
              <w:suppressAutoHyphens/>
              <w:autoSpaceDN w:val="0"/>
              <w:spacing w:after="0" w:line="256" w:lineRule="auto"/>
              <w:jc w:val="center"/>
              <w:rPr>
                <w:rFonts w:ascii="Calibri" w:eastAsia="Calibri" w:hAnsi="Calibri" w:cs="Times New Roman"/>
                <w:kern w:val="3"/>
                <w:lang w:eastAsia="en-US"/>
                <w14:ligatures w14:val="none"/>
              </w:rPr>
            </w:pPr>
            <w:r w:rsidRPr="00FE5460">
              <w:rPr>
                <w:rFonts w:ascii="Arial" w:eastAsia="Calibri" w:hAnsi="Arial" w:cs="Times New Roman"/>
                <w:b/>
                <w:kern w:val="3"/>
                <w:sz w:val="18"/>
                <w:lang w:eastAsia="en-US"/>
                <w14:ligatures w14:val="none"/>
              </w:rPr>
              <w:t>Studies included in review</w:t>
            </w:r>
            <w:r w:rsidRPr="00FE5460">
              <w:rPr>
                <w:rFonts w:ascii="Arial" w:eastAsia="Calibri" w:hAnsi="Arial" w:cs="Times New Roman"/>
                <w:b/>
                <w:kern w:val="3"/>
                <w:sz w:val="18"/>
                <w:lang w:eastAsia="en-US"/>
                <w14:ligatures w14:val="none"/>
              </w:rPr>
              <w:br/>
              <w:t>(n = 11)</w:t>
            </w:r>
            <w:r w:rsidRPr="00FE5460">
              <w:rPr>
                <w:rFonts w:ascii="Arial" w:eastAsia="Calibri" w:hAnsi="Arial" w:cs="Times New Roman"/>
                <w:b/>
                <w:kern w:val="3"/>
                <w:sz w:val="18"/>
                <w:lang w:eastAsia="en-US"/>
                <w14:ligatures w14:val="none"/>
              </w:rPr>
              <w:br/>
            </w:r>
            <w:r w:rsidRPr="00FE5460">
              <w:rPr>
                <w:rFonts w:ascii="Arial" w:eastAsia="Calibri" w:hAnsi="Arial" w:cs="Times New Roman"/>
                <w:b/>
                <w:kern w:val="3"/>
                <w:sz w:val="18"/>
                <w:lang w:eastAsia="en-US"/>
                <w14:ligatures w14:val="none"/>
              </w:rPr>
              <w:br/>
              <w:t>Reports of included studies</w:t>
            </w:r>
            <w:r w:rsidRPr="00FE5460">
              <w:rPr>
                <w:rFonts w:ascii="Arial" w:eastAsia="Calibri" w:hAnsi="Arial" w:cs="Times New Roman"/>
                <w:b/>
                <w:kern w:val="3"/>
                <w:sz w:val="18"/>
                <w:lang w:eastAsia="en-US"/>
                <w14:ligatures w14:val="none"/>
              </w:rPr>
              <w:br/>
              <w:t>(n = 11)</w:t>
            </w:r>
          </w:p>
        </w:tc>
      </w:tr>
    </w:tbl>
    <w:p w14:paraId="63FFB562" w14:textId="77777777" w:rsidR="00FE5460" w:rsidRPr="00FE5460" w:rsidRDefault="00FE5460" w:rsidP="00FE5460">
      <w:pPr>
        <w:suppressAutoHyphens/>
        <w:autoSpaceDN w:val="0"/>
        <w:spacing w:before="120" w:after="20" w:line="256" w:lineRule="auto"/>
        <w:rPr>
          <w:rFonts w:ascii="Calibri" w:eastAsia="Calibri" w:hAnsi="Calibri" w:cs="Times New Roman"/>
          <w:kern w:val="3"/>
          <w:sz w:val="16"/>
          <w:lang w:eastAsia="en-US"/>
          <w14:ligatures w14:val="none"/>
        </w:rPr>
      </w:pPr>
      <w:r w:rsidRPr="00FE5460">
        <w:rPr>
          <w:rFonts w:ascii="Calibri" w:eastAsia="Calibri" w:hAnsi="Calibri" w:cs="Times New Roman"/>
          <w:kern w:val="3"/>
          <w:sz w:val="16"/>
          <w:lang w:eastAsia="en-US"/>
          <w14:ligatures w14:val="none"/>
        </w:rPr>
        <w:t xml:space="preserve"> Databases searched from inception to May 2025.</w:t>
      </w:r>
    </w:p>
    <w:p w14:paraId="63DE68B6" w14:textId="77777777" w:rsidR="00FE5460" w:rsidRPr="00FE5460" w:rsidRDefault="00FE5460" w:rsidP="00FE5460">
      <w:pPr>
        <w:suppressAutoHyphens/>
        <w:autoSpaceDN w:val="0"/>
        <w:spacing w:before="120" w:after="20" w:line="256" w:lineRule="auto"/>
        <w:rPr>
          <w:rFonts w:ascii="Calibri" w:eastAsia="Calibri" w:hAnsi="Calibri" w:cs="Times New Roman"/>
          <w:kern w:val="3"/>
          <w:sz w:val="16"/>
          <w:lang w:eastAsia="en-US"/>
          <w14:ligatures w14:val="none"/>
        </w:rPr>
      </w:pPr>
    </w:p>
    <w:p w14:paraId="4EA57DD5" w14:textId="77777777" w:rsidR="00FE5460" w:rsidRDefault="00FE5460">
      <w:pPr>
        <w:spacing w:after="158"/>
        <w:rPr>
          <w:rFonts w:asciiTheme="minorBidi" w:eastAsia="Calibri" w:hAnsiTheme="minorBidi"/>
        </w:rPr>
      </w:pPr>
    </w:p>
    <w:p w14:paraId="525B6EA8" w14:textId="77777777" w:rsidR="00FE5460" w:rsidRPr="007F1C8A" w:rsidRDefault="00FE5460">
      <w:pPr>
        <w:spacing w:after="158"/>
        <w:rPr>
          <w:rFonts w:asciiTheme="minorBidi" w:hAnsiTheme="minorBidi"/>
        </w:rPr>
      </w:pPr>
    </w:p>
    <w:p w14:paraId="50EFB39F"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6CAB32E" w14:textId="49219D94" w:rsidR="009F64C5" w:rsidRPr="000F1C63" w:rsidRDefault="009F64C5" w:rsidP="000F1C63">
      <w:pPr>
        <w:pStyle w:val="Heading1"/>
        <w:rPr>
          <w:rFonts w:ascii="Arial" w:hAnsi="Arial" w:cs="Arial"/>
        </w:rPr>
      </w:pPr>
      <w:r w:rsidRPr="007F1C8A">
        <w:rPr>
          <w:rFonts w:eastAsia="Calibri"/>
        </w:rPr>
        <w:lastRenderedPageBreak/>
        <w:t xml:space="preserve"> </w:t>
      </w:r>
      <w:bookmarkStart w:id="150" w:name="_Toc240143339"/>
      <w:r w:rsidR="000F1C63" w:rsidRPr="000F1C63">
        <w:rPr>
          <w:rFonts w:ascii="Arial" w:eastAsia="Calibri" w:hAnsi="Arial" w:cs="Arial"/>
        </w:rPr>
        <w:t>Appendix 4: CASP Quality Appraisal</w:t>
      </w:r>
      <w:bookmarkEnd w:id="150"/>
    </w:p>
    <w:p w14:paraId="7948AC12" w14:textId="2DB37EAC" w:rsidR="009F64C5" w:rsidRPr="000F1C63" w:rsidRDefault="000F1C63" w:rsidP="000F1C63">
      <w:pPr>
        <w:spacing w:after="158" w:line="360" w:lineRule="auto"/>
        <w:rPr>
          <w:rFonts w:ascii="Arial" w:hAnsi="Arial" w:cs="Arial"/>
        </w:rPr>
      </w:pPr>
      <w:r w:rsidRPr="000F1C63">
        <w:rPr>
          <w:rFonts w:ascii="Arial" w:eastAsia="Calibri" w:hAnsi="Arial" w:cs="Arial"/>
        </w:rPr>
        <w:t>This appendix presents the CASP quality appraisal of the studies included in the systematic review. The Critical Appraisal Skills Programme (CASP) Qualitative Checklist was used to assess the methodological quality and credibility of the included studies.</w:t>
      </w:r>
      <w:r w:rsidR="009F64C5" w:rsidRPr="000F1C63">
        <w:rPr>
          <w:rFonts w:ascii="Arial" w:eastAsia="Calibri" w:hAnsi="Arial" w:cs="Arial"/>
        </w:rPr>
        <w:t xml:space="preserve"> </w:t>
      </w:r>
    </w:p>
    <w:p w14:paraId="73FE2FDD"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2AA47043" w14:textId="77777777" w:rsidR="000F1C63" w:rsidRPr="007F1C8A" w:rsidRDefault="009F64C5">
      <w:pPr>
        <w:spacing w:after="158"/>
        <w:rPr>
          <w:rFonts w:asciiTheme="minorBidi" w:hAnsiTheme="minorBidi"/>
        </w:rPr>
      </w:pPr>
      <w:r w:rsidRPr="007F1C8A">
        <w:rPr>
          <w:rFonts w:asciiTheme="minorBidi" w:eastAsia="Calibri" w:hAnsiTheme="minorBidi"/>
        </w:rPr>
        <w:t xml:space="preserve"> </w:t>
      </w:r>
    </w:p>
    <w:tbl>
      <w:tblPr>
        <w:tblW w:w="5849" w:type="pct"/>
        <w:tblInd w:w="-714" w:type="dxa"/>
        <w:tblCellMar>
          <w:left w:w="10" w:type="dxa"/>
          <w:right w:w="10" w:type="dxa"/>
        </w:tblCellMar>
        <w:tblLook w:val="04A0" w:firstRow="1" w:lastRow="0" w:firstColumn="1" w:lastColumn="0" w:noHBand="0" w:noVBand="1"/>
      </w:tblPr>
      <w:tblGrid>
        <w:gridCol w:w="1711"/>
        <w:gridCol w:w="804"/>
        <w:gridCol w:w="1696"/>
        <w:gridCol w:w="1591"/>
        <w:gridCol w:w="1317"/>
        <w:gridCol w:w="922"/>
        <w:gridCol w:w="1167"/>
        <w:gridCol w:w="1339"/>
      </w:tblGrid>
      <w:tr w:rsidR="000F1C63" w14:paraId="1304B724"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37C0E"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Study</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AE407"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Clear aims</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AAA34"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Appropriate methodology</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03AAC"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Recruitment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7B1A6"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Data collection</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70CFD"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Ethics</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A1E08"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Valuable findings</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EBD66" w14:textId="77777777" w:rsidR="000F1C63" w:rsidRDefault="000F1C63" w:rsidP="00CD4F87">
            <w:pPr>
              <w:spacing w:after="0" w:line="360" w:lineRule="auto"/>
              <w:rPr>
                <w:rFonts w:ascii="Arial" w:eastAsia="Times New Roman" w:hAnsi="Arial" w:cs="Arial"/>
                <w:b/>
                <w:bCs/>
                <w:kern w:val="0"/>
                <w:lang w:eastAsia="en-GB"/>
              </w:rPr>
            </w:pPr>
            <w:r>
              <w:rPr>
                <w:rFonts w:ascii="Arial" w:eastAsia="Times New Roman" w:hAnsi="Arial" w:cs="Arial"/>
                <w:b/>
                <w:bCs/>
                <w:kern w:val="0"/>
                <w:lang w:eastAsia="en-GB"/>
              </w:rPr>
              <w:t>Overall quality</w:t>
            </w:r>
          </w:p>
        </w:tc>
      </w:tr>
      <w:tr w:rsidR="000F1C63" w14:paraId="2F489BCE" w14:textId="77777777" w:rsidTr="00CD4F87">
        <w:trPr>
          <w:trHeight w:val="572"/>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2A5B0"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Chadwick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B20F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C56E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EDE7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87EE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7A16D3"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A767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09172"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5903D773"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DFC10" w14:textId="77777777" w:rsidR="000F1C63" w:rsidRDefault="000F1C63" w:rsidP="00CD4F87">
            <w:pPr>
              <w:spacing w:after="0" w:line="360" w:lineRule="auto"/>
              <w:rPr>
                <w:rFonts w:ascii="Arial" w:eastAsia="Times New Roman" w:hAnsi="Arial" w:cs="Arial"/>
                <w:kern w:val="0"/>
                <w:lang w:eastAsia="en-GB"/>
              </w:rPr>
            </w:pPr>
            <w:proofErr w:type="spellStart"/>
            <w:r>
              <w:rPr>
                <w:rFonts w:ascii="Arial" w:eastAsia="Times New Roman" w:hAnsi="Arial" w:cs="Arial"/>
                <w:kern w:val="0"/>
                <w:lang w:eastAsia="en-GB"/>
              </w:rPr>
              <w:t>Rousaki</w:t>
            </w:r>
            <w:proofErr w:type="spellEnd"/>
            <w:r>
              <w:rPr>
                <w:rFonts w:ascii="Arial" w:eastAsia="Times New Roman" w:hAnsi="Arial" w:cs="Arial"/>
                <w:kern w:val="0"/>
                <w:lang w:eastAsia="en-GB"/>
              </w:rPr>
              <w:t xml:space="preserve">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BBD9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42FA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4FA8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CC7BD"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799AA"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3F0046"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FA5E64"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5774069C"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D4EAB"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Money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F9B3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23D16"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E3FFF"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9ECA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8CCC3"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425B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6AA68"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26D7E852"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E7CAB"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Wanless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1787A"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7975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E4B4" w14:textId="77777777" w:rsidR="000F1C63" w:rsidRDefault="000F1C63" w:rsidP="00CD4F87">
            <w:pPr>
              <w:spacing w:after="0" w:line="360" w:lineRule="auto"/>
            </w:pPr>
            <w:r>
              <w:rPr>
                <w:rFonts w:ascii="Segoe UI Symbol" w:eastAsia="Times New Roman" w:hAnsi="Segoe UI Symbol" w:cs="Segoe UI Symbol"/>
                <w:kern w:val="0"/>
                <w:lang w:eastAsia="en-GB"/>
              </w:rPr>
              <w:t>Can not tell</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6A4E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1381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296A9"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AC156"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07C90B43"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850BB"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Poduval et al. (2025)</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3DDF9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76C89"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BA4F3"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3EEA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801A5"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3E385"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C3137"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530D7F19"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C1BB9E"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Husain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771A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07BB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7307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A166D"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B0FF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1462F"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E5AC8"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0446EC76" w14:textId="77777777" w:rsidTr="00CD4F87">
        <w:trPr>
          <w:trHeight w:val="572"/>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1D71F"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Husain &amp; Greenhalgh (2025)</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68F76"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A7B7B"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000D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BC115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11D8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069A5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C9EDA"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6ABF9D1A"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A277C"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Clohessy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F997DD"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3CEA1"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ACC0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31F8F"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EE8F1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311AF"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A3B3F"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40CEA0BA" w14:textId="77777777" w:rsidTr="00CD4F87">
        <w:trPr>
          <w:trHeight w:val="378"/>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AD7A5"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Ahmed et al. (2024)</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FAFAE"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37EC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36699"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3A7F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E9068"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6C71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17B94"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r w:rsidR="000F1C63" w14:paraId="78AD4B9D" w14:textId="77777777" w:rsidTr="00CD4F87">
        <w:trPr>
          <w:trHeight w:val="572"/>
        </w:trPr>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8CFBE"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 xml:space="preserve">Wang &amp; Hinojosa (2026) </w:t>
            </w:r>
          </w:p>
        </w:tc>
        <w:tc>
          <w:tcPr>
            <w:tcW w:w="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69380"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5696C"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A187E" w14:textId="77777777" w:rsidR="000F1C63" w:rsidRDefault="000F1C63" w:rsidP="00CD4F87">
            <w:pPr>
              <w:spacing w:after="0" w:line="360" w:lineRule="auto"/>
            </w:pPr>
            <w:r>
              <w:rPr>
                <w:rFonts w:ascii="Segoe UI Symbol" w:eastAsia="Times New Roman" w:hAnsi="Segoe UI Symbol" w:cs="Segoe UI Symbol"/>
                <w:kern w:val="0"/>
                <w:lang w:eastAsia="en-GB"/>
              </w:rPr>
              <w:t>Can not tell</w:t>
            </w:r>
          </w:p>
        </w:tc>
        <w:tc>
          <w:tcPr>
            <w:tcW w:w="13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A85D3"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CA047"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DBF92" w14:textId="77777777" w:rsidR="000F1C63" w:rsidRDefault="000F1C63" w:rsidP="00CD4F87">
            <w:pPr>
              <w:spacing w:after="0" w:line="360" w:lineRule="auto"/>
            </w:pPr>
            <w:r>
              <w:rPr>
                <w:rFonts w:ascii="Segoe UI Symbol" w:eastAsia="Times New Roman" w:hAnsi="Segoe UI Symbol" w:cs="Segoe UI Symbol"/>
                <w:kern w:val="0"/>
                <w:lang w:eastAsia="en-GB"/>
              </w:rPr>
              <w:t>✓</w:t>
            </w:r>
          </w:p>
        </w:tc>
        <w:tc>
          <w:tcPr>
            <w:tcW w:w="13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B46F1" w14:textId="77777777" w:rsidR="000F1C63" w:rsidRDefault="000F1C63" w:rsidP="00CD4F87">
            <w:pPr>
              <w:spacing w:after="0" w:line="360" w:lineRule="auto"/>
              <w:rPr>
                <w:rFonts w:ascii="Arial" w:eastAsia="Times New Roman" w:hAnsi="Arial" w:cs="Arial"/>
                <w:kern w:val="0"/>
                <w:lang w:eastAsia="en-GB"/>
              </w:rPr>
            </w:pPr>
            <w:r>
              <w:rPr>
                <w:rFonts w:ascii="Arial" w:eastAsia="Times New Roman" w:hAnsi="Arial" w:cs="Arial"/>
                <w:kern w:val="0"/>
                <w:lang w:eastAsia="en-GB"/>
              </w:rPr>
              <w:t>High</w:t>
            </w:r>
          </w:p>
        </w:tc>
      </w:tr>
    </w:tbl>
    <w:p w14:paraId="797F1EE7" w14:textId="3FF4BA86" w:rsidR="009F64C5" w:rsidRPr="007F1C8A" w:rsidRDefault="009F64C5">
      <w:pPr>
        <w:spacing w:after="158"/>
        <w:rPr>
          <w:rFonts w:asciiTheme="minorBidi" w:hAnsiTheme="minorBidi"/>
        </w:rPr>
      </w:pPr>
    </w:p>
    <w:p w14:paraId="1CD17A3B"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2B4AFC15"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76B57284"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29F71755"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0746E895" w14:textId="6F7116D4" w:rsidR="009F64C5" w:rsidRDefault="009F64C5" w:rsidP="000F1C63">
      <w:pPr>
        <w:pStyle w:val="Heading1"/>
        <w:rPr>
          <w:rFonts w:ascii="Arial" w:eastAsia="Calibri" w:hAnsi="Arial" w:cs="Arial"/>
        </w:rPr>
      </w:pPr>
      <w:r w:rsidRPr="000F1C63">
        <w:rPr>
          <w:rFonts w:ascii="Arial" w:eastAsia="Calibri" w:hAnsi="Arial" w:cs="Arial"/>
        </w:rPr>
        <w:lastRenderedPageBreak/>
        <w:t xml:space="preserve"> </w:t>
      </w:r>
      <w:bookmarkStart w:id="151" w:name="_Toc240143340"/>
      <w:r w:rsidR="000F1C63" w:rsidRPr="000F1C63">
        <w:rPr>
          <w:rFonts w:ascii="Arial" w:eastAsia="Calibri" w:hAnsi="Arial" w:cs="Arial"/>
        </w:rPr>
        <w:t>Appendix 5: Characteristics of the Included Studies</w:t>
      </w:r>
      <w:bookmarkEnd w:id="151"/>
    </w:p>
    <w:p w14:paraId="7CBA496A" w14:textId="77777777" w:rsidR="000F1C63" w:rsidRPr="000F1C63" w:rsidRDefault="000F1C63" w:rsidP="000F1C63"/>
    <w:p w14:paraId="4655414B" w14:textId="12690554" w:rsidR="009F64C5" w:rsidRPr="000F1C63" w:rsidRDefault="009F64C5" w:rsidP="000F1C63">
      <w:pPr>
        <w:spacing w:line="360" w:lineRule="auto"/>
        <w:jc w:val="both"/>
        <w:rPr>
          <w:rFonts w:ascii="Arial" w:hAnsi="Arial" w:cs="Arial"/>
        </w:rPr>
      </w:pPr>
      <w:r w:rsidRPr="000F1C63">
        <w:rPr>
          <w:rFonts w:ascii="Arial" w:eastAsia="Calibri" w:hAnsi="Arial" w:cs="Arial"/>
        </w:rPr>
        <w:t xml:space="preserve"> </w:t>
      </w:r>
      <w:r w:rsidR="000F1C63" w:rsidRPr="000F1C63">
        <w:rPr>
          <w:rFonts w:ascii="Arial" w:eastAsia="Calibri" w:hAnsi="Arial" w:cs="Arial"/>
        </w:rPr>
        <w:t>This appendix presents the characteristics of the 11 studies included in the systematic review, including details of the authors, study aims, participants, study design and key findings relevant to digital exclusion and access to public health and social care services.</w:t>
      </w:r>
    </w:p>
    <w:p w14:paraId="7B3698B5" w14:textId="2C5D373A" w:rsidR="000F1C63" w:rsidRPr="007F1C8A" w:rsidRDefault="009F64C5">
      <w:pPr>
        <w:spacing w:after="158"/>
        <w:rPr>
          <w:rFonts w:asciiTheme="minorBidi" w:hAnsiTheme="minorBidi"/>
        </w:rPr>
      </w:pPr>
      <w:r w:rsidRPr="007F1C8A">
        <w:rPr>
          <w:rFonts w:asciiTheme="minorBidi" w:eastAsia="Calibri" w:hAnsiTheme="minorBidi"/>
        </w:rPr>
        <w:t xml:space="preserve"> </w:t>
      </w:r>
    </w:p>
    <w:tbl>
      <w:tblPr>
        <w:tblW w:w="10207" w:type="dxa"/>
        <w:tblInd w:w="-998" w:type="dxa"/>
        <w:tblLayout w:type="fixed"/>
        <w:tblCellMar>
          <w:left w:w="10" w:type="dxa"/>
          <w:right w:w="10" w:type="dxa"/>
        </w:tblCellMar>
        <w:tblLook w:val="04A0" w:firstRow="1" w:lastRow="0" w:firstColumn="1" w:lastColumn="0" w:noHBand="0" w:noVBand="1"/>
      </w:tblPr>
      <w:tblGrid>
        <w:gridCol w:w="1419"/>
        <w:gridCol w:w="1701"/>
        <w:gridCol w:w="2551"/>
        <w:gridCol w:w="1418"/>
        <w:gridCol w:w="3118"/>
      </w:tblGrid>
      <w:tr w:rsidR="000F1C63" w14:paraId="2B90AB5E"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D48D1"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Author/Year</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F7DDF"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Setting / Population</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FCCF45"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Aim</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85C2F"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Design / Data Collection</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57A47" w14:textId="77777777" w:rsidR="000F1C63" w:rsidRDefault="000F1C63" w:rsidP="00CD4F87">
            <w:pPr>
              <w:spacing w:after="0" w:line="240" w:lineRule="auto"/>
              <w:jc w:val="center"/>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Key findings relevant to this review</w:t>
            </w:r>
          </w:p>
        </w:tc>
      </w:tr>
      <w:tr w:rsidR="000F1C63" w14:paraId="5999A44F"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B0A1D" w14:textId="77777777" w:rsidR="000F1C63" w:rsidRDefault="000F1C63" w:rsidP="00CD4F87">
            <w:pPr>
              <w:spacing w:after="0" w:line="240" w:lineRule="auto"/>
            </w:pPr>
            <w:r>
              <w:rPr>
                <w:rFonts w:ascii="Arial" w:eastAsia="Times New Roman" w:hAnsi="Arial" w:cs="Arial"/>
                <w:b/>
                <w:bCs/>
                <w:kern w:val="0"/>
                <w:sz w:val="24"/>
                <w:szCs w:val="24"/>
                <w:lang w:eastAsia="en-GB"/>
              </w:rPr>
              <w:t>Chadwick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FF9FE"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people aged ≥70 and/or living in socially deprived areas; 28 participants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637A0"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factors influencing engagement with digital health technologies among people at the intersection of older age and social deprivation.</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0D15C"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semi-structured interviews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CA74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Limited opportunities to develop digital skills, inadequate support, age-related norms, anxiety, distrust and limited perceived benefit reduced digital engagement.</w:t>
            </w:r>
          </w:p>
        </w:tc>
      </w:tr>
      <w:tr w:rsidR="000F1C63" w14:paraId="184F5234"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144FC" w14:textId="77777777" w:rsidR="000F1C63" w:rsidRDefault="000F1C63" w:rsidP="00CD4F87">
            <w:pPr>
              <w:spacing w:after="0" w:line="240" w:lineRule="auto"/>
            </w:pPr>
            <w:proofErr w:type="spellStart"/>
            <w:r>
              <w:rPr>
                <w:rFonts w:ascii="Arial" w:eastAsia="Times New Roman" w:hAnsi="Arial" w:cs="Arial"/>
                <w:b/>
                <w:bCs/>
                <w:kern w:val="0"/>
                <w:sz w:val="24"/>
                <w:szCs w:val="24"/>
                <w:lang w:eastAsia="en-GB"/>
              </w:rPr>
              <w:t>Rousaki</w:t>
            </w:r>
            <w:proofErr w:type="spellEnd"/>
            <w:r>
              <w:rPr>
                <w:rFonts w:ascii="Arial" w:eastAsia="Times New Roman" w:hAnsi="Arial" w:cs="Arial"/>
                <w:b/>
                <w:bCs/>
                <w:kern w:val="0"/>
                <w:sz w:val="24"/>
                <w:szCs w:val="24"/>
                <w:lang w:eastAsia="en-GB"/>
              </w:rPr>
              <w:t xml:space="preserve">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07307"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England; older unpaid carers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9BA92"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Examine the implications of digitalisation of social care for older unpaid carers.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87438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study</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5D59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 xml:space="preserve">Digitalisation could facilitate care but also created challenges for older carers, particularly where digital systems did not adequately reflect carers' circumstances and support needs. </w:t>
            </w:r>
          </w:p>
        </w:tc>
      </w:tr>
      <w:tr w:rsidR="000F1C63" w14:paraId="2BDCC133"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15AA6" w14:textId="77777777" w:rsidR="000F1C63" w:rsidRDefault="000F1C63" w:rsidP="00CD4F87">
            <w:pPr>
              <w:spacing w:after="0" w:line="240" w:lineRule="auto"/>
            </w:pPr>
            <w:r>
              <w:rPr>
                <w:rFonts w:ascii="Arial" w:eastAsia="Times New Roman" w:hAnsi="Arial" w:cs="Arial"/>
                <w:b/>
                <w:bCs/>
                <w:kern w:val="0"/>
                <w:sz w:val="24"/>
                <w:szCs w:val="24"/>
                <w:lang w:eastAsia="en-GB"/>
              </w:rPr>
              <w:t>Money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F7044"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Greater Manchester; 24 adults aged ≥75 plus 2 support workers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2B1F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older adults' views and experiences of accessing public services digitally</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386E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Semi-structured qualitative interviews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B7B7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Digital engagement was influenced by motivation, restricted online activity, generational perceptions and accessibility/support. Some participants deliberately maintained offline activities, including visits to GP surgeries.</w:t>
            </w:r>
          </w:p>
        </w:tc>
      </w:tr>
      <w:tr w:rsidR="000F1C63" w14:paraId="4C5DE45A"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C9F1D" w14:textId="77777777" w:rsidR="000F1C63" w:rsidRDefault="000F1C63" w:rsidP="00CD4F87">
            <w:pPr>
              <w:spacing w:after="0" w:line="240" w:lineRule="auto"/>
            </w:pPr>
            <w:r>
              <w:rPr>
                <w:rFonts w:ascii="Arial" w:eastAsia="Times New Roman" w:hAnsi="Arial" w:cs="Arial"/>
                <w:b/>
                <w:bCs/>
                <w:kern w:val="0"/>
                <w:sz w:val="24"/>
                <w:szCs w:val="24"/>
                <w:lang w:eastAsia="en-GB"/>
              </w:rPr>
              <w:t>Wanless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0F05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London, UK; populations at risk of digital exclusion using a digital musculoskeletal self-management service</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319E36"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Examine inclusion when delivering a digital musculoskeletal self-management solution.</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F5E9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Service/inclusion evaluation</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C08E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 xml:space="preserve">Identified inclusion considerations affecting equitable engagement with a digital musculoskeletal self-management service. </w:t>
            </w:r>
          </w:p>
        </w:tc>
      </w:tr>
      <w:tr w:rsidR="000F1C63" w14:paraId="4C21C3CD"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E1C26" w14:textId="77777777" w:rsidR="000F1C63" w:rsidRDefault="000F1C63" w:rsidP="00CD4F87">
            <w:pPr>
              <w:spacing w:after="0" w:line="240" w:lineRule="auto"/>
            </w:pPr>
            <w:r>
              <w:rPr>
                <w:rFonts w:ascii="Arial" w:eastAsia="Times New Roman" w:hAnsi="Arial" w:cs="Arial"/>
                <w:b/>
                <w:bCs/>
                <w:kern w:val="0"/>
                <w:sz w:val="24"/>
                <w:szCs w:val="24"/>
                <w:lang w:eastAsia="en-GB"/>
              </w:rPr>
              <w:lastRenderedPageBreak/>
              <w:t>Poduval et al. (2025)</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AB446"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North of England; disadvantaged groups engaging with community Digital Health Hubs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2AC6E"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whether and how a city-wide digital inclusion programme contributes to reducing health inequalities.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DF158"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study of a city-wide programme</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0A0B2"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Digital exclusion involved interconnected problems of skills, access, confidence, trust and motivation. Community-based support was examined as a mechanism for improving digital health inclusion.</w:t>
            </w:r>
          </w:p>
        </w:tc>
      </w:tr>
      <w:tr w:rsidR="000F1C63" w14:paraId="4CE81D0C"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1621E" w14:textId="77777777" w:rsidR="000F1C63" w:rsidRDefault="000F1C63" w:rsidP="00CD4F87">
            <w:pPr>
              <w:spacing w:after="0" w:line="240" w:lineRule="auto"/>
            </w:pPr>
            <w:r>
              <w:rPr>
                <w:rFonts w:ascii="Arial" w:eastAsia="Times New Roman" w:hAnsi="Arial" w:cs="Arial"/>
                <w:b/>
                <w:bCs/>
                <w:kern w:val="0"/>
                <w:sz w:val="24"/>
                <w:szCs w:val="24"/>
                <w:lang w:eastAsia="en-GB"/>
              </w:rPr>
              <w:t>Husain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FE0027"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marginalised older patients experiencing intersecting dimensions of disadvantage</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8972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intersecting dimensions of disadvantage affecting older patients and develop user personas.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ACB6B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study</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E9B597"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Demonstrated that digital disadvantage should not be understood solely by age; intersecting social, linguistic, and socioeconomic circumstances shape engagement with digital health services.</w:t>
            </w:r>
          </w:p>
        </w:tc>
      </w:tr>
      <w:tr w:rsidR="000F1C63" w14:paraId="180DB9A5"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F423A" w14:textId="77777777" w:rsidR="000F1C63" w:rsidRDefault="000F1C63" w:rsidP="00CD4F87">
            <w:pPr>
              <w:spacing w:after="0" w:line="240" w:lineRule="auto"/>
            </w:pPr>
            <w:r>
              <w:rPr>
                <w:rFonts w:ascii="Arial" w:eastAsia="Times New Roman" w:hAnsi="Arial" w:cs="Arial"/>
                <w:b/>
                <w:bCs/>
                <w:kern w:val="0"/>
                <w:sz w:val="24"/>
                <w:szCs w:val="24"/>
                <w:lang w:eastAsia="en-GB"/>
              </w:rPr>
              <w:t>Husain and Greenhalgh (2025)</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CA85B"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disadvantaged older adults with limited English proficiency</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35326"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Examine how older age, limited English proficiency and socioeconomic disadvantage intersect to shape experiences of video consultations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9931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narrative interviews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D1790"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Barriers to video consultation were shaped by intersecting disadvantages rather than age alone, highlighting language, socioeconomic circumstances and digital exclusion.</w:t>
            </w:r>
          </w:p>
        </w:tc>
      </w:tr>
      <w:tr w:rsidR="000F1C63" w14:paraId="4816FD15"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7A99C" w14:textId="77777777" w:rsidR="000F1C63" w:rsidRDefault="000F1C63" w:rsidP="00CD4F87">
            <w:pPr>
              <w:spacing w:after="0" w:line="240" w:lineRule="auto"/>
            </w:pPr>
            <w:r>
              <w:rPr>
                <w:rFonts w:ascii="Arial" w:eastAsia="Times New Roman" w:hAnsi="Arial" w:cs="Arial"/>
                <w:b/>
                <w:bCs/>
                <w:kern w:val="0"/>
                <w:sz w:val="24"/>
                <w:szCs w:val="24"/>
                <w:lang w:eastAsia="en-GB"/>
              </w:rPr>
              <w:t>Clohessy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2A821"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older adults considering digital platforms for musculoskeletal self-management</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8C765"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older adults' perceptions of digital health platforms for self-management of musculoskeletal conditions.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1328"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Qualitative focus groups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9B87A" w14:textId="77777777" w:rsidR="000F1C63" w:rsidRDefault="000F1C63" w:rsidP="00CD4F87">
            <w:pPr>
              <w:spacing w:after="0" w:line="276" w:lineRule="auto"/>
            </w:pPr>
            <w:r>
              <w:rPr>
                <w:rFonts w:ascii="Arial" w:hAnsi="Arial" w:cs="Arial"/>
              </w:rPr>
              <w:t>Acceptance and use were influenced by digital literacy, trust, usability, preference for human contact and perceived benefits of digital platforms.</w:t>
            </w:r>
          </w:p>
        </w:tc>
      </w:tr>
      <w:tr w:rsidR="000F1C63" w14:paraId="44C90C59"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7E386" w14:textId="77777777" w:rsidR="000F1C63" w:rsidRDefault="000F1C63" w:rsidP="00CD4F87">
            <w:pPr>
              <w:spacing w:after="0" w:line="240" w:lineRule="auto"/>
            </w:pPr>
            <w:r>
              <w:rPr>
                <w:rFonts w:ascii="Arial" w:eastAsia="Times New Roman" w:hAnsi="Arial" w:cs="Arial"/>
                <w:b/>
                <w:bCs/>
                <w:kern w:val="0"/>
                <w:sz w:val="24"/>
                <w:szCs w:val="24"/>
                <w:lang w:eastAsia="en-GB"/>
              </w:rPr>
              <w:t>Ahmed et al. (2024)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05DCE"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England/Wales; 27 adults aged &gt;65 from South Asian, Black African and Caribbean backgrounds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B5E4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experiences and views of digitalised primary care following COVID-19.</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DDD88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Four qualitative focus groups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C9DA4F"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Language and digital skills restricted access; some participants relied on family/community support, valued face-to-face care and favoured retaining alternatives to digital access.</w:t>
            </w:r>
          </w:p>
        </w:tc>
      </w:tr>
      <w:tr w:rsidR="000F1C63" w14:paraId="54DA208E"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B91B7" w14:textId="77777777" w:rsidR="000F1C63" w:rsidRDefault="000F1C63" w:rsidP="00CD4F87">
            <w:pPr>
              <w:spacing w:after="0" w:line="240" w:lineRule="auto"/>
            </w:pPr>
            <w:r>
              <w:rPr>
                <w:rFonts w:ascii="Arial" w:eastAsia="Times New Roman" w:hAnsi="Arial" w:cs="Arial"/>
                <w:b/>
                <w:bCs/>
                <w:kern w:val="0"/>
                <w:sz w:val="24"/>
                <w:szCs w:val="24"/>
                <w:lang w:eastAsia="en-GB"/>
              </w:rPr>
              <w:t>Wang and Hinojosa (2026)</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1FC16"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 xml:space="preserve">Southampton, UK; 15 participants including older adults, frontline workers, strategic stakeholders </w:t>
            </w:r>
            <w:r>
              <w:rPr>
                <w:rFonts w:ascii="Arial" w:eastAsia="Times New Roman" w:hAnsi="Arial" w:cs="Arial"/>
                <w:kern w:val="0"/>
                <w:lang w:eastAsia="en-GB"/>
              </w:rPr>
              <w:lastRenderedPageBreak/>
              <w:t>and a family carer</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0B354"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lastRenderedPageBreak/>
              <w:t>Explore barriers to mental-health service use among older adults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C8778"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In-depth qualitative interviews</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5B413"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Structural, organisational and personal barriers intersected to restrict older adults' access to mental-health services.</w:t>
            </w:r>
          </w:p>
        </w:tc>
      </w:tr>
      <w:tr w:rsidR="000F1C63" w14:paraId="6CBA7AD8" w14:textId="77777777" w:rsidTr="00CD4F87">
        <w:tc>
          <w:tcPr>
            <w:tcW w:w="14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FD7E7" w14:textId="77777777" w:rsidR="000F1C63" w:rsidRDefault="000F1C63" w:rsidP="00CD4F87">
            <w:pPr>
              <w:spacing w:after="0" w:line="240" w:lineRule="auto"/>
            </w:pPr>
            <w:r>
              <w:rPr>
                <w:rFonts w:ascii="Arial" w:eastAsia="Times New Roman" w:hAnsi="Arial" w:cs="Arial"/>
                <w:b/>
                <w:bCs/>
                <w:kern w:val="0"/>
                <w:sz w:val="24"/>
                <w:szCs w:val="24"/>
                <w:lang w:eastAsia="en-GB"/>
              </w:rPr>
              <w:t>Paskins et al. (2022)</w:t>
            </w:r>
            <w:r>
              <w:rPr>
                <w:rFonts w:ascii="Arial" w:eastAsia="Times New Roman" w:hAnsi="Arial" w:cs="Arial"/>
                <w:kern w:val="0"/>
                <w:sz w:val="24"/>
                <w:szCs w:val="24"/>
                <w:lang w:eastAsia="en-GB"/>
              </w:rPr>
              <w:t xml:space="preserve">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A9D7A"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UK; older patients with osteoporosis and rheumatoid arthritis</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7FBA8"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Explore acceptability of and preferences for remote consultations during COVID-19</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E2790"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Synthesis of three qualitative studies; interviews/focus-group evidence</w:t>
            </w: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07662" w14:textId="77777777" w:rsidR="000F1C63" w:rsidRDefault="000F1C63" w:rsidP="00CD4F87">
            <w:pPr>
              <w:spacing w:after="0" w:line="276" w:lineRule="auto"/>
              <w:rPr>
                <w:rFonts w:ascii="Arial" w:eastAsia="Times New Roman" w:hAnsi="Arial" w:cs="Arial"/>
                <w:kern w:val="0"/>
                <w:lang w:eastAsia="en-GB"/>
              </w:rPr>
            </w:pPr>
            <w:r>
              <w:rPr>
                <w:rFonts w:ascii="Arial" w:eastAsia="Times New Roman" w:hAnsi="Arial" w:cs="Arial"/>
                <w:kern w:val="0"/>
                <w:lang w:eastAsia="en-GB"/>
              </w:rPr>
              <w:t>Remote consultation preferences varied, demonstrating that digital/remote access could offer convenience while face-to-face care remained important for some older patients.</w:t>
            </w:r>
          </w:p>
        </w:tc>
      </w:tr>
    </w:tbl>
    <w:p w14:paraId="2FB17B75" w14:textId="5A7CA79A" w:rsidR="009F64C5" w:rsidRPr="007F1C8A" w:rsidRDefault="009F64C5">
      <w:pPr>
        <w:spacing w:after="158"/>
        <w:rPr>
          <w:rFonts w:asciiTheme="minorBidi" w:hAnsiTheme="minorBidi"/>
        </w:rPr>
      </w:pPr>
    </w:p>
    <w:p w14:paraId="46DA0AE6"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35E0F9C3"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2DA9060" w14:textId="77777777" w:rsidR="009F64C5" w:rsidRPr="007F1C8A" w:rsidRDefault="009F64C5">
      <w:pPr>
        <w:rPr>
          <w:rFonts w:asciiTheme="minorBidi" w:hAnsiTheme="minorBidi"/>
        </w:rPr>
      </w:pPr>
      <w:r w:rsidRPr="007F1C8A">
        <w:rPr>
          <w:rFonts w:asciiTheme="minorBidi" w:eastAsia="Calibri" w:hAnsiTheme="minorBidi"/>
        </w:rPr>
        <w:t xml:space="preserve"> </w:t>
      </w:r>
    </w:p>
    <w:p w14:paraId="65E160E1" w14:textId="77777777" w:rsidR="009F64C5" w:rsidRPr="007F1C8A" w:rsidRDefault="009F64C5">
      <w:pPr>
        <w:spacing w:after="158"/>
        <w:rPr>
          <w:rFonts w:asciiTheme="minorBidi" w:hAnsiTheme="minorBidi"/>
        </w:rPr>
      </w:pPr>
      <w:r w:rsidRPr="007F1C8A">
        <w:rPr>
          <w:rFonts w:asciiTheme="minorBidi" w:eastAsia="Calibri" w:hAnsiTheme="minorBidi"/>
        </w:rPr>
        <w:t xml:space="preserve"> </w:t>
      </w:r>
    </w:p>
    <w:p w14:paraId="124E85D0" w14:textId="77777777" w:rsidR="009F64C5" w:rsidRPr="007F1C8A" w:rsidRDefault="009F64C5">
      <w:pPr>
        <w:spacing w:after="161"/>
        <w:rPr>
          <w:rFonts w:asciiTheme="minorBidi" w:hAnsiTheme="minorBidi"/>
        </w:rPr>
      </w:pPr>
      <w:r w:rsidRPr="007F1C8A">
        <w:rPr>
          <w:rFonts w:asciiTheme="minorBidi" w:eastAsia="Calibri" w:hAnsiTheme="minorBidi"/>
        </w:rPr>
        <w:t xml:space="preserve"> </w:t>
      </w:r>
    </w:p>
    <w:p w14:paraId="69702984" w14:textId="77777777" w:rsidR="009F64C5" w:rsidRPr="007F1C8A" w:rsidRDefault="009F64C5">
      <w:pPr>
        <w:spacing w:after="172"/>
        <w:rPr>
          <w:rFonts w:asciiTheme="minorBidi" w:hAnsiTheme="minorBidi"/>
        </w:rPr>
      </w:pPr>
      <w:r w:rsidRPr="007F1C8A">
        <w:rPr>
          <w:rFonts w:asciiTheme="minorBidi" w:eastAsia="Calibri" w:hAnsiTheme="minorBidi"/>
        </w:rPr>
        <w:t xml:space="preserve"> </w:t>
      </w:r>
    </w:p>
    <w:p w14:paraId="0EF5AC8F" w14:textId="77777777" w:rsidR="009F64C5" w:rsidRDefault="009F64C5" w:rsidP="009706D0">
      <w:pPr>
        <w:spacing w:after="0"/>
        <w:rPr>
          <w:rFonts w:asciiTheme="minorBidi" w:hAnsiTheme="minorBidi"/>
        </w:rPr>
      </w:pPr>
      <w:r w:rsidRPr="007F1C8A">
        <w:rPr>
          <w:rFonts w:asciiTheme="minorBidi" w:hAnsiTheme="minorBidi"/>
        </w:rPr>
        <w:t xml:space="preserve">  </w:t>
      </w:r>
    </w:p>
    <w:p w14:paraId="2DB58052" w14:textId="77777777" w:rsidR="000F1C63" w:rsidRDefault="000F1C63" w:rsidP="009706D0">
      <w:pPr>
        <w:spacing w:after="0"/>
        <w:rPr>
          <w:rFonts w:asciiTheme="minorBidi" w:hAnsiTheme="minorBidi"/>
        </w:rPr>
      </w:pPr>
    </w:p>
    <w:p w14:paraId="0F831FCC" w14:textId="77777777" w:rsidR="000F1C63" w:rsidRDefault="000F1C63" w:rsidP="009706D0">
      <w:pPr>
        <w:spacing w:after="0"/>
        <w:rPr>
          <w:rFonts w:asciiTheme="minorBidi" w:hAnsiTheme="minorBidi"/>
        </w:rPr>
      </w:pPr>
    </w:p>
    <w:p w14:paraId="01B66244" w14:textId="77777777" w:rsidR="000F1C63" w:rsidRDefault="000F1C63" w:rsidP="009706D0">
      <w:pPr>
        <w:spacing w:after="0"/>
        <w:rPr>
          <w:rFonts w:asciiTheme="minorBidi" w:hAnsiTheme="minorBidi"/>
        </w:rPr>
      </w:pPr>
    </w:p>
    <w:p w14:paraId="34568185" w14:textId="77777777" w:rsidR="006632DC" w:rsidRDefault="006632DC" w:rsidP="009706D0">
      <w:pPr>
        <w:spacing w:after="0"/>
        <w:rPr>
          <w:rFonts w:asciiTheme="minorBidi" w:hAnsiTheme="minorBidi"/>
        </w:rPr>
      </w:pPr>
    </w:p>
    <w:p w14:paraId="2CEB36AC" w14:textId="77777777" w:rsidR="006632DC" w:rsidRDefault="006632DC" w:rsidP="009706D0">
      <w:pPr>
        <w:spacing w:after="0"/>
        <w:rPr>
          <w:rFonts w:asciiTheme="minorBidi" w:hAnsiTheme="minorBidi"/>
        </w:rPr>
      </w:pPr>
    </w:p>
    <w:p w14:paraId="680857DC" w14:textId="77777777" w:rsidR="006632DC" w:rsidRDefault="006632DC" w:rsidP="009706D0">
      <w:pPr>
        <w:spacing w:after="0"/>
        <w:rPr>
          <w:rFonts w:asciiTheme="minorBidi" w:hAnsiTheme="minorBidi"/>
        </w:rPr>
      </w:pPr>
    </w:p>
    <w:p w14:paraId="09627215" w14:textId="77777777" w:rsidR="006632DC" w:rsidRDefault="006632DC" w:rsidP="009706D0">
      <w:pPr>
        <w:spacing w:after="0"/>
        <w:rPr>
          <w:rFonts w:asciiTheme="minorBidi" w:hAnsiTheme="minorBidi"/>
        </w:rPr>
      </w:pPr>
    </w:p>
    <w:p w14:paraId="0427CB7F" w14:textId="77777777" w:rsidR="006632DC" w:rsidRDefault="006632DC" w:rsidP="009706D0">
      <w:pPr>
        <w:spacing w:after="0"/>
        <w:rPr>
          <w:rFonts w:asciiTheme="minorBidi" w:hAnsiTheme="minorBidi"/>
        </w:rPr>
      </w:pPr>
    </w:p>
    <w:p w14:paraId="453722F3" w14:textId="77777777" w:rsidR="006632DC" w:rsidRDefault="006632DC" w:rsidP="009706D0">
      <w:pPr>
        <w:spacing w:after="0"/>
        <w:rPr>
          <w:rFonts w:asciiTheme="minorBidi" w:hAnsiTheme="minorBidi"/>
        </w:rPr>
      </w:pPr>
    </w:p>
    <w:p w14:paraId="33D214D5" w14:textId="77777777" w:rsidR="006632DC" w:rsidRDefault="006632DC" w:rsidP="009706D0">
      <w:pPr>
        <w:spacing w:after="0"/>
        <w:rPr>
          <w:rFonts w:asciiTheme="minorBidi" w:hAnsiTheme="minorBidi"/>
        </w:rPr>
      </w:pPr>
    </w:p>
    <w:p w14:paraId="550472BD" w14:textId="77777777" w:rsidR="006632DC" w:rsidRDefault="006632DC" w:rsidP="009706D0">
      <w:pPr>
        <w:spacing w:after="0"/>
        <w:rPr>
          <w:rFonts w:asciiTheme="minorBidi" w:hAnsiTheme="minorBidi"/>
        </w:rPr>
      </w:pPr>
    </w:p>
    <w:p w14:paraId="730BF06E" w14:textId="77777777" w:rsidR="000F1C63" w:rsidRDefault="000F1C63" w:rsidP="009706D0">
      <w:pPr>
        <w:spacing w:after="0"/>
        <w:rPr>
          <w:rFonts w:asciiTheme="minorBidi" w:hAnsiTheme="minorBidi"/>
        </w:rPr>
      </w:pPr>
    </w:p>
    <w:p w14:paraId="055F8B72" w14:textId="14C3BE80" w:rsidR="000F1C63" w:rsidRPr="00BE2EA1" w:rsidRDefault="000F1C63" w:rsidP="00BE2EA1">
      <w:pPr>
        <w:pStyle w:val="Heading1"/>
        <w:rPr>
          <w:rFonts w:ascii="Arial" w:hAnsi="Arial" w:cs="Arial"/>
        </w:rPr>
      </w:pPr>
      <w:bookmarkStart w:id="152" w:name="_Toc240143341"/>
      <w:r w:rsidRPr="00BE2EA1">
        <w:rPr>
          <w:rFonts w:ascii="Arial" w:hAnsi="Arial" w:cs="Arial"/>
        </w:rPr>
        <w:t>Appendix 6: Characteristics of Selected Articles</w:t>
      </w:r>
      <w:bookmarkEnd w:id="152"/>
    </w:p>
    <w:p w14:paraId="55649C98" w14:textId="77777777" w:rsidR="000F1C63" w:rsidRDefault="000F1C63" w:rsidP="000F1C63"/>
    <w:p w14:paraId="648C9869" w14:textId="77777777" w:rsidR="000F1C63" w:rsidRPr="000F1C63" w:rsidRDefault="000F1C63" w:rsidP="000F1C63"/>
    <w:p w14:paraId="5BC0B206" w14:textId="5C2500A9" w:rsidR="000F1C63" w:rsidRPr="000F1C63" w:rsidRDefault="000F1C63" w:rsidP="000F1C63">
      <w:pPr>
        <w:spacing w:line="360" w:lineRule="auto"/>
        <w:jc w:val="both"/>
        <w:rPr>
          <w:rFonts w:ascii="Arial" w:hAnsi="Arial" w:cs="Arial"/>
        </w:rPr>
      </w:pPr>
      <w:r w:rsidRPr="006632DC">
        <w:rPr>
          <w:rFonts w:ascii="Arial" w:hAnsi="Arial" w:cs="Arial"/>
        </w:rPr>
        <w:t>This appendix presents the characteristics of the selected articles included in the systematic review, including information on study authors, year, study design, participants, setting and key findings</w:t>
      </w:r>
      <w:r w:rsidRPr="000F1C63">
        <w:t>.</w:t>
      </w:r>
    </w:p>
    <w:p w14:paraId="18897931" w14:textId="77777777" w:rsidR="000F1C63" w:rsidRPr="000F1C63" w:rsidRDefault="000F1C63" w:rsidP="000F1C63"/>
    <w:p w14:paraId="76A4FA2D" w14:textId="77777777" w:rsidR="000F1C63" w:rsidRPr="000F1C63" w:rsidRDefault="000F1C63" w:rsidP="000F1C63"/>
    <w:p w14:paraId="55B9AFB7" w14:textId="77777777" w:rsidR="000F1C63" w:rsidRPr="000F1C63" w:rsidRDefault="000F1C63" w:rsidP="000F1C63"/>
    <w:p w14:paraId="6B0D3A16" w14:textId="77777777" w:rsidR="000F1C63" w:rsidRDefault="000F1C63" w:rsidP="000F1C63"/>
    <w:p w14:paraId="49E3034C" w14:textId="77777777" w:rsidR="000F1C63" w:rsidRDefault="000F1C63" w:rsidP="000F1C63">
      <w:pPr>
        <w:sectPr w:rsidR="000F1C63" w:rsidSect="00B2505E">
          <w:footerReference w:type="even" r:id="rId19"/>
          <w:footerReference w:type="default" r:id="rId20"/>
          <w:footerReference w:type="first" r:id="rId21"/>
          <w:pgSz w:w="11906" w:h="16838"/>
          <w:pgMar w:top="1440" w:right="1440" w:bottom="1440" w:left="1440" w:header="708" w:footer="708" w:gutter="0"/>
          <w:cols w:space="708"/>
          <w:docGrid w:linePitch="360"/>
        </w:sectPr>
      </w:pPr>
    </w:p>
    <w:tbl>
      <w:tblPr>
        <w:tblStyle w:val="TableGrid"/>
        <w:tblW w:w="15143" w:type="dxa"/>
        <w:jc w:val="center"/>
        <w:tblLayout w:type="fixed"/>
        <w:tblLook w:val="04A0" w:firstRow="1" w:lastRow="0" w:firstColumn="1" w:lastColumn="0" w:noHBand="0" w:noVBand="1"/>
      </w:tblPr>
      <w:tblGrid>
        <w:gridCol w:w="708"/>
        <w:gridCol w:w="2694"/>
        <w:gridCol w:w="567"/>
        <w:gridCol w:w="1275"/>
        <w:gridCol w:w="567"/>
        <w:gridCol w:w="1134"/>
        <w:gridCol w:w="887"/>
        <w:gridCol w:w="1587"/>
        <w:gridCol w:w="1779"/>
        <w:gridCol w:w="1134"/>
        <w:gridCol w:w="2811"/>
      </w:tblGrid>
      <w:tr w:rsidR="000F1C63" w:rsidRPr="008C48E9" w14:paraId="250C8D57" w14:textId="77777777" w:rsidTr="00CD4F87">
        <w:trPr>
          <w:cantSplit/>
          <w:tblHeader/>
          <w:jc w:val="center"/>
        </w:trPr>
        <w:tc>
          <w:tcPr>
            <w:tcW w:w="708" w:type="dxa"/>
            <w:shd w:val="clear" w:color="auto" w:fill="FFFFFF"/>
            <w:vAlign w:val="center"/>
          </w:tcPr>
          <w:p w14:paraId="31D5DAE0" w14:textId="77777777" w:rsidR="000F1C63" w:rsidRPr="008C48E9" w:rsidRDefault="000F1C63" w:rsidP="00CD4F87">
            <w:pPr>
              <w:jc w:val="center"/>
              <w:rPr>
                <w:sz w:val="16"/>
                <w:szCs w:val="16"/>
              </w:rPr>
            </w:pPr>
            <w:r w:rsidRPr="008C48E9">
              <w:rPr>
                <w:rFonts w:ascii="Arial" w:hAnsi="Arial"/>
                <w:b/>
                <w:sz w:val="16"/>
                <w:szCs w:val="16"/>
              </w:rPr>
              <w:lastRenderedPageBreak/>
              <w:t>Author</w:t>
            </w:r>
          </w:p>
        </w:tc>
        <w:tc>
          <w:tcPr>
            <w:tcW w:w="2694" w:type="dxa"/>
            <w:shd w:val="clear" w:color="auto" w:fill="FFFFFF"/>
            <w:vAlign w:val="center"/>
          </w:tcPr>
          <w:p w14:paraId="743A92CC" w14:textId="77777777" w:rsidR="000F1C63" w:rsidRPr="008C48E9" w:rsidRDefault="000F1C63" w:rsidP="00CD4F87">
            <w:pPr>
              <w:jc w:val="center"/>
              <w:rPr>
                <w:sz w:val="16"/>
                <w:szCs w:val="16"/>
              </w:rPr>
            </w:pPr>
            <w:r w:rsidRPr="008C48E9">
              <w:rPr>
                <w:rFonts w:ascii="Arial" w:hAnsi="Arial"/>
                <w:b/>
                <w:sz w:val="16"/>
                <w:szCs w:val="16"/>
              </w:rPr>
              <w:t>Title</w:t>
            </w:r>
          </w:p>
        </w:tc>
        <w:tc>
          <w:tcPr>
            <w:tcW w:w="567" w:type="dxa"/>
            <w:shd w:val="clear" w:color="auto" w:fill="FFFFFF"/>
            <w:vAlign w:val="center"/>
          </w:tcPr>
          <w:p w14:paraId="061E8AA2" w14:textId="77777777" w:rsidR="000F1C63" w:rsidRPr="008C48E9" w:rsidRDefault="000F1C63" w:rsidP="00CD4F87">
            <w:pPr>
              <w:jc w:val="center"/>
              <w:rPr>
                <w:sz w:val="16"/>
                <w:szCs w:val="16"/>
              </w:rPr>
            </w:pPr>
            <w:r w:rsidRPr="008C48E9">
              <w:rPr>
                <w:rFonts w:ascii="Arial" w:hAnsi="Arial"/>
                <w:b/>
                <w:sz w:val="16"/>
                <w:szCs w:val="16"/>
              </w:rPr>
              <w:t>Year</w:t>
            </w:r>
          </w:p>
        </w:tc>
        <w:tc>
          <w:tcPr>
            <w:tcW w:w="1275" w:type="dxa"/>
            <w:shd w:val="clear" w:color="auto" w:fill="FFFFFF"/>
            <w:vAlign w:val="center"/>
          </w:tcPr>
          <w:p w14:paraId="5CB91954" w14:textId="77777777" w:rsidR="000F1C63" w:rsidRPr="008C48E9" w:rsidRDefault="000F1C63" w:rsidP="00CD4F87">
            <w:pPr>
              <w:jc w:val="center"/>
              <w:rPr>
                <w:sz w:val="16"/>
                <w:szCs w:val="16"/>
              </w:rPr>
            </w:pPr>
            <w:r w:rsidRPr="008C48E9">
              <w:rPr>
                <w:rFonts w:ascii="Arial" w:hAnsi="Arial"/>
                <w:b/>
                <w:sz w:val="16"/>
                <w:szCs w:val="16"/>
              </w:rPr>
              <w:t>Published journal</w:t>
            </w:r>
          </w:p>
        </w:tc>
        <w:tc>
          <w:tcPr>
            <w:tcW w:w="567" w:type="dxa"/>
            <w:shd w:val="clear" w:color="auto" w:fill="FFFFFF"/>
            <w:vAlign w:val="center"/>
          </w:tcPr>
          <w:p w14:paraId="440D995C" w14:textId="77777777" w:rsidR="000F1C63" w:rsidRPr="008C48E9" w:rsidRDefault="000F1C63" w:rsidP="00CD4F87">
            <w:pPr>
              <w:jc w:val="center"/>
              <w:rPr>
                <w:sz w:val="16"/>
                <w:szCs w:val="16"/>
              </w:rPr>
            </w:pPr>
            <w:r w:rsidRPr="008C48E9">
              <w:rPr>
                <w:rFonts w:ascii="Arial" w:hAnsi="Arial"/>
                <w:b/>
                <w:sz w:val="16"/>
                <w:szCs w:val="16"/>
              </w:rPr>
              <w:t>Volume</w:t>
            </w:r>
          </w:p>
        </w:tc>
        <w:tc>
          <w:tcPr>
            <w:tcW w:w="1134" w:type="dxa"/>
            <w:shd w:val="clear" w:color="auto" w:fill="FFFFFF"/>
            <w:vAlign w:val="center"/>
          </w:tcPr>
          <w:p w14:paraId="58C14333" w14:textId="77777777" w:rsidR="000F1C63" w:rsidRPr="008C48E9" w:rsidRDefault="000F1C63" w:rsidP="00CD4F87">
            <w:pPr>
              <w:jc w:val="center"/>
              <w:rPr>
                <w:sz w:val="16"/>
                <w:szCs w:val="16"/>
              </w:rPr>
            </w:pPr>
            <w:r w:rsidRPr="008C48E9">
              <w:rPr>
                <w:rFonts w:ascii="Arial" w:hAnsi="Arial"/>
                <w:b/>
                <w:sz w:val="16"/>
                <w:szCs w:val="16"/>
              </w:rPr>
              <w:t>Location</w:t>
            </w:r>
          </w:p>
        </w:tc>
        <w:tc>
          <w:tcPr>
            <w:tcW w:w="887" w:type="dxa"/>
            <w:shd w:val="clear" w:color="auto" w:fill="FFFFFF"/>
            <w:vAlign w:val="center"/>
          </w:tcPr>
          <w:p w14:paraId="093BE122" w14:textId="77777777" w:rsidR="000F1C63" w:rsidRPr="008C48E9" w:rsidRDefault="000F1C63" w:rsidP="00CD4F87">
            <w:pPr>
              <w:jc w:val="center"/>
              <w:rPr>
                <w:sz w:val="16"/>
                <w:szCs w:val="16"/>
              </w:rPr>
            </w:pPr>
            <w:r w:rsidRPr="008C48E9">
              <w:rPr>
                <w:rFonts w:ascii="Arial" w:hAnsi="Arial"/>
                <w:b/>
                <w:sz w:val="16"/>
                <w:szCs w:val="16"/>
              </w:rPr>
              <w:t>Type of study</w:t>
            </w:r>
          </w:p>
        </w:tc>
        <w:tc>
          <w:tcPr>
            <w:tcW w:w="1587" w:type="dxa"/>
            <w:shd w:val="clear" w:color="auto" w:fill="FFFFFF"/>
            <w:vAlign w:val="center"/>
          </w:tcPr>
          <w:p w14:paraId="59389484" w14:textId="77777777" w:rsidR="000F1C63" w:rsidRPr="008C48E9" w:rsidRDefault="000F1C63" w:rsidP="00CD4F87">
            <w:pPr>
              <w:jc w:val="center"/>
              <w:rPr>
                <w:sz w:val="16"/>
                <w:szCs w:val="16"/>
              </w:rPr>
            </w:pPr>
            <w:r w:rsidRPr="008C48E9">
              <w:rPr>
                <w:rFonts w:ascii="Arial" w:hAnsi="Arial"/>
                <w:b/>
                <w:sz w:val="16"/>
                <w:szCs w:val="16"/>
              </w:rPr>
              <w:t>Aim of study</w:t>
            </w:r>
          </w:p>
        </w:tc>
        <w:tc>
          <w:tcPr>
            <w:tcW w:w="1779" w:type="dxa"/>
            <w:shd w:val="clear" w:color="auto" w:fill="FFFFFF"/>
            <w:vAlign w:val="center"/>
          </w:tcPr>
          <w:p w14:paraId="6AA66A83" w14:textId="77777777" w:rsidR="000F1C63" w:rsidRPr="008C48E9" w:rsidRDefault="000F1C63" w:rsidP="00CD4F87">
            <w:pPr>
              <w:jc w:val="center"/>
              <w:rPr>
                <w:sz w:val="16"/>
                <w:szCs w:val="16"/>
              </w:rPr>
            </w:pPr>
            <w:r w:rsidRPr="008C48E9">
              <w:rPr>
                <w:rFonts w:ascii="Arial" w:hAnsi="Arial"/>
                <w:b/>
                <w:sz w:val="16"/>
                <w:szCs w:val="16"/>
              </w:rPr>
              <w:t>Methods</w:t>
            </w:r>
          </w:p>
        </w:tc>
        <w:tc>
          <w:tcPr>
            <w:tcW w:w="1134" w:type="dxa"/>
            <w:shd w:val="clear" w:color="auto" w:fill="FFFFFF"/>
            <w:vAlign w:val="center"/>
          </w:tcPr>
          <w:p w14:paraId="0D510646" w14:textId="77777777" w:rsidR="000F1C63" w:rsidRPr="008C48E9" w:rsidRDefault="000F1C63" w:rsidP="00CD4F87">
            <w:pPr>
              <w:jc w:val="center"/>
              <w:rPr>
                <w:sz w:val="16"/>
                <w:szCs w:val="16"/>
              </w:rPr>
            </w:pPr>
            <w:r w:rsidRPr="008C48E9">
              <w:rPr>
                <w:rFonts w:ascii="Arial" w:hAnsi="Arial"/>
                <w:b/>
                <w:sz w:val="16"/>
                <w:szCs w:val="16"/>
              </w:rPr>
              <w:t>Sample size</w:t>
            </w:r>
          </w:p>
        </w:tc>
        <w:tc>
          <w:tcPr>
            <w:tcW w:w="2811" w:type="dxa"/>
            <w:shd w:val="clear" w:color="auto" w:fill="FFFFFF"/>
            <w:vAlign w:val="center"/>
          </w:tcPr>
          <w:p w14:paraId="786A675F" w14:textId="77777777" w:rsidR="000F1C63" w:rsidRPr="008C48E9" w:rsidRDefault="000F1C63" w:rsidP="00CD4F87">
            <w:pPr>
              <w:jc w:val="center"/>
              <w:rPr>
                <w:sz w:val="16"/>
                <w:szCs w:val="16"/>
              </w:rPr>
            </w:pPr>
            <w:r w:rsidRPr="008C48E9">
              <w:rPr>
                <w:rFonts w:ascii="Arial" w:hAnsi="Arial"/>
                <w:b/>
                <w:sz w:val="16"/>
                <w:szCs w:val="16"/>
              </w:rPr>
              <w:t>Results / Outcomes</w:t>
            </w:r>
          </w:p>
        </w:tc>
      </w:tr>
      <w:tr w:rsidR="000F1C63" w:rsidRPr="008C48E9" w14:paraId="04DBBAAB" w14:textId="77777777" w:rsidTr="00CD4F87">
        <w:trPr>
          <w:cantSplit/>
          <w:jc w:val="center"/>
        </w:trPr>
        <w:tc>
          <w:tcPr>
            <w:tcW w:w="708" w:type="dxa"/>
          </w:tcPr>
          <w:p w14:paraId="6D9716BF" w14:textId="77777777" w:rsidR="000F1C63" w:rsidRPr="008C48E9" w:rsidRDefault="000F1C63" w:rsidP="00CD4F87">
            <w:pPr>
              <w:spacing w:line="216" w:lineRule="auto"/>
              <w:rPr>
                <w:rFonts w:ascii="Arial" w:hAnsi="Arial" w:cs="Arial"/>
              </w:rPr>
            </w:pPr>
            <w:r w:rsidRPr="008C48E9">
              <w:rPr>
                <w:rFonts w:ascii="Arial" w:hAnsi="Arial" w:cs="Arial"/>
                <w:sz w:val="12"/>
              </w:rPr>
              <w:t>Chadwick et al.</w:t>
            </w:r>
          </w:p>
        </w:tc>
        <w:tc>
          <w:tcPr>
            <w:tcW w:w="2694" w:type="dxa"/>
          </w:tcPr>
          <w:p w14:paraId="58509CEA" w14:textId="77777777" w:rsidR="000F1C63" w:rsidRPr="008C48E9" w:rsidRDefault="000F1C63" w:rsidP="00CD4F87">
            <w:pPr>
              <w:spacing w:line="216" w:lineRule="auto"/>
              <w:rPr>
                <w:rFonts w:ascii="Arial" w:hAnsi="Arial" w:cs="Arial"/>
              </w:rPr>
            </w:pPr>
            <w:r w:rsidRPr="008C48E9">
              <w:rPr>
                <w:rFonts w:ascii="Arial" w:hAnsi="Arial" w:cs="Arial"/>
                <w:sz w:val="12"/>
              </w:rPr>
              <w:t>Engagement With Digital Health Technologies Among Older People Living in Socially Deprived Areas: Qualitative Study of Influencing Factors</w:t>
            </w:r>
          </w:p>
        </w:tc>
        <w:tc>
          <w:tcPr>
            <w:tcW w:w="567" w:type="dxa"/>
          </w:tcPr>
          <w:p w14:paraId="27A09CD8"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57ADCA28" w14:textId="77777777" w:rsidR="000F1C63" w:rsidRPr="008C48E9" w:rsidRDefault="000F1C63" w:rsidP="00CD4F87">
            <w:pPr>
              <w:spacing w:line="216" w:lineRule="auto"/>
              <w:rPr>
                <w:rFonts w:ascii="Arial" w:hAnsi="Arial" w:cs="Arial"/>
              </w:rPr>
            </w:pPr>
            <w:r w:rsidRPr="008C48E9">
              <w:rPr>
                <w:rFonts w:ascii="Arial" w:hAnsi="Arial" w:cs="Arial"/>
                <w:sz w:val="12"/>
              </w:rPr>
              <w:t>JMIR Formative Research</w:t>
            </w:r>
          </w:p>
        </w:tc>
        <w:tc>
          <w:tcPr>
            <w:tcW w:w="567" w:type="dxa"/>
          </w:tcPr>
          <w:p w14:paraId="41314982" w14:textId="77777777" w:rsidR="000F1C63" w:rsidRPr="008C48E9" w:rsidRDefault="000F1C63" w:rsidP="00CD4F87">
            <w:pPr>
              <w:spacing w:line="216" w:lineRule="auto"/>
              <w:rPr>
                <w:rFonts w:ascii="Arial" w:hAnsi="Arial" w:cs="Arial"/>
              </w:rPr>
            </w:pPr>
            <w:r w:rsidRPr="008C48E9">
              <w:rPr>
                <w:rFonts w:ascii="Arial" w:hAnsi="Arial" w:cs="Arial"/>
                <w:sz w:val="12"/>
              </w:rPr>
              <w:t>8</w:t>
            </w:r>
          </w:p>
        </w:tc>
        <w:tc>
          <w:tcPr>
            <w:tcW w:w="1134" w:type="dxa"/>
          </w:tcPr>
          <w:p w14:paraId="1ADDC610" w14:textId="77777777" w:rsidR="000F1C63" w:rsidRPr="008C48E9" w:rsidRDefault="000F1C63" w:rsidP="00CD4F87">
            <w:pPr>
              <w:spacing w:line="216" w:lineRule="auto"/>
              <w:rPr>
                <w:rFonts w:ascii="Arial" w:hAnsi="Arial" w:cs="Arial"/>
              </w:rPr>
            </w:pPr>
            <w:r w:rsidRPr="008C48E9">
              <w:rPr>
                <w:rFonts w:ascii="Arial" w:hAnsi="Arial" w:cs="Arial"/>
                <w:sz w:val="12"/>
              </w:rPr>
              <w:t>United Kingdom; participants recruited across UK clinical/community contexts</w:t>
            </w:r>
          </w:p>
        </w:tc>
        <w:tc>
          <w:tcPr>
            <w:tcW w:w="887" w:type="dxa"/>
          </w:tcPr>
          <w:p w14:paraId="49041261"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3C41E06A"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factors influencing engagement with digital health technologies </w:t>
            </w:r>
          </w:p>
        </w:tc>
        <w:tc>
          <w:tcPr>
            <w:tcW w:w="1779" w:type="dxa"/>
          </w:tcPr>
          <w:p w14:paraId="464B1FCB" w14:textId="77777777" w:rsidR="000F1C63" w:rsidRPr="008C48E9" w:rsidRDefault="000F1C63" w:rsidP="00CD4F87">
            <w:pPr>
              <w:spacing w:line="216" w:lineRule="auto"/>
              <w:rPr>
                <w:rFonts w:ascii="Arial" w:hAnsi="Arial" w:cs="Arial"/>
              </w:rPr>
            </w:pPr>
            <w:r w:rsidRPr="008C48E9">
              <w:rPr>
                <w:rFonts w:ascii="Arial" w:hAnsi="Arial" w:cs="Arial"/>
                <w:sz w:val="12"/>
              </w:rPr>
              <w:t>Semi-structured interviews; thematic analysis using the (UTAUT) as a framework.</w:t>
            </w:r>
          </w:p>
        </w:tc>
        <w:tc>
          <w:tcPr>
            <w:tcW w:w="1134" w:type="dxa"/>
          </w:tcPr>
          <w:p w14:paraId="4B0F8E0E" w14:textId="77777777" w:rsidR="000F1C63" w:rsidRPr="008C48E9" w:rsidRDefault="000F1C63" w:rsidP="00CD4F87">
            <w:pPr>
              <w:spacing w:line="216" w:lineRule="auto"/>
              <w:rPr>
                <w:rFonts w:ascii="Arial" w:hAnsi="Arial" w:cs="Arial"/>
              </w:rPr>
            </w:pPr>
            <w:r w:rsidRPr="008C48E9">
              <w:rPr>
                <w:rFonts w:ascii="Arial" w:hAnsi="Arial" w:cs="Arial"/>
                <w:sz w:val="12"/>
              </w:rPr>
              <w:t>26 participants</w:t>
            </w:r>
          </w:p>
        </w:tc>
        <w:tc>
          <w:tcPr>
            <w:tcW w:w="2811" w:type="dxa"/>
          </w:tcPr>
          <w:p w14:paraId="2EC98ABA"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Digital engagement was affected by limited opportunities to develop digital skills, inadequate support, negative age-related norms and limited perceived benefit. </w:t>
            </w:r>
          </w:p>
        </w:tc>
      </w:tr>
      <w:tr w:rsidR="000F1C63" w:rsidRPr="008C48E9" w14:paraId="11C3A222" w14:textId="77777777" w:rsidTr="00CD4F87">
        <w:trPr>
          <w:cantSplit/>
          <w:jc w:val="center"/>
        </w:trPr>
        <w:tc>
          <w:tcPr>
            <w:tcW w:w="708" w:type="dxa"/>
          </w:tcPr>
          <w:p w14:paraId="7C94F554" w14:textId="77777777" w:rsidR="000F1C63" w:rsidRPr="008C48E9" w:rsidRDefault="000F1C63" w:rsidP="00CD4F87">
            <w:pPr>
              <w:spacing w:line="216" w:lineRule="auto"/>
              <w:rPr>
                <w:rFonts w:ascii="Arial" w:hAnsi="Arial" w:cs="Arial"/>
              </w:rPr>
            </w:pPr>
            <w:proofErr w:type="spellStart"/>
            <w:r w:rsidRPr="008C48E9">
              <w:rPr>
                <w:rFonts w:ascii="Arial" w:hAnsi="Arial" w:cs="Arial"/>
                <w:sz w:val="12"/>
              </w:rPr>
              <w:t>Rousaki</w:t>
            </w:r>
            <w:proofErr w:type="spellEnd"/>
            <w:r w:rsidRPr="008C48E9">
              <w:rPr>
                <w:rFonts w:ascii="Arial" w:hAnsi="Arial" w:cs="Arial"/>
                <w:sz w:val="12"/>
              </w:rPr>
              <w:t xml:space="preserve"> et al.</w:t>
            </w:r>
          </w:p>
        </w:tc>
        <w:tc>
          <w:tcPr>
            <w:tcW w:w="2694" w:type="dxa"/>
          </w:tcPr>
          <w:p w14:paraId="79949518" w14:textId="77777777" w:rsidR="000F1C63" w:rsidRPr="008C48E9" w:rsidRDefault="000F1C63" w:rsidP="00CD4F87">
            <w:pPr>
              <w:spacing w:line="216" w:lineRule="auto"/>
              <w:rPr>
                <w:rFonts w:ascii="Arial" w:hAnsi="Arial" w:cs="Arial"/>
              </w:rPr>
            </w:pPr>
            <w:r w:rsidRPr="008C48E9">
              <w:rPr>
                <w:rFonts w:ascii="Arial" w:hAnsi="Arial" w:cs="Arial"/>
                <w:sz w:val="12"/>
              </w:rPr>
              <w:t>The Digitalisation of Social Care in England and Implications for Older, Unpaid Carers: Constructionist Thematic Analysis</w:t>
            </w:r>
          </w:p>
        </w:tc>
        <w:tc>
          <w:tcPr>
            <w:tcW w:w="567" w:type="dxa"/>
          </w:tcPr>
          <w:p w14:paraId="5428A40B"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362A0A3F" w14:textId="77777777" w:rsidR="000F1C63" w:rsidRPr="008C48E9" w:rsidRDefault="000F1C63" w:rsidP="00CD4F87">
            <w:pPr>
              <w:spacing w:line="216" w:lineRule="auto"/>
              <w:rPr>
                <w:rFonts w:ascii="Arial" w:hAnsi="Arial" w:cs="Arial"/>
              </w:rPr>
            </w:pPr>
            <w:r w:rsidRPr="008C48E9">
              <w:rPr>
                <w:rFonts w:ascii="Arial" w:hAnsi="Arial" w:cs="Arial"/>
                <w:sz w:val="12"/>
              </w:rPr>
              <w:t>Journal of Medical Internet Research</w:t>
            </w:r>
          </w:p>
        </w:tc>
        <w:tc>
          <w:tcPr>
            <w:tcW w:w="567" w:type="dxa"/>
          </w:tcPr>
          <w:p w14:paraId="05D7DAF9" w14:textId="77777777" w:rsidR="000F1C63" w:rsidRPr="008C48E9" w:rsidRDefault="000F1C63" w:rsidP="00CD4F87">
            <w:pPr>
              <w:spacing w:line="216" w:lineRule="auto"/>
              <w:rPr>
                <w:rFonts w:ascii="Arial" w:hAnsi="Arial" w:cs="Arial"/>
              </w:rPr>
            </w:pPr>
            <w:r w:rsidRPr="008C48E9">
              <w:rPr>
                <w:rFonts w:ascii="Arial" w:hAnsi="Arial" w:cs="Arial"/>
                <w:sz w:val="12"/>
              </w:rPr>
              <w:t>26</w:t>
            </w:r>
          </w:p>
        </w:tc>
        <w:tc>
          <w:tcPr>
            <w:tcW w:w="1134" w:type="dxa"/>
          </w:tcPr>
          <w:p w14:paraId="44F82BE4" w14:textId="77777777" w:rsidR="000F1C63" w:rsidRPr="008C48E9" w:rsidRDefault="000F1C63" w:rsidP="00CD4F87">
            <w:pPr>
              <w:spacing w:line="216" w:lineRule="auto"/>
              <w:rPr>
                <w:rFonts w:ascii="Arial" w:hAnsi="Arial" w:cs="Arial"/>
              </w:rPr>
            </w:pPr>
            <w:r w:rsidRPr="008C48E9">
              <w:rPr>
                <w:rFonts w:ascii="Arial" w:hAnsi="Arial" w:cs="Arial"/>
                <w:sz w:val="12"/>
              </w:rPr>
              <w:t>England</w:t>
            </w:r>
          </w:p>
        </w:tc>
        <w:tc>
          <w:tcPr>
            <w:tcW w:w="887" w:type="dxa"/>
          </w:tcPr>
          <w:p w14:paraId="7FB8B4D2"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6BFDEB2D"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examine how digitalisation of social care affects older unpaid carers, </w:t>
            </w:r>
          </w:p>
        </w:tc>
        <w:tc>
          <w:tcPr>
            <w:tcW w:w="1779" w:type="dxa"/>
          </w:tcPr>
          <w:p w14:paraId="0734062D" w14:textId="77777777" w:rsidR="000F1C63" w:rsidRPr="008C48E9" w:rsidRDefault="000F1C63" w:rsidP="00CD4F87">
            <w:pPr>
              <w:spacing w:line="216" w:lineRule="auto"/>
              <w:rPr>
                <w:rFonts w:ascii="Arial" w:hAnsi="Arial" w:cs="Arial"/>
              </w:rPr>
            </w:pPr>
            <w:r w:rsidRPr="008C48E9">
              <w:rPr>
                <w:rFonts w:ascii="Arial" w:hAnsi="Arial" w:cs="Arial"/>
                <w:sz w:val="12"/>
              </w:rPr>
              <w:t>Focus-group data analysed using a constructionist thematic analysis approach.</w:t>
            </w:r>
          </w:p>
        </w:tc>
        <w:tc>
          <w:tcPr>
            <w:tcW w:w="1134" w:type="dxa"/>
          </w:tcPr>
          <w:p w14:paraId="71DDA451" w14:textId="77777777" w:rsidR="000F1C63" w:rsidRPr="008C48E9" w:rsidRDefault="000F1C63" w:rsidP="00CD4F87">
            <w:pPr>
              <w:spacing w:line="216" w:lineRule="auto"/>
              <w:rPr>
                <w:rFonts w:ascii="Arial" w:hAnsi="Arial" w:cs="Arial"/>
              </w:rPr>
            </w:pPr>
            <w:r w:rsidRPr="008C48E9">
              <w:rPr>
                <w:rFonts w:ascii="Arial" w:hAnsi="Arial" w:cs="Arial"/>
                <w:sz w:val="12"/>
              </w:rPr>
              <w:t>48 older unpaid carers</w:t>
            </w:r>
          </w:p>
        </w:tc>
        <w:tc>
          <w:tcPr>
            <w:tcW w:w="2811" w:type="dxa"/>
          </w:tcPr>
          <w:p w14:paraId="5EF5AB90"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Participants recognised benefits of digitalisation, but also described coercive digital engagement, exclusion, connectivity problems and additional financial/administrative burdens. </w:t>
            </w:r>
          </w:p>
        </w:tc>
      </w:tr>
      <w:tr w:rsidR="000F1C63" w:rsidRPr="008C48E9" w14:paraId="48C1EE39" w14:textId="77777777" w:rsidTr="00CD4F87">
        <w:trPr>
          <w:cantSplit/>
          <w:jc w:val="center"/>
        </w:trPr>
        <w:tc>
          <w:tcPr>
            <w:tcW w:w="708" w:type="dxa"/>
          </w:tcPr>
          <w:p w14:paraId="192FBEA2" w14:textId="77777777" w:rsidR="000F1C63" w:rsidRPr="008C48E9" w:rsidRDefault="000F1C63" w:rsidP="00CD4F87">
            <w:pPr>
              <w:spacing w:line="216" w:lineRule="auto"/>
              <w:rPr>
                <w:rFonts w:ascii="Arial" w:hAnsi="Arial" w:cs="Arial"/>
              </w:rPr>
            </w:pPr>
            <w:r w:rsidRPr="008C48E9">
              <w:rPr>
                <w:rFonts w:ascii="Arial" w:hAnsi="Arial" w:cs="Arial"/>
                <w:sz w:val="12"/>
              </w:rPr>
              <w:t>Money et al.</w:t>
            </w:r>
          </w:p>
        </w:tc>
        <w:tc>
          <w:tcPr>
            <w:tcW w:w="2694" w:type="dxa"/>
          </w:tcPr>
          <w:p w14:paraId="57B0FCE1" w14:textId="77777777" w:rsidR="000F1C63" w:rsidRPr="008C48E9" w:rsidRDefault="000F1C63" w:rsidP="00CD4F87">
            <w:pPr>
              <w:spacing w:line="216" w:lineRule="auto"/>
              <w:rPr>
                <w:rFonts w:ascii="Arial" w:hAnsi="Arial" w:cs="Arial"/>
              </w:rPr>
            </w:pPr>
            <w:r w:rsidRPr="008C48E9">
              <w:rPr>
                <w:rFonts w:ascii="Arial" w:hAnsi="Arial" w:cs="Arial"/>
                <w:sz w:val="12"/>
              </w:rPr>
              <w:t>Barriers to and Facilitators of Older People’s Engagement with Web-Based Services: Qualitative Study of Adults Aged &gt;75 Years</w:t>
            </w:r>
          </w:p>
        </w:tc>
        <w:tc>
          <w:tcPr>
            <w:tcW w:w="567" w:type="dxa"/>
          </w:tcPr>
          <w:p w14:paraId="3BE22E23"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6F10CBDB" w14:textId="77777777" w:rsidR="000F1C63" w:rsidRPr="008C48E9" w:rsidRDefault="000F1C63" w:rsidP="00CD4F87">
            <w:pPr>
              <w:spacing w:line="216" w:lineRule="auto"/>
              <w:rPr>
                <w:rFonts w:ascii="Arial" w:hAnsi="Arial" w:cs="Arial"/>
              </w:rPr>
            </w:pPr>
            <w:r w:rsidRPr="008C48E9">
              <w:rPr>
                <w:rFonts w:ascii="Arial" w:hAnsi="Arial" w:cs="Arial"/>
                <w:sz w:val="12"/>
              </w:rPr>
              <w:t>JMIR Aging</w:t>
            </w:r>
          </w:p>
        </w:tc>
        <w:tc>
          <w:tcPr>
            <w:tcW w:w="567" w:type="dxa"/>
          </w:tcPr>
          <w:p w14:paraId="726973E9" w14:textId="77777777" w:rsidR="000F1C63" w:rsidRPr="008C48E9" w:rsidRDefault="000F1C63" w:rsidP="00CD4F87">
            <w:pPr>
              <w:spacing w:line="216" w:lineRule="auto"/>
              <w:rPr>
                <w:rFonts w:ascii="Arial" w:hAnsi="Arial" w:cs="Arial"/>
              </w:rPr>
            </w:pPr>
            <w:r w:rsidRPr="008C48E9">
              <w:rPr>
                <w:rFonts w:ascii="Arial" w:hAnsi="Arial" w:cs="Arial"/>
                <w:sz w:val="12"/>
              </w:rPr>
              <w:t>7</w:t>
            </w:r>
          </w:p>
        </w:tc>
        <w:tc>
          <w:tcPr>
            <w:tcW w:w="1134" w:type="dxa"/>
          </w:tcPr>
          <w:p w14:paraId="5290AC74" w14:textId="77777777" w:rsidR="000F1C63" w:rsidRPr="008C48E9" w:rsidRDefault="000F1C63" w:rsidP="00CD4F87">
            <w:pPr>
              <w:spacing w:line="216" w:lineRule="auto"/>
              <w:rPr>
                <w:rFonts w:ascii="Arial" w:hAnsi="Arial" w:cs="Arial"/>
              </w:rPr>
            </w:pPr>
            <w:r w:rsidRPr="008C48E9">
              <w:rPr>
                <w:rFonts w:ascii="Arial" w:hAnsi="Arial" w:cs="Arial"/>
                <w:sz w:val="12"/>
              </w:rPr>
              <w:t>Greater Manchester, England</w:t>
            </w:r>
          </w:p>
        </w:tc>
        <w:tc>
          <w:tcPr>
            <w:tcW w:w="887" w:type="dxa"/>
          </w:tcPr>
          <w:p w14:paraId="1334ACE5"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66D97CFE"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barriers and facilitators influencing adults </w:t>
            </w:r>
          </w:p>
        </w:tc>
        <w:tc>
          <w:tcPr>
            <w:tcW w:w="1779" w:type="dxa"/>
          </w:tcPr>
          <w:p w14:paraId="409D1821" w14:textId="77777777" w:rsidR="000F1C63" w:rsidRPr="008C48E9" w:rsidRDefault="000F1C63" w:rsidP="00CD4F87">
            <w:pPr>
              <w:spacing w:line="216" w:lineRule="auto"/>
              <w:rPr>
                <w:rFonts w:ascii="Arial" w:hAnsi="Arial" w:cs="Arial"/>
              </w:rPr>
            </w:pPr>
            <w:r w:rsidRPr="008C48E9">
              <w:rPr>
                <w:rFonts w:ascii="Arial" w:hAnsi="Arial" w:cs="Arial"/>
                <w:sz w:val="12"/>
              </w:rPr>
              <w:t>Semi-structured qualitative interviews; thematic analysis.</w:t>
            </w:r>
          </w:p>
        </w:tc>
        <w:tc>
          <w:tcPr>
            <w:tcW w:w="1134" w:type="dxa"/>
          </w:tcPr>
          <w:p w14:paraId="65B38D7E" w14:textId="77777777" w:rsidR="000F1C63" w:rsidRPr="008C48E9" w:rsidRDefault="000F1C63" w:rsidP="00CD4F87">
            <w:pPr>
              <w:spacing w:line="216" w:lineRule="auto"/>
              <w:rPr>
                <w:rFonts w:ascii="Arial" w:hAnsi="Arial" w:cs="Arial"/>
              </w:rPr>
            </w:pPr>
            <w:r w:rsidRPr="008C48E9">
              <w:rPr>
                <w:rFonts w:ascii="Arial" w:hAnsi="Arial" w:cs="Arial"/>
                <w:sz w:val="12"/>
              </w:rPr>
              <w:t>24 older adults, with additional perspectives from 2 support workers</w:t>
            </w:r>
          </w:p>
        </w:tc>
        <w:tc>
          <w:tcPr>
            <w:tcW w:w="2811" w:type="dxa"/>
          </w:tcPr>
          <w:p w14:paraId="3447FD01"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Engagement varied according to access, ability, confidence, motivation and accessibility. </w:t>
            </w:r>
          </w:p>
        </w:tc>
      </w:tr>
      <w:tr w:rsidR="000F1C63" w:rsidRPr="008C48E9" w14:paraId="6AA08D67" w14:textId="77777777" w:rsidTr="00CD4F87">
        <w:trPr>
          <w:cantSplit/>
          <w:jc w:val="center"/>
        </w:trPr>
        <w:tc>
          <w:tcPr>
            <w:tcW w:w="708" w:type="dxa"/>
          </w:tcPr>
          <w:p w14:paraId="52DCD8E6" w14:textId="77777777" w:rsidR="000F1C63" w:rsidRPr="008C48E9" w:rsidRDefault="000F1C63" w:rsidP="00CD4F87">
            <w:pPr>
              <w:spacing w:line="216" w:lineRule="auto"/>
              <w:rPr>
                <w:rFonts w:ascii="Arial" w:hAnsi="Arial" w:cs="Arial"/>
              </w:rPr>
            </w:pPr>
            <w:r w:rsidRPr="008C48E9">
              <w:rPr>
                <w:rFonts w:ascii="Arial" w:hAnsi="Arial" w:cs="Arial"/>
                <w:sz w:val="12"/>
              </w:rPr>
              <w:t>Wanless et al.</w:t>
            </w:r>
          </w:p>
        </w:tc>
        <w:tc>
          <w:tcPr>
            <w:tcW w:w="2694" w:type="dxa"/>
          </w:tcPr>
          <w:p w14:paraId="7D79C15F" w14:textId="77777777" w:rsidR="000F1C63" w:rsidRPr="008C48E9" w:rsidRDefault="000F1C63" w:rsidP="00CD4F87">
            <w:pPr>
              <w:spacing w:line="216" w:lineRule="auto"/>
              <w:rPr>
                <w:rFonts w:ascii="Arial" w:hAnsi="Arial" w:cs="Arial"/>
              </w:rPr>
            </w:pPr>
            <w:r w:rsidRPr="008C48E9">
              <w:rPr>
                <w:rFonts w:ascii="Arial" w:hAnsi="Arial" w:cs="Arial"/>
                <w:sz w:val="12"/>
              </w:rPr>
              <w:t>How Do We Better Serve Excluded Populations When Delivering Digital Health Technology? Inclusion Evaluation of a Digital Musculoskeletal Self-Management Solution</w:t>
            </w:r>
          </w:p>
        </w:tc>
        <w:tc>
          <w:tcPr>
            <w:tcW w:w="567" w:type="dxa"/>
          </w:tcPr>
          <w:p w14:paraId="42FC6734"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680FFBF2" w14:textId="77777777" w:rsidR="000F1C63" w:rsidRPr="008C48E9" w:rsidRDefault="000F1C63" w:rsidP="00CD4F87">
            <w:pPr>
              <w:spacing w:line="216" w:lineRule="auto"/>
              <w:rPr>
                <w:rFonts w:ascii="Arial" w:hAnsi="Arial" w:cs="Arial"/>
              </w:rPr>
            </w:pPr>
            <w:r w:rsidRPr="008C48E9">
              <w:rPr>
                <w:rFonts w:ascii="Arial" w:hAnsi="Arial" w:cs="Arial"/>
                <w:sz w:val="12"/>
              </w:rPr>
              <w:t>Musculoskeletal Care</w:t>
            </w:r>
          </w:p>
        </w:tc>
        <w:tc>
          <w:tcPr>
            <w:tcW w:w="567" w:type="dxa"/>
          </w:tcPr>
          <w:p w14:paraId="48416CBF" w14:textId="77777777" w:rsidR="000F1C63" w:rsidRPr="008C48E9" w:rsidRDefault="000F1C63" w:rsidP="00CD4F87">
            <w:pPr>
              <w:spacing w:line="216" w:lineRule="auto"/>
              <w:rPr>
                <w:rFonts w:ascii="Arial" w:hAnsi="Arial" w:cs="Arial"/>
              </w:rPr>
            </w:pPr>
            <w:r w:rsidRPr="008C48E9">
              <w:rPr>
                <w:rFonts w:ascii="Arial" w:hAnsi="Arial" w:cs="Arial"/>
                <w:sz w:val="12"/>
              </w:rPr>
              <w:t>22</w:t>
            </w:r>
          </w:p>
        </w:tc>
        <w:tc>
          <w:tcPr>
            <w:tcW w:w="1134" w:type="dxa"/>
          </w:tcPr>
          <w:p w14:paraId="10F5C291" w14:textId="77777777" w:rsidR="000F1C63" w:rsidRPr="008C48E9" w:rsidRDefault="000F1C63" w:rsidP="00CD4F87">
            <w:pPr>
              <w:spacing w:line="216" w:lineRule="auto"/>
              <w:rPr>
                <w:rFonts w:ascii="Arial" w:hAnsi="Arial" w:cs="Arial"/>
              </w:rPr>
            </w:pPr>
            <w:r w:rsidRPr="008C48E9">
              <w:rPr>
                <w:rFonts w:ascii="Arial" w:hAnsi="Arial" w:cs="Arial"/>
                <w:sz w:val="12"/>
              </w:rPr>
              <w:t>Southwest London, England</w:t>
            </w:r>
          </w:p>
        </w:tc>
        <w:tc>
          <w:tcPr>
            <w:tcW w:w="887" w:type="dxa"/>
          </w:tcPr>
          <w:p w14:paraId="3F35ECB9" w14:textId="77777777" w:rsidR="000F1C63" w:rsidRPr="008C48E9" w:rsidRDefault="000F1C63" w:rsidP="00CD4F87">
            <w:pPr>
              <w:spacing w:line="216" w:lineRule="auto"/>
              <w:rPr>
                <w:rFonts w:ascii="Arial" w:hAnsi="Arial" w:cs="Arial"/>
              </w:rPr>
            </w:pPr>
            <w:r w:rsidRPr="008C48E9">
              <w:rPr>
                <w:rFonts w:ascii="Arial" w:hAnsi="Arial" w:cs="Arial"/>
                <w:sz w:val="12"/>
              </w:rPr>
              <w:t>Explanatory sequential mixed-method service evaluation</w:t>
            </w:r>
          </w:p>
        </w:tc>
        <w:tc>
          <w:tcPr>
            <w:tcW w:w="1587" w:type="dxa"/>
          </w:tcPr>
          <w:p w14:paraId="12C749F4"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evaluate acceptability and potential causes of digital exclusion </w:t>
            </w:r>
          </w:p>
        </w:tc>
        <w:tc>
          <w:tcPr>
            <w:tcW w:w="1779" w:type="dxa"/>
          </w:tcPr>
          <w:p w14:paraId="026CD9D4" w14:textId="77777777" w:rsidR="000F1C63" w:rsidRPr="008C48E9" w:rsidRDefault="000F1C63" w:rsidP="00CD4F87">
            <w:pPr>
              <w:spacing w:line="216" w:lineRule="auto"/>
              <w:rPr>
                <w:rFonts w:ascii="Arial" w:hAnsi="Arial" w:cs="Arial"/>
              </w:rPr>
            </w:pPr>
            <w:r w:rsidRPr="008C48E9">
              <w:rPr>
                <w:rFonts w:ascii="Arial" w:hAnsi="Arial" w:cs="Arial"/>
                <w:sz w:val="12"/>
              </w:rPr>
              <w:t>Initial questionnaires followed by structured interviews with patients and clinicians.</w:t>
            </w:r>
          </w:p>
        </w:tc>
        <w:tc>
          <w:tcPr>
            <w:tcW w:w="1134" w:type="dxa"/>
          </w:tcPr>
          <w:p w14:paraId="24ED58BC" w14:textId="77777777" w:rsidR="000F1C63" w:rsidRPr="008C48E9" w:rsidRDefault="000F1C63" w:rsidP="00CD4F87">
            <w:pPr>
              <w:spacing w:line="216" w:lineRule="auto"/>
              <w:rPr>
                <w:rFonts w:ascii="Arial" w:hAnsi="Arial" w:cs="Arial"/>
              </w:rPr>
            </w:pPr>
            <w:r w:rsidRPr="008C48E9">
              <w:rPr>
                <w:rFonts w:ascii="Arial" w:hAnsi="Arial" w:cs="Arial"/>
                <w:sz w:val="12"/>
              </w:rPr>
              <w:t>Patients and clinicians; exact total n not stated in the published abstract</w:t>
            </w:r>
          </w:p>
        </w:tc>
        <w:tc>
          <w:tcPr>
            <w:tcW w:w="2811" w:type="dxa"/>
          </w:tcPr>
          <w:p w14:paraId="4071D90D" w14:textId="77777777" w:rsidR="000F1C63" w:rsidRPr="008C48E9" w:rsidRDefault="000F1C63" w:rsidP="00CD4F87">
            <w:pPr>
              <w:spacing w:line="216" w:lineRule="auto"/>
              <w:rPr>
                <w:rFonts w:ascii="Arial" w:hAnsi="Arial" w:cs="Arial"/>
              </w:rPr>
            </w:pPr>
            <w:r w:rsidRPr="008C48E9">
              <w:rPr>
                <w:rFonts w:ascii="Arial" w:hAnsi="Arial" w:cs="Arial"/>
                <w:sz w:val="12"/>
              </w:rPr>
              <w:t>Four main areas were identified: beliefs about digital care, barriers such as low digital literacy and lack of physical examination, enablers such as immediate information and ease of use, and solutions including support, training and greater awareness.</w:t>
            </w:r>
          </w:p>
        </w:tc>
      </w:tr>
      <w:tr w:rsidR="000F1C63" w:rsidRPr="008C48E9" w14:paraId="584954A5" w14:textId="77777777" w:rsidTr="00CD4F87">
        <w:trPr>
          <w:cantSplit/>
          <w:jc w:val="center"/>
        </w:trPr>
        <w:tc>
          <w:tcPr>
            <w:tcW w:w="708" w:type="dxa"/>
          </w:tcPr>
          <w:p w14:paraId="2C5DA5C6" w14:textId="77777777" w:rsidR="000F1C63" w:rsidRPr="008C48E9" w:rsidRDefault="000F1C63" w:rsidP="00CD4F87">
            <w:pPr>
              <w:spacing w:line="216" w:lineRule="auto"/>
              <w:rPr>
                <w:rFonts w:ascii="Arial" w:hAnsi="Arial" w:cs="Arial"/>
              </w:rPr>
            </w:pPr>
            <w:r w:rsidRPr="008C48E9">
              <w:rPr>
                <w:rFonts w:ascii="Arial" w:hAnsi="Arial" w:cs="Arial"/>
                <w:sz w:val="12"/>
              </w:rPr>
              <w:t>Poduval et al.</w:t>
            </w:r>
          </w:p>
        </w:tc>
        <w:tc>
          <w:tcPr>
            <w:tcW w:w="2694" w:type="dxa"/>
          </w:tcPr>
          <w:p w14:paraId="1FAD725A" w14:textId="77777777" w:rsidR="000F1C63" w:rsidRPr="008C48E9" w:rsidRDefault="000F1C63" w:rsidP="00CD4F87">
            <w:pPr>
              <w:spacing w:line="216" w:lineRule="auto"/>
              <w:rPr>
                <w:rFonts w:ascii="Arial" w:hAnsi="Arial" w:cs="Arial"/>
              </w:rPr>
            </w:pPr>
            <w:r w:rsidRPr="008C48E9">
              <w:rPr>
                <w:rFonts w:ascii="Arial" w:hAnsi="Arial" w:cs="Arial"/>
                <w:sz w:val="12"/>
              </w:rPr>
              <w:t>Do Community-Based Digital Health Inclusion Programmes Contribute to Tackling Health Inequalities in Disadvantaged Population Groups? A Qualitative Study of Experiences of a City-Wide Programme in the North of England</w:t>
            </w:r>
          </w:p>
        </w:tc>
        <w:tc>
          <w:tcPr>
            <w:tcW w:w="567" w:type="dxa"/>
          </w:tcPr>
          <w:p w14:paraId="5C089CDE" w14:textId="77777777" w:rsidR="000F1C63" w:rsidRPr="008C48E9" w:rsidRDefault="000F1C63" w:rsidP="00CD4F87">
            <w:pPr>
              <w:spacing w:line="216" w:lineRule="auto"/>
              <w:rPr>
                <w:rFonts w:ascii="Arial" w:hAnsi="Arial" w:cs="Arial"/>
              </w:rPr>
            </w:pPr>
            <w:r w:rsidRPr="008C48E9">
              <w:rPr>
                <w:rFonts w:ascii="Arial" w:hAnsi="Arial" w:cs="Arial"/>
                <w:sz w:val="12"/>
              </w:rPr>
              <w:t>2025</w:t>
            </w:r>
          </w:p>
        </w:tc>
        <w:tc>
          <w:tcPr>
            <w:tcW w:w="1275" w:type="dxa"/>
          </w:tcPr>
          <w:p w14:paraId="5176D700" w14:textId="77777777" w:rsidR="000F1C63" w:rsidRPr="008C48E9" w:rsidRDefault="000F1C63" w:rsidP="00CD4F87">
            <w:pPr>
              <w:spacing w:line="216" w:lineRule="auto"/>
              <w:rPr>
                <w:rFonts w:ascii="Arial" w:hAnsi="Arial" w:cs="Arial"/>
              </w:rPr>
            </w:pPr>
            <w:r w:rsidRPr="008C48E9">
              <w:rPr>
                <w:rFonts w:ascii="Arial" w:hAnsi="Arial" w:cs="Arial"/>
                <w:sz w:val="12"/>
              </w:rPr>
              <w:t>BMC Public Health</w:t>
            </w:r>
          </w:p>
        </w:tc>
        <w:tc>
          <w:tcPr>
            <w:tcW w:w="567" w:type="dxa"/>
          </w:tcPr>
          <w:p w14:paraId="5722F97C" w14:textId="77777777" w:rsidR="000F1C63" w:rsidRPr="008C48E9" w:rsidRDefault="000F1C63" w:rsidP="00CD4F87">
            <w:pPr>
              <w:spacing w:line="216" w:lineRule="auto"/>
              <w:rPr>
                <w:rFonts w:ascii="Arial" w:hAnsi="Arial" w:cs="Arial"/>
              </w:rPr>
            </w:pPr>
            <w:r w:rsidRPr="008C48E9">
              <w:rPr>
                <w:rFonts w:ascii="Arial" w:hAnsi="Arial" w:cs="Arial"/>
                <w:sz w:val="12"/>
              </w:rPr>
              <w:t>25</w:t>
            </w:r>
          </w:p>
        </w:tc>
        <w:tc>
          <w:tcPr>
            <w:tcW w:w="1134" w:type="dxa"/>
          </w:tcPr>
          <w:p w14:paraId="73C9E5C2" w14:textId="77777777" w:rsidR="000F1C63" w:rsidRPr="008C48E9" w:rsidRDefault="000F1C63" w:rsidP="00CD4F87">
            <w:pPr>
              <w:spacing w:line="216" w:lineRule="auto"/>
              <w:rPr>
                <w:rFonts w:ascii="Arial" w:hAnsi="Arial" w:cs="Arial"/>
              </w:rPr>
            </w:pPr>
            <w:r w:rsidRPr="008C48E9">
              <w:rPr>
                <w:rFonts w:ascii="Arial" w:hAnsi="Arial" w:cs="Arial"/>
                <w:sz w:val="12"/>
              </w:rPr>
              <w:t>Leeds, North of England</w:t>
            </w:r>
          </w:p>
        </w:tc>
        <w:tc>
          <w:tcPr>
            <w:tcW w:w="887" w:type="dxa"/>
          </w:tcPr>
          <w:p w14:paraId="238029E8"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06D46873"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whether and how Digital Health Hubs contribute to tackling health inequalities, </w:t>
            </w:r>
          </w:p>
        </w:tc>
        <w:tc>
          <w:tcPr>
            <w:tcW w:w="1779" w:type="dxa"/>
          </w:tcPr>
          <w:p w14:paraId="1DB7BBFA"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Semi-structured interviews with service users and staff; inductive thematic analysis; themes mapped to </w:t>
            </w:r>
          </w:p>
        </w:tc>
        <w:tc>
          <w:tcPr>
            <w:tcW w:w="1134" w:type="dxa"/>
          </w:tcPr>
          <w:p w14:paraId="2CB32224" w14:textId="77777777" w:rsidR="000F1C63" w:rsidRPr="008C48E9" w:rsidRDefault="000F1C63" w:rsidP="00CD4F87">
            <w:pPr>
              <w:spacing w:line="216" w:lineRule="auto"/>
              <w:rPr>
                <w:rFonts w:ascii="Arial" w:hAnsi="Arial" w:cs="Arial"/>
              </w:rPr>
            </w:pPr>
            <w:r w:rsidRPr="008C48E9">
              <w:rPr>
                <w:rFonts w:ascii="Arial" w:hAnsi="Arial" w:cs="Arial"/>
                <w:sz w:val="12"/>
              </w:rPr>
              <w:t>30 total: 18 service recipients and 12 staff</w:t>
            </w:r>
          </w:p>
        </w:tc>
        <w:tc>
          <w:tcPr>
            <w:tcW w:w="2811" w:type="dxa"/>
          </w:tcPr>
          <w:p w14:paraId="6F317B05"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Recipient-centred support, trusted relationships, community spaces, access to devices/Wi-Fi and regular personalised help supported engagement. </w:t>
            </w:r>
          </w:p>
        </w:tc>
      </w:tr>
      <w:tr w:rsidR="000F1C63" w:rsidRPr="008C48E9" w14:paraId="089173FC" w14:textId="77777777" w:rsidTr="00CD4F87">
        <w:trPr>
          <w:cantSplit/>
          <w:jc w:val="center"/>
        </w:trPr>
        <w:tc>
          <w:tcPr>
            <w:tcW w:w="708" w:type="dxa"/>
          </w:tcPr>
          <w:p w14:paraId="10411217" w14:textId="77777777" w:rsidR="000F1C63" w:rsidRPr="008C48E9" w:rsidRDefault="000F1C63" w:rsidP="00CD4F87">
            <w:pPr>
              <w:spacing w:line="216" w:lineRule="auto"/>
              <w:rPr>
                <w:rFonts w:ascii="Arial" w:hAnsi="Arial" w:cs="Arial"/>
              </w:rPr>
            </w:pPr>
            <w:r w:rsidRPr="008C48E9">
              <w:rPr>
                <w:rFonts w:ascii="Arial" w:hAnsi="Arial" w:cs="Arial"/>
                <w:sz w:val="12"/>
              </w:rPr>
              <w:t>Husain et al.</w:t>
            </w:r>
          </w:p>
        </w:tc>
        <w:tc>
          <w:tcPr>
            <w:tcW w:w="2694" w:type="dxa"/>
          </w:tcPr>
          <w:p w14:paraId="2B5FAF29" w14:textId="77777777" w:rsidR="000F1C63" w:rsidRPr="008C48E9" w:rsidRDefault="000F1C63" w:rsidP="00CD4F87">
            <w:pPr>
              <w:spacing w:line="216" w:lineRule="auto"/>
              <w:rPr>
                <w:rFonts w:ascii="Arial" w:hAnsi="Arial" w:cs="Arial"/>
              </w:rPr>
            </w:pPr>
            <w:r w:rsidRPr="008C48E9">
              <w:rPr>
                <w:rFonts w:ascii="Arial" w:hAnsi="Arial" w:cs="Arial"/>
                <w:sz w:val="12"/>
              </w:rPr>
              <w:t>Developing User Personas to Capture Intersecting Dimensions of Disadvantage in Older Patients Who Are Marginalised: A Qualitative Study</w:t>
            </w:r>
          </w:p>
        </w:tc>
        <w:tc>
          <w:tcPr>
            <w:tcW w:w="567" w:type="dxa"/>
          </w:tcPr>
          <w:p w14:paraId="10CF7138"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0137231A" w14:textId="77777777" w:rsidR="000F1C63" w:rsidRPr="008C48E9" w:rsidRDefault="000F1C63" w:rsidP="00CD4F87">
            <w:pPr>
              <w:spacing w:line="216" w:lineRule="auto"/>
              <w:rPr>
                <w:rFonts w:ascii="Arial" w:hAnsi="Arial" w:cs="Arial"/>
              </w:rPr>
            </w:pPr>
            <w:r w:rsidRPr="008C48E9">
              <w:rPr>
                <w:rFonts w:ascii="Arial" w:hAnsi="Arial" w:cs="Arial"/>
                <w:sz w:val="12"/>
              </w:rPr>
              <w:t>British Journal of General Practice</w:t>
            </w:r>
          </w:p>
        </w:tc>
        <w:tc>
          <w:tcPr>
            <w:tcW w:w="567" w:type="dxa"/>
          </w:tcPr>
          <w:p w14:paraId="3B4A40F0" w14:textId="77777777" w:rsidR="000F1C63" w:rsidRPr="008C48E9" w:rsidRDefault="000F1C63" w:rsidP="00CD4F87">
            <w:pPr>
              <w:spacing w:line="216" w:lineRule="auto"/>
              <w:rPr>
                <w:rFonts w:ascii="Arial" w:hAnsi="Arial" w:cs="Arial"/>
              </w:rPr>
            </w:pPr>
            <w:r w:rsidRPr="008C48E9">
              <w:rPr>
                <w:rFonts w:ascii="Arial" w:hAnsi="Arial" w:cs="Arial"/>
                <w:sz w:val="12"/>
              </w:rPr>
              <w:t>74</w:t>
            </w:r>
          </w:p>
        </w:tc>
        <w:tc>
          <w:tcPr>
            <w:tcW w:w="1134" w:type="dxa"/>
          </w:tcPr>
          <w:p w14:paraId="2AA9FC46" w14:textId="77777777" w:rsidR="000F1C63" w:rsidRPr="008C48E9" w:rsidRDefault="000F1C63" w:rsidP="00CD4F87">
            <w:pPr>
              <w:spacing w:line="216" w:lineRule="auto"/>
              <w:rPr>
                <w:rFonts w:ascii="Arial" w:hAnsi="Arial" w:cs="Arial"/>
              </w:rPr>
            </w:pPr>
            <w:r w:rsidRPr="008C48E9">
              <w:rPr>
                <w:rFonts w:ascii="Arial" w:hAnsi="Arial" w:cs="Arial"/>
                <w:sz w:val="12"/>
              </w:rPr>
              <w:t>Redbridge, Northeast London, England</w:t>
            </w:r>
          </w:p>
        </w:tc>
        <w:tc>
          <w:tcPr>
            <w:tcW w:w="887" w:type="dxa"/>
          </w:tcPr>
          <w:p w14:paraId="563FDA80" w14:textId="77777777" w:rsidR="000F1C63" w:rsidRPr="008C48E9" w:rsidRDefault="000F1C63" w:rsidP="00CD4F87">
            <w:pPr>
              <w:spacing w:line="216" w:lineRule="auto"/>
              <w:rPr>
                <w:rFonts w:ascii="Arial" w:hAnsi="Arial" w:cs="Arial"/>
              </w:rPr>
            </w:pPr>
            <w:r w:rsidRPr="008C48E9">
              <w:rPr>
                <w:rFonts w:ascii="Arial" w:hAnsi="Arial" w:cs="Arial"/>
                <w:sz w:val="12"/>
              </w:rPr>
              <w:t>Qualitative study</w:t>
            </w:r>
          </w:p>
        </w:tc>
        <w:tc>
          <w:tcPr>
            <w:tcW w:w="1587" w:type="dxa"/>
          </w:tcPr>
          <w:p w14:paraId="6AAE4EDE"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develop and test personas reflecting the lived experiences and challenges </w:t>
            </w:r>
          </w:p>
        </w:tc>
        <w:tc>
          <w:tcPr>
            <w:tcW w:w="1779" w:type="dxa"/>
          </w:tcPr>
          <w:p w14:paraId="3C1489D8" w14:textId="77777777" w:rsidR="000F1C63" w:rsidRPr="008C48E9" w:rsidRDefault="000F1C63" w:rsidP="00CD4F87">
            <w:pPr>
              <w:spacing w:line="216" w:lineRule="auto"/>
              <w:rPr>
                <w:rFonts w:ascii="Arial" w:hAnsi="Arial" w:cs="Arial"/>
              </w:rPr>
            </w:pPr>
            <w:r w:rsidRPr="008C48E9">
              <w:rPr>
                <w:rFonts w:ascii="Arial" w:hAnsi="Arial" w:cs="Arial"/>
                <w:sz w:val="12"/>
              </w:rPr>
              <w:t>Narrative interviews and home observations; intersectionality-informed thematic/narrative analysis.</w:t>
            </w:r>
          </w:p>
        </w:tc>
        <w:tc>
          <w:tcPr>
            <w:tcW w:w="1134" w:type="dxa"/>
          </w:tcPr>
          <w:p w14:paraId="7AF8EC39" w14:textId="77777777" w:rsidR="000F1C63" w:rsidRPr="008C48E9" w:rsidRDefault="000F1C63" w:rsidP="00CD4F87">
            <w:pPr>
              <w:spacing w:line="216" w:lineRule="auto"/>
              <w:rPr>
                <w:rFonts w:ascii="Arial" w:hAnsi="Arial" w:cs="Arial"/>
              </w:rPr>
            </w:pPr>
            <w:r w:rsidRPr="008C48E9">
              <w:rPr>
                <w:rFonts w:ascii="Arial" w:hAnsi="Arial" w:cs="Arial"/>
                <w:sz w:val="12"/>
              </w:rPr>
              <w:t>17 older participants; persona-refinement focus groups n=12</w:t>
            </w:r>
          </w:p>
        </w:tc>
        <w:tc>
          <w:tcPr>
            <w:tcW w:w="2811" w:type="dxa"/>
          </w:tcPr>
          <w:p w14:paraId="3A8B2EDC" w14:textId="77777777" w:rsidR="000F1C63" w:rsidRPr="008C48E9" w:rsidRDefault="000F1C63" w:rsidP="00CD4F87">
            <w:pPr>
              <w:spacing w:line="216" w:lineRule="auto"/>
              <w:rPr>
                <w:rFonts w:ascii="Arial" w:hAnsi="Arial" w:cs="Arial"/>
              </w:rPr>
            </w:pPr>
            <w:r w:rsidRPr="008C48E9">
              <w:rPr>
                <w:rFonts w:ascii="Arial" w:hAnsi="Arial" w:cs="Arial"/>
                <w:sz w:val="12"/>
              </w:rPr>
              <w:t>Digital services created substantial challenges where older age intersected with poverty, limited English, chronic illness and low digital/health/system literacy</w:t>
            </w:r>
          </w:p>
        </w:tc>
      </w:tr>
      <w:tr w:rsidR="000F1C63" w:rsidRPr="008C48E9" w14:paraId="64E91C8F" w14:textId="77777777" w:rsidTr="00CD4F87">
        <w:trPr>
          <w:cantSplit/>
          <w:jc w:val="center"/>
        </w:trPr>
        <w:tc>
          <w:tcPr>
            <w:tcW w:w="708" w:type="dxa"/>
          </w:tcPr>
          <w:p w14:paraId="4F1B37A7" w14:textId="77777777" w:rsidR="000F1C63" w:rsidRPr="008C48E9" w:rsidRDefault="000F1C63" w:rsidP="00CD4F87">
            <w:pPr>
              <w:spacing w:line="216" w:lineRule="auto"/>
              <w:rPr>
                <w:rFonts w:ascii="Arial" w:hAnsi="Arial" w:cs="Arial"/>
              </w:rPr>
            </w:pPr>
            <w:r w:rsidRPr="008C48E9">
              <w:rPr>
                <w:rFonts w:ascii="Arial" w:hAnsi="Arial" w:cs="Arial"/>
                <w:sz w:val="12"/>
              </w:rPr>
              <w:t>Husain &amp; Greenhalgh</w:t>
            </w:r>
          </w:p>
        </w:tc>
        <w:tc>
          <w:tcPr>
            <w:tcW w:w="2694" w:type="dxa"/>
          </w:tcPr>
          <w:p w14:paraId="6232E8D8" w14:textId="77777777" w:rsidR="000F1C63" w:rsidRPr="008C48E9" w:rsidRDefault="000F1C63" w:rsidP="00CD4F87">
            <w:pPr>
              <w:spacing w:line="216" w:lineRule="auto"/>
              <w:rPr>
                <w:rFonts w:ascii="Arial" w:hAnsi="Arial" w:cs="Arial"/>
              </w:rPr>
            </w:pPr>
            <w:r w:rsidRPr="008C48E9">
              <w:rPr>
                <w:rFonts w:ascii="Arial" w:hAnsi="Arial" w:cs="Arial"/>
                <w:sz w:val="12"/>
              </w:rPr>
              <w:t>Examining Intersectionality and Barriers to the Uptake of Video Consultations Among Older Adults from Disadvantaged Backgrounds with Limited English Proficiency: Qualitative Narrative Interview Study</w:t>
            </w:r>
          </w:p>
        </w:tc>
        <w:tc>
          <w:tcPr>
            <w:tcW w:w="567" w:type="dxa"/>
          </w:tcPr>
          <w:p w14:paraId="561B84E1" w14:textId="77777777" w:rsidR="000F1C63" w:rsidRPr="008C48E9" w:rsidRDefault="000F1C63" w:rsidP="00CD4F87">
            <w:pPr>
              <w:spacing w:line="216" w:lineRule="auto"/>
              <w:rPr>
                <w:rFonts w:ascii="Arial" w:hAnsi="Arial" w:cs="Arial"/>
              </w:rPr>
            </w:pPr>
            <w:r w:rsidRPr="008C48E9">
              <w:rPr>
                <w:rFonts w:ascii="Arial" w:hAnsi="Arial" w:cs="Arial"/>
                <w:sz w:val="12"/>
              </w:rPr>
              <w:t>2025</w:t>
            </w:r>
          </w:p>
        </w:tc>
        <w:tc>
          <w:tcPr>
            <w:tcW w:w="1275" w:type="dxa"/>
          </w:tcPr>
          <w:p w14:paraId="78C5807B" w14:textId="77777777" w:rsidR="000F1C63" w:rsidRPr="008C48E9" w:rsidRDefault="000F1C63" w:rsidP="00CD4F87">
            <w:pPr>
              <w:spacing w:line="216" w:lineRule="auto"/>
              <w:rPr>
                <w:rFonts w:ascii="Arial" w:hAnsi="Arial" w:cs="Arial"/>
              </w:rPr>
            </w:pPr>
            <w:r w:rsidRPr="008C48E9">
              <w:rPr>
                <w:rFonts w:ascii="Arial" w:hAnsi="Arial" w:cs="Arial"/>
                <w:sz w:val="12"/>
              </w:rPr>
              <w:t>Journal of Medical Internet Research</w:t>
            </w:r>
          </w:p>
        </w:tc>
        <w:tc>
          <w:tcPr>
            <w:tcW w:w="567" w:type="dxa"/>
          </w:tcPr>
          <w:p w14:paraId="4BDED93B" w14:textId="77777777" w:rsidR="000F1C63" w:rsidRPr="008C48E9" w:rsidRDefault="000F1C63" w:rsidP="00CD4F87">
            <w:pPr>
              <w:spacing w:line="216" w:lineRule="auto"/>
              <w:rPr>
                <w:rFonts w:ascii="Arial" w:hAnsi="Arial" w:cs="Arial"/>
              </w:rPr>
            </w:pPr>
            <w:r w:rsidRPr="008C48E9">
              <w:rPr>
                <w:rFonts w:ascii="Arial" w:hAnsi="Arial" w:cs="Arial"/>
                <w:sz w:val="12"/>
              </w:rPr>
              <w:t>27</w:t>
            </w:r>
          </w:p>
        </w:tc>
        <w:tc>
          <w:tcPr>
            <w:tcW w:w="1134" w:type="dxa"/>
          </w:tcPr>
          <w:p w14:paraId="3F4091A9" w14:textId="77777777" w:rsidR="000F1C63" w:rsidRPr="008C48E9" w:rsidRDefault="000F1C63" w:rsidP="00CD4F87">
            <w:pPr>
              <w:spacing w:line="216" w:lineRule="auto"/>
              <w:rPr>
                <w:rFonts w:ascii="Arial" w:hAnsi="Arial" w:cs="Arial"/>
              </w:rPr>
            </w:pPr>
            <w:r w:rsidRPr="008C48E9">
              <w:rPr>
                <w:rFonts w:ascii="Arial" w:hAnsi="Arial" w:cs="Arial"/>
                <w:sz w:val="12"/>
              </w:rPr>
              <w:t>Redbridge, London, England</w:t>
            </w:r>
          </w:p>
        </w:tc>
        <w:tc>
          <w:tcPr>
            <w:tcW w:w="887" w:type="dxa"/>
          </w:tcPr>
          <w:p w14:paraId="2B20E972" w14:textId="77777777" w:rsidR="000F1C63" w:rsidRPr="008C48E9" w:rsidRDefault="000F1C63" w:rsidP="00CD4F87">
            <w:pPr>
              <w:spacing w:line="216" w:lineRule="auto"/>
              <w:rPr>
                <w:rFonts w:ascii="Arial" w:hAnsi="Arial" w:cs="Arial"/>
              </w:rPr>
            </w:pPr>
            <w:r w:rsidRPr="008C48E9">
              <w:rPr>
                <w:rFonts w:ascii="Arial" w:hAnsi="Arial" w:cs="Arial"/>
                <w:sz w:val="12"/>
              </w:rPr>
              <w:t>Qualitative narrative interview study</w:t>
            </w:r>
          </w:p>
        </w:tc>
        <w:tc>
          <w:tcPr>
            <w:tcW w:w="1587" w:type="dxa"/>
          </w:tcPr>
          <w:p w14:paraId="28A88738"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how older age, limited English proficiency and low socioeconomic status intersect to shape experiences </w:t>
            </w:r>
          </w:p>
        </w:tc>
        <w:tc>
          <w:tcPr>
            <w:tcW w:w="1779" w:type="dxa"/>
          </w:tcPr>
          <w:p w14:paraId="645829C9" w14:textId="77777777" w:rsidR="000F1C63" w:rsidRPr="008C48E9" w:rsidRDefault="000F1C63" w:rsidP="00CD4F87">
            <w:pPr>
              <w:spacing w:line="216" w:lineRule="auto"/>
              <w:rPr>
                <w:rFonts w:ascii="Arial" w:hAnsi="Arial" w:cs="Arial"/>
              </w:rPr>
            </w:pPr>
            <w:r w:rsidRPr="008C48E9">
              <w:rPr>
                <w:rFonts w:ascii="Arial" w:hAnsi="Arial" w:cs="Arial"/>
                <w:sz w:val="12"/>
              </w:rPr>
              <w:t>Narrative interviews and ethnographic observations during home visits; intersectional narrative analysis</w:t>
            </w:r>
          </w:p>
        </w:tc>
        <w:tc>
          <w:tcPr>
            <w:tcW w:w="1134" w:type="dxa"/>
          </w:tcPr>
          <w:p w14:paraId="2547F7F0" w14:textId="77777777" w:rsidR="000F1C63" w:rsidRPr="008C48E9" w:rsidRDefault="000F1C63" w:rsidP="00CD4F87">
            <w:pPr>
              <w:spacing w:line="216" w:lineRule="auto"/>
              <w:rPr>
                <w:rFonts w:ascii="Arial" w:hAnsi="Arial" w:cs="Arial"/>
              </w:rPr>
            </w:pPr>
            <w:r w:rsidRPr="008C48E9">
              <w:rPr>
                <w:rFonts w:ascii="Arial" w:hAnsi="Arial" w:cs="Arial"/>
                <w:sz w:val="12"/>
              </w:rPr>
              <w:t>17 older adults</w:t>
            </w:r>
          </w:p>
        </w:tc>
        <w:tc>
          <w:tcPr>
            <w:tcW w:w="2811" w:type="dxa"/>
          </w:tcPr>
          <w:p w14:paraId="54FF6596" w14:textId="77777777" w:rsidR="000F1C63" w:rsidRPr="008C48E9" w:rsidRDefault="000F1C63" w:rsidP="00CD4F87">
            <w:pPr>
              <w:spacing w:line="216" w:lineRule="auto"/>
              <w:rPr>
                <w:rFonts w:ascii="Arial" w:hAnsi="Arial" w:cs="Arial"/>
              </w:rPr>
            </w:pPr>
            <w:r w:rsidRPr="008C48E9">
              <w:rPr>
                <w:rFonts w:ascii="Arial" w:hAnsi="Arial" w:cs="Arial"/>
                <w:sz w:val="12"/>
              </w:rPr>
              <w:t>Digitalisation could compound existing disadvantage, reduce agency and erode trust. health/service factors rather than age alone.</w:t>
            </w:r>
          </w:p>
        </w:tc>
      </w:tr>
      <w:tr w:rsidR="000F1C63" w:rsidRPr="008C48E9" w14:paraId="45C0BE18" w14:textId="77777777" w:rsidTr="00CD4F87">
        <w:trPr>
          <w:cantSplit/>
          <w:jc w:val="center"/>
        </w:trPr>
        <w:tc>
          <w:tcPr>
            <w:tcW w:w="708" w:type="dxa"/>
          </w:tcPr>
          <w:p w14:paraId="5DF97775" w14:textId="77777777" w:rsidR="000F1C63" w:rsidRPr="008C48E9" w:rsidRDefault="000F1C63" w:rsidP="00CD4F87">
            <w:pPr>
              <w:spacing w:line="216" w:lineRule="auto"/>
              <w:rPr>
                <w:rFonts w:ascii="Arial" w:hAnsi="Arial" w:cs="Arial"/>
              </w:rPr>
            </w:pPr>
            <w:r w:rsidRPr="008C48E9">
              <w:rPr>
                <w:rFonts w:ascii="Arial" w:hAnsi="Arial" w:cs="Arial"/>
                <w:sz w:val="12"/>
              </w:rPr>
              <w:t>Clohessy et al.</w:t>
            </w:r>
          </w:p>
        </w:tc>
        <w:tc>
          <w:tcPr>
            <w:tcW w:w="2694" w:type="dxa"/>
          </w:tcPr>
          <w:p w14:paraId="4668B7B8" w14:textId="77777777" w:rsidR="000F1C63" w:rsidRPr="008C48E9" w:rsidRDefault="000F1C63" w:rsidP="00CD4F87">
            <w:pPr>
              <w:spacing w:line="216" w:lineRule="auto"/>
              <w:rPr>
                <w:rFonts w:ascii="Arial" w:hAnsi="Arial" w:cs="Arial"/>
              </w:rPr>
            </w:pPr>
            <w:r w:rsidRPr="008C48E9">
              <w:rPr>
                <w:rFonts w:ascii="Arial" w:hAnsi="Arial" w:cs="Arial"/>
                <w:sz w:val="12"/>
              </w:rPr>
              <w:t>Exploring Older Adults’ Perceptions of Using Digital Health Platforms for Self-Managing Musculoskeletal Health Conditions: Focus Group Study</w:t>
            </w:r>
          </w:p>
        </w:tc>
        <w:tc>
          <w:tcPr>
            <w:tcW w:w="567" w:type="dxa"/>
          </w:tcPr>
          <w:p w14:paraId="3A5CDD1E"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179BA87C" w14:textId="77777777" w:rsidR="000F1C63" w:rsidRPr="008C48E9" w:rsidRDefault="000F1C63" w:rsidP="00CD4F87">
            <w:pPr>
              <w:spacing w:line="216" w:lineRule="auto"/>
              <w:rPr>
                <w:rFonts w:ascii="Arial" w:hAnsi="Arial" w:cs="Arial"/>
              </w:rPr>
            </w:pPr>
            <w:r w:rsidRPr="008C48E9">
              <w:rPr>
                <w:rFonts w:ascii="Arial" w:hAnsi="Arial" w:cs="Arial"/>
                <w:sz w:val="12"/>
              </w:rPr>
              <w:t>JMIR Aging</w:t>
            </w:r>
          </w:p>
        </w:tc>
        <w:tc>
          <w:tcPr>
            <w:tcW w:w="567" w:type="dxa"/>
          </w:tcPr>
          <w:p w14:paraId="499B55B1" w14:textId="77777777" w:rsidR="000F1C63" w:rsidRPr="008C48E9" w:rsidRDefault="000F1C63" w:rsidP="00CD4F87">
            <w:pPr>
              <w:spacing w:line="216" w:lineRule="auto"/>
              <w:rPr>
                <w:rFonts w:ascii="Arial" w:hAnsi="Arial" w:cs="Arial"/>
              </w:rPr>
            </w:pPr>
            <w:r w:rsidRPr="008C48E9">
              <w:rPr>
                <w:rFonts w:ascii="Arial" w:hAnsi="Arial" w:cs="Arial"/>
                <w:sz w:val="12"/>
              </w:rPr>
              <w:t>7</w:t>
            </w:r>
          </w:p>
        </w:tc>
        <w:tc>
          <w:tcPr>
            <w:tcW w:w="1134" w:type="dxa"/>
          </w:tcPr>
          <w:p w14:paraId="67334D6D" w14:textId="77777777" w:rsidR="000F1C63" w:rsidRPr="008C48E9" w:rsidRDefault="000F1C63" w:rsidP="00CD4F87">
            <w:pPr>
              <w:spacing w:line="216" w:lineRule="auto"/>
              <w:rPr>
                <w:rFonts w:ascii="Arial" w:hAnsi="Arial" w:cs="Arial"/>
              </w:rPr>
            </w:pPr>
            <w:r w:rsidRPr="008C48E9">
              <w:rPr>
                <w:rFonts w:ascii="Arial" w:hAnsi="Arial" w:cs="Arial"/>
                <w:sz w:val="12"/>
              </w:rPr>
              <w:t>United Kingdom; participants recruited across a wide geographical region</w:t>
            </w:r>
          </w:p>
        </w:tc>
        <w:tc>
          <w:tcPr>
            <w:tcW w:w="887" w:type="dxa"/>
          </w:tcPr>
          <w:p w14:paraId="362E3E8B" w14:textId="77777777" w:rsidR="000F1C63" w:rsidRPr="008C48E9" w:rsidRDefault="000F1C63" w:rsidP="00CD4F87">
            <w:pPr>
              <w:spacing w:line="216" w:lineRule="auto"/>
              <w:rPr>
                <w:rFonts w:ascii="Arial" w:hAnsi="Arial" w:cs="Arial"/>
              </w:rPr>
            </w:pPr>
            <w:r w:rsidRPr="008C48E9">
              <w:rPr>
                <w:rFonts w:ascii="Arial" w:hAnsi="Arial" w:cs="Arial"/>
                <w:sz w:val="12"/>
              </w:rPr>
              <w:t>Qualitative focus-group study</w:t>
            </w:r>
          </w:p>
        </w:tc>
        <w:tc>
          <w:tcPr>
            <w:tcW w:w="1587" w:type="dxa"/>
          </w:tcPr>
          <w:p w14:paraId="27221C36"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older adults’ opinions and perceptions of digital platforms </w:t>
            </w:r>
          </w:p>
        </w:tc>
        <w:tc>
          <w:tcPr>
            <w:tcW w:w="1779" w:type="dxa"/>
          </w:tcPr>
          <w:p w14:paraId="62A1028E" w14:textId="77777777" w:rsidR="000F1C63" w:rsidRPr="008C48E9" w:rsidRDefault="000F1C63" w:rsidP="00CD4F87">
            <w:pPr>
              <w:spacing w:line="216" w:lineRule="auto"/>
              <w:rPr>
                <w:rFonts w:ascii="Arial" w:hAnsi="Arial" w:cs="Arial"/>
              </w:rPr>
            </w:pPr>
            <w:r w:rsidRPr="008C48E9">
              <w:rPr>
                <w:rFonts w:ascii="Arial" w:hAnsi="Arial" w:cs="Arial"/>
                <w:sz w:val="12"/>
              </w:rPr>
              <w:t>Two virtual focus groups using Microsoft Teams; audio recording and transcription; inductive thematic analysis.</w:t>
            </w:r>
          </w:p>
        </w:tc>
        <w:tc>
          <w:tcPr>
            <w:tcW w:w="1134" w:type="dxa"/>
          </w:tcPr>
          <w:p w14:paraId="55EBF19A" w14:textId="77777777" w:rsidR="000F1C63" w:rsidRPr="008C48E9" w:rsidRDefault="000F1C63" w:rsidP="00CD4F87">
            <w:pPr>
              <w:spacing w:line="216" w:lineRule="auto"/>
              <w:rPr>
                <w:rFonts w:ascii="Arial" w:hAnsi="Arial" w:cs="Arial"/>
              </w:rPr>
            </w:pPr>
            <w:r w:rsidRPr="008C48E9">
              <w:rPr>
                <w:rFonts w:ascii="Arial" w:hAnsi="Arial" w:cs="Arial"/>
                <w:sz w:val="12"/>
              </w:rPr>
              <w:t>15 participants aged ≥60 years</w:t>
            </w:r>
          </w:p>
        </w:tc>
        <w:tc>
          <w:tcPr>
            <w:tcW w:w="2811" w:type="dxa"/>
          </w:tcPr>
          <w:p w14:paraId="57A08FFD"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Six themes were identified: experiences of digital platforms, preference for human contact, barriers to clinical services, individual differences/digital literacy, trust in technology, and features/benefits. </w:t>
            </w:r>
          </w:p>
        </w:tc>
      </w:tr>
      <w:tr w:rsidR="000F1C63" w:rsidRPr="008C48E9" w14:paraId="32C49F60" w14:textId="77777777" w:rsidTr="00CD4F87">
        <w:trPr>
          <w:cantSplit/>
          <w:jc w:val="center"/>
        </w:trPr>
        <w:tc>
          <w:tcPr>
            <w:tcW w:w="708" w:type="dxa"/>
          </w:tcPr>
          <w:p w14:paraId="0E4968C0" w14:textId="77777777" w:rsidR="000F1C63" w:rsidRPr="008C48E9" w:rsidRDefault="000F1C63" w:rsidP="00CD4F87">
            <w:pPr>
              <w:spacing w:line="216" w:lineRule="auto"/>
              <w:rPr>
                <w:rFonts w:ascii="Arial" w:hAnsi="Arial" w:cs="Arial"/>
              </w:rPr>
            </w:pPr>
            <w:r w:rsidRPr="008C48E9">
              <w:rPr>
                <w:rFonts w:ascii="Arial" w:hAnsi="Arial" w:cs="Arial"/>
                <w:sz w:val="12"/>
              </w:rPr>
              <w:t>Ahmed et al.</w:t>
            </w:r>
          </w:p>
        </w:tc>
        <w:tc>
          <w:tcPr>
            <w:tcW w:w="2694" w:type="dxa"/>
          </w:tcPr>
          <w:p w14:paraId="314452E9" w14:textId="77777777" w:rsidR="000F1C63" w:rsidRPr="008C48E9" w:rsidRDefault="000F1C63" w:rsidP="00CD4F87">
            <w:pPr>
              <w:spacing w:line="216" w:lineRule="auto"/>
              <w:rPr>
                <w:rFonts w:ascii="Arial" w:hAnsi="Arial" w:cs="Arial"/>
              </w:rPr>
            </w:pPr>
            <w:r w:rsidRPr="008C48E9">
              <w:rPr>
                <w:rFonts w:ascii="Arial" w:hAnsi="Arial" w:cs="Arial"/>
                <w:sz w:val="12"/>
              </w:rPr>
              <w:t>Experiences and Views of Older Adults of South Asian, Black African, and Caribbean Backgrounds About the Digitalisation of Primary Care Services Since the COVID-19 Pandemic: Qualitative Focus Group Study</w:t>
            </w:r>
          </w:p>
        </w:tc>
        <w:tc>
          <w:tcPr>
            <w:tcW w:w="567" w:type="dxa"/>
          </w:tcPr>
          <w:p w14:paraId="252D8139" w14:textId="77777777" w:rsidR="000F1C63" w:rsidRPr="008C48E9" w:rsidRDefault="000F1C63" w:rsidP="00CD4F87">
            <w:pPr>
              <w:spacing w:line="216" w:lineRule="auto"/>
              <w:rPr>
                <w:rFonts w:ascii="Arial" w:hAnsi="Arial" w:cs="Arial"/>
              </w:rPr>
            </w:pPr>
            <w:r w:rsidRPr="008C48E9">
              <w:rPr>
                <w:rFonts w:ascii="Arial" w:hAnsi="Arial" w:cs="Arial"/>
                <w:sz w:val="12"/>
              </w:rPr>
              <w:t>2024</w:t>
            </w:r>
          </w:p>
        </w:tc>
        <w:tc>
          <w:tcPr>
            <w:tcW w:w="1275" w:type="dxa"/>
          </w:tcPr>
          <w:p w14:paraId="5DC3339C" w14:textId="77777777" w:rsidR="000F1C63" w:rsidRPr="008C48E9" w:rsidRDefault="000F1C63" w:rsidP="00CD4F87">
            <w:pPr>
              <w:spacing w:line="216" w:lineRule="auto"/>
              <w:rPr>
                <w:rFonts w:ascii="Arial" w:hAnsi="Arial" w:cs="Arial"/>
              </w:rPr>
            </w:pPr>
            <w:r w:rsidRPr="008C48E9">
              <w:rPr>
                <w:rFonts w:ascii="Arial" w:hAnsi="Arial" w:cs="Arial"/>
                <w:sz w:val="12"/>
              </w:rPr>
              <w:t>JMIR Formative Research</w:t>
            </w:r>
          </w:p>
        </w:tc>
        <w:tc>
          <w:tcPr>
            <w:tcW w:w="567" w:type="dxa"/>
          </w:tcPr>
          <w:p w14:paraId="249FC196" w14:textId="77777777" w:rsidR="000F1C63" w:rsidRPr="008C48E9" w:rsidRDefault="000F1C63" w:rsidP="00CD4F87">
            <w:pPr>
              <w:spacing w:line="216" w:lineRule="auto"/>
              <w:rPr>
                <w:rFonts w:ascii="Arial" w:hAnsi="Arial" w:cs="Arial"/>
              </w:rPr>
            </w:pPr>
            <w:r w:rsidRPr="008C48E9">
              <w:rPr>
                <w:rFonts w:ascii="Arial" w:hAnsi="Arial" w:cs="Arial"/>
                <w:sz w:val="12"/>
              </w:rPr>
              <w:t>8</w:t>
            </w:r>
          </w:p>
        </w:tc>
        <w:tc>
          <w:tcPr>
            <w:tcW w:w="1134" w:type="dxa"/>
          </w:tcPr>
          <w:p w14:paraId="1FD27022" w14:textId="77777777" w:rsidR="000F1C63" w:rsidRPr="008C48E9" w:rsidRDefault="000F1C63" w:rsidP="00CD4F87">
            <w:pPr>
              <w:spacing w:line="216" w:lineRule="auto"/>
              <w:rPr>
                <w:rFonts w:ascii="Arial" w:hAnsi="Arial" w:cs="Arial"/>
              </w:rPr>
            </w:pPr>
            <w:r w:rsidRPr="008C48E9">
              <w:rPr>
                <w:rFonts w:ascii="Arial" w:hAnsi="Arial" w:cs="Arial"/>
                <w:sz w:val="12"/>
              </w:rPr>
              <w:t>England and Wales</w:t>
            </w:r>
          </w:p>
        </w:tc>
        <w:tc>
          <w:tcPr>
            <w:tcW w:w="887" w:type="dxa"/>
          </w:tcPr>
          <w:p w14:paraId="67249D9E" w14:textId="77777777" w:rsidR="000F1C63" w:rsidRPr="008C48E9" w:rsidRDefault="000F1C63" w:rsidP="00CD4F87">
            <w:pPr>
              <w:spacing w:line="216" w:lineRule="auto"/>
              <w:rPr>
                <w:rFonts w:ascii="Arial" w:hAnsi="Arial" w:cs="Arial"/>
              </w:rPr>
            </w:pPr>
            <w:r w:rsidRPr="008C48E9">
              <w:rPr>
                <w:rFonts w:ascii="Arial" w:hAnsi="Arial" w:cs="Arial"/>
                <w:sz w:val="12"/>
              </w:rPr>
              <w:t>Qualitative focus-group study</w:t>
            </w:r>
          </w:p>
        </w:tc>
        <w:tc>
          <w:tcPr>
            <w:tcW w:w="1587" w:type="dxa"/>
          </w:tcPr>
          <w:p w14:paraId="02BFAB5E"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experiences and views of older adults from South Asian, Black African and Caribbean backgrounds </w:t>
            </w:r>
          </w:p>
        </w:tc>
        <w:tc>
          <w:tcPr>
            <w:tcW w:w="1779" w:type="dxa"/>
          </w:tcPr>
          <w:p w14:paraId="0E1DD705" w14:textId="77777777" w:rsidR="000F1C63" w:rsidRPr="008C48E9" w:rsidRDefault="000F1C63" w:rsidP="00CD4F87">
            <w:pPr>
              <w:spacing w:line="216" w:lineRule="auto"/>
              <w:rPr>
                <w:rFonts w:ascii="Arial" w:hAnsi="Arial" w:cs="Arial"/>
              </w:rPr>
            </w:pPr>
            <w:r w:rsidRPr="008C48E9">
              <w:rPr>
                <w:rFonts w:ascii="Arial" w:hAnsi="Arial" w:cs="Arial"/>
                <w:sz w:val="12"/>
              </w:rPr>
              <w:t>Four qualitative focus groups; framework analysis.</w:t>
            </w:r>
          </w:p>
        </w:tc>
        <w:tc>
          <w:tcPr>
            <w:tcW w:w="1134" w:type="dxa"/>
          </w:tcPr>
          <w:p w14:paraId="29CE9231" w14:textId="77777777" w:rsidR="000F1C63" w:rsidRPr="008C48E9" w:rsidRDefault="000F1C63" w:rsidP="00CD4F87">
            <w:pPr>
              <w:spacing w:line="216" w:lineRule="auto"/>
              <w:rPr>
                <w:rFonts w:ascii="Arial" w:hAnsi="Arial" w:cs="Arial"/>
              </w:rPr>
            </w:pPr>
            <w:r w:rsidRPr="008C48E9">
              <w:rPr>
                <w:rFonts w:ascii="Arial" w:hAnsi="Arial" w:cs="Arial"/>
                <w:sz w:val="12"/>
              </w:rPr>
              <w:t>27 adults aged &gt;65 years</w:t>
            </w:r>
          </w:p>
        </w:tc>
        <w:tc>
          <w:tcPr>
            <w:tcW w:w="2811" w:type="dxa"/>
          </w:tcPr>
          <w:p w14:paraId="74CB3531" w14:textId="77777777" w:rsidR="000F1C63" w:rsidRPr="008C48E9" w:rsidRDefault="000F1C63" w:rsidP="00CD4F87">
            <w:pPr>
              <w:spacing w:line="216" w:lineRule="auto"/>
              <w:rPr>
                <w:rFonts w:ascii="Arial" w:hAnsi="Arial" w:cs="Arial"/>
              </w:rPr>
            </w:pPr>
            <w:r w:rsidRPr="008C48E9">
              <w:rPr>
                <w:rFonts w:ascii="Arial" w:hAnsi="Arial" w:cs="Arial"/>
                <w:sz w:val="12"/>
              </w:rPr>
              <w:t>Digitalised primary care created difficulties where limited digital skills intersected with language and other barriers</w:t>
            </w:r>
          </w:p>
        </w:tc>
      </w:tr>
      <w:tr w:rsidR="000F1C63" w:rsidRPr="008C48E9" w14:paraId="2A0A242A" w14:textId="77777777" w:rsidTr="00CD4F87">
        <w:trPr>
          <w:cantSplit/>
          <w:jc w:val="center"/>
        </w:trPr>
        <w:tc>
          <w:tcPr>
            <w:tcW w:w="708" w:type="dxa"/>
          </w:tcPr>
          <w:p w14:paraId="3C22E20B" w14:textId="77777777" w:rsidR="000F1C63" w:rsidRPr="008C48E9" w:rsidRDefault="000F1C63" w:rsidP="00CD4F87">
            <w:pPr>
              <w:spacing w:line="216" w:lineRule="auto"/>
              <w:rPr>
                <w:rFonts w:ascii="Arial" w:hAnsi="Arial" w:cs="Arial"/>
              </w:rPr>
            </w:pPr>
            <w:r w:rsidRPr="008C48E9">
              <w:rPr>
                <w:rFonts w:ascii="Arial" w:hAnsi="Arial" w:cs="Arial"/>
                <w:sz w:val="12"/>
              </w:rPr>
              <w:t>Wang &amp; Hinojosa</w:t>
            </w:r>
          </w:p>
        </w:tc>
        <w:tc>
          <w:tcPr>
            <w:tcW w:w="2694" w:type="dxa"/>
          </w:tcPr>
          <w:p w14:paraId="2146945E" w14:textId="77777777" w:rsidR="000F1C63" w:rsidRPr="008C48E9" w:rsidRDefault="000F1C63" w:rsidP="00CD4F87">
            <w:pPr>
              <w:spacing w:line="216" w:lineRule="auto"/>
              <w:rPr>
                <w:rFonts w:ascii="Arial" w:hAnsi="Arial" w:cs="Arial"/>
              </w:rPr>
            </w:pPr>
            <w:r w:rsidRPr="008C48E9">
              <w:rPr>
                <w:rFonts w:ascii="Arial" w:hAnsi="Arial" w:cs="Arial"/>
                <w:sz w:val="12"/>
              </w:rPr>
              <w:t>Barriers to Mental Health Service Use Among Older Adults: A Multistakeholder Qualitative Study in Southampton</w:t>
            </w:r>
          </w:p>
        </w:tc>
        <w:tc>
          <w:tcPr>
            <w:tcW w:w="567" w:type="dxa"/>
          </w:tcPr>
          <w:p w14:paraId="2BB6A1DB" w14:textId="77777777" w:rsidR="000F1C63" w:rsidRPr="008C48E9" w:rsidRDefault="000F1C63" w:rsidP="00CD4F87">
            <w:pPr>
              <w:spacing w:line="216" w:lineRule="auto"/>
              <w:rPr>
                <w:rFonts w:ascii="Arial" w:hAnsi="Arial" w:cs="Arial"/>
              </w:rPr>
            </w:pPr>
            <w:r w:rsidRPr="008C48E9">
              <w:rPr>
                <w:rFonts w:ascii="Arial" w:hAnsi="Arial" w:cs="Arial"/>
                <w:sz w:val="12"/>
              </w:rPr>
              <w:t>2026</w:t>
            </w:r>
          </w:p>
        </w:tc>
        <w:tc>
          <w:tcPr>
            <w:tcW w:w="1275" w:type="dxa"/>
          </w:tcPr>
          <w:p w14:paraId="186C21E2" w14:textId="77777777" w:rsidR="000F1C63" w:rsidRPr="008C48E9" w:rsidRDefault="000F1C63" w:rsidP="00CD4F87">
            <w:pPr>
              <w:spacing w:line="216" w:lineRule="auto"/>
              <w:rPr>
                <w:rFonts w:ascii="Arial" w:hAnsi="Arial" w:cs="Arial"/>
              </w:rPr>
            </w:pPr>
            <w:r w:rsidRPr="008C48E9">
              <w:rPr>
                <w:rFonts w:ascii="Arial" w:hAnsi="Arial" w:cs="Arial"/>
                <w:sz w:val="12"/>
              </w:rPr>
              <w:t>Health &amp; Social Care in the Community</w:t>
            </w:r>
          </w:p>
        </w:tc>
        <w:tc>
          <w:tcPr>
            <w:tcW w:w="567" w:type="dxa"/>
          </w:tcPr>
          <w:p w14:paraId="075C8DFB" w14:textId="77777777" w:rsidR="000F1C63" w:rsidRPr="008C48E9" w:rsidRDefault="000F1C63" w:rsidP="00CD4F87">
            <w:pPr>
              <w:spacing w:line="216" w:lineRule="auto"/>
              <w:rPr>
                <w:rFonts w:ascii="Arial" w:hAnsi="Arial" w:cs="Arial"/>
              </w:rPr>
            </w:pPr>
            <w:r w:rsidRPr="008C48E9">
              <w:rPr>
                <w:rFonts w:ascii="Arial" w:hAnsi="Arial" w:cs="Arial"/>
                <w:sz w:val="12"/>
              </w:rPr>
              <w:t>2026</w:t>
            </w:r>
          </w:p>
        </w:tc>
        <w:tc>
          <w:tcPr>
            <w:tcW w:w="1134" w:type="dxa"/>
          </w:tcPr>
          <w:p w14:paraId="04BF967A" w14:textId="77777777" w:rsidR="000F1C63" w:rsidRPr="008C48E9" w:rsidRDefault="000F1C63" w:rsidP="00CD4F87">
            <w:pPr>
              <w:spacing w:line="216" w:lineRule="auto"/>
              <w:rPr>
                <w:rFonts w:ascii="Arial" w:hAnsi="Arial" w:cs="Arial"/>
              </w:rPr>
            </w:pPr>
            <w:r w:rsidRPr="008C48E9">
              <w:rPr>
                <w:rFonts w:ascii="Arial" w:hAnsi="Arial" w:cs="Arial"/>
                <w:sz w:val="12"/>
              </w:rPr>
              <w:t>Southampton, England</w:t>
            </w:r>
          </w:p>
        </w:tc>
        <w:tc>
          <w:tcPr>
            <w:tcW w:w="887" w:type="dxa"/>
          </w:tcPr>
          <w:p w14:paraId="44FC73F4" w14:textId="77777777" w:rsidR="000F1C63" w:rsidRPr="008C48E9" w:rsidRDefault="000F1C63" w:rsidP="00CD4F87">
            <w:pPr>
              <w:spacing w:line="216" w:lineRule="auto"/>
              <w:rPr>
                <w:rFonts w:ascii="Arial" w:hAnsi="Arial" w:cs="Arial"/>
              </w:rPr>
            </w:pPr>
            <w:r w:rsidRPr="008C48E9">
              <w:rPr>
                <w:rFonts w:ascii="Arial" w:hAnsi="Arial" w:cs="Arial"/>
                <w:sz w:val="12"/>
              </w:rPr>
              <w:t>Multistakeholder qualitative study</w:t>
            </w:r>
          </w:p>
        </w:tc>
        <w:tc>
          <w:tcPr>
            <w:tcW w:w="1587" w:type="dxa"/>
          </w:tcPr>
          <w:p w14:paraId="23F922DF" w14:textId="77777777" w:rsidR="000F1C63" w:rsidRPr="008C48E9" w:rsidRDefault="000F1C63" w:rsidP="00CD4F87">
            <w:pPr>
              <w:spacing w:line="216" w:lineRule="auto"/>
              <w:rPr>
                <w:rFonts w:ascii="Arial" w:hAnsi="Arial" w:cs="Arial"/>
              </w:rPr>
            </w:pPr>
            <w:r w:rsidRPr="008C48E9">
              <w:rPr>
                <w:rFonts w:ascii="Arial" w:hAnsi="Arial" w:cs="Arial"/>
                <w:sz w:val="12"/>
              </w:rPr>
              <w:t>To explore barriers to mental health service use among older.</w:t>
            </w:r>
          </w:p>
        </w:tc>
        <w:tc>
          <w:tcPr>
            <w:tcW w:w="1779" w:type="dxa"/>
          </w:tcPr>
          <w:p w14:paraId="27BB8693" w14:textId="77777777" w:rsidR="000F1C63" w:rsidRPr="008C48E9" w:rsidRDefault="000F1C63" w:rsidP="00CD4F87">
            <w:pPr>
              <w:spacing w:line="216" w:lineRule="auto"/>
              <w:rPr>
                <w:rFonts w:ascii="Arial" w:hAnsi="Arial" w:cs="Arial"/>
              </w:rPr>
            </w:pPr>
            <w:r w:rsidRPr="008C48E9">
              <w:rPr>
                <w:rFonts w:ascii="Arial" w:hAnsi="Arial" w:cs="Arial"/>
                <w:sz w:val="12"/>
              </w:rPr>
              <w:t>In-depth qualitative interviews; reflexive thematic analysis.</w:t>
            </w:r>
          </w:p>
        </w:tc>
        <w:tc>
          <w:tcPr>
            <w:tcW w:w="1134" w:type="dxa"/>
          </w:tcPr>
          <w:p w14:paraId="60268CC4" w14:textId="77777777" w:rsidR="000F1C63" w:rsidRPr="008C48E9" w:rsidRDefault="000F1C63" w:rsidP="00CD4F87">
            <w:pPr>
              <w:spacing w:line="216" w:lineRule="auto"/>
              <w:rPr>
                <w:rFonts w:ascii="Arial" w:hAnsi="Arial" w:cs="Arial"/>
              </w:rPr>
            </w:pPr>
            <w:r w:rsidRPr="008C48E9">
              <w:rPr>
                <w:rFonts w:ascii="Arial" w:hAnsi="Arial" w:cs="Arial"/>
                <w:sz w:val="12"/>
              </w:rPr>
              <w:t>15 total: 4 strategic stakeholders, 3 frontline workers, 7 older adults and 1 family carer</w:t>
            </w:r>
          </w:p>
        </w:tc>
        <w:tc>
          <w:tcPr>
            <w:tcW w:w="2811" w:type="dxa"/>
          </w:tcPr>
          <w:p w14:paraId="41F33377" w14:textId="77777777" w:rsidR="000F1C63" w:rsidRPr="008C48E9" w:rsidRDefault="000F1C63" w:rsidP="00CD4F87">
            <w:pPr>
              <w:spacing w:line="216" w:lineRule="auto"/>
              <w:rPr>
                <w:rFonts w:ascii="Arial" w:hAnsi="Arial" w:cs="Arial"/>
              </w:rPr>
            </w:pPr>
            <w:r w:rsidRPr="008C48E9">
              <w:rPr>
                <w:rFonts w:ascii="Arial" w:hAnsi="Arial" w:cs="Arial"/>
                <w:sz w:val="12"/>
              </w:rPr>
              <w:t>Structural, organisational and personal barriers intersected to restrict access. Digital exclusion and information gaps were recurring concerns, alongside fragmented pathways, long waits, limited awareness, stigma and reliance on informal support.</w:t>
            </w:r>
          </w:p>
        </w:tc>
      </w:tr>
      <w:tr w:rsidR="000F1C63" w:rsidRPr="008C48E9" w14:paraId="033EFFB9" w14:textId="77777777" w:rsidTr="00CD4F87">
        <w:trPr>
          <w:cantSplit/>
          <w:jc w:val="center"/>
        </w:trPr>
        <w:tc>
          <w:tcPr>
            <w:tcW w:w="708" w:type="dxa"/>
          </w:tcPr>
          <w:p w14:paraId="621A211E" w14:textId="77777777" w:rsidR="000F1C63" w:rsidRPr="008C48E9" w:rsidRDefault="000F1C63" w:rsidP="00CD4F87">
            <w:pPr>
              <w:spacing w:line="216" w:lineRule="auto"/>
              <w:rPr>
                <w:rFonts w:ascii="Arial" w:hAnsi="Arial" w:cs="Arial"/>
              </w:rPr>
            </w:pPr>
            <w:r w:rsidRPr="008C48E9">
              <w:rPr>
                <w:rFonts w:ascii="Arial" w:hAnsi="Arial" w:cs="Arial"/>
                <w:sz w:val="12"/>
              </w:rPr>
              <w:t>Paskins et al.</w:t>
            </w:r>
          </w:p>
        </w:tc>
        <w:tc>
          <w:tcPr>
            <w:tcW w:w="2694" w:type="dxa"/>
          </w:tcPr>
          <w:p w14:paraId="1F756F24" w14:textId="77777777" w:rsidR="000F1C63" w:rsidRPr="008C48E9" w:rsidRDefault="000F1C63" w:rsidP="00CD4F87">
            <w:pPr>
              <w:spacing w:line="216" w:lineRule="auto"/>
              <w:rPr>
                <w:rFonts w:ascii="Arial" w:hAnsi="Arial" w:cs="Arial"/>
              </w:rPr>
            </w:pPr>
            <w:r w:rsidRPr="008C48E9">
              <w:rPr>
                <w:rFonts w:ascii="Arial" w:hAnsi="Arial" w:cs="Arial"/>
                <w:sz w:val="12"/>
              </w:rPr>
              <w:t>Acceptability of, and Preferences for, Remote Consulting During COVID-19 Among Older Patients with Two Common Long-Term Musculoskeletal Conditions: Findings from Three Qualitative Studies and Recommendations for Practice</w:t>
            </w:r>
          </w:p>
        </w:tc>
        <w:tc>
          <w:tcPr>
            <w:tcW w:w="567" w:type="dxa"/>
          </w:tcPr>
          <w:p w14:paraId="7735797D" w14:textId="77777777" w:rsidR="000F1C63" w:rsidRPr="008C48E9" w:rsidRDefault="000F1C63" w:rsidP="00CD4F87">
            <w:pPr>
              <w:spacing w:line="216" w:lineRule="auto"/>
              <w:rPr>
                <w:rFonts w:ascii="Arial" w:hAnsi="Arial" w:cs="Arial"/>
              </w:rPr>
            </w:pPr>
            <w:r w:rsidRPr="008C48E9">
              <w:rPr>
                <w:rFonts w:ascii="Arial" w:hAnsi="Arial" w:cs="Arial"/>
                <w:sz w:val="12"/>
              </w:rPr>
              <w:t>2022</w:t>
            </w:r>
          </w:p>
        </w:tc>
        <w:tc>
          <w:tcPr>
            <w:tcW w:w="1275" w:type="dxa"/>
          </w:tcPr>
          <w:p w14:paraId="5982A034" w14:textId="77777777" w:rsidR="000F1C63" w:rsidRPr="008C48E9" w:rsidRDefault="000F1C63" w:rsidP="00CD4F87">
            <w:pPr>
              <w:spacing w:line="216" w:lineRule="auto"/>
              <w:rPr>
                <w:rFonts w:ascii="Arial" w:hAnsi="Arial" w:cs="Arial"/>
              </w:rPr>
            </w:pPr>
            <w:r w:rsidRPr="008C48E9">
              <w:rPr>
                <w:rFonts w:ascii="Arial" w:hAnsi="Arial" w:cs="Arial"/>
                <w:sz w:val="12"/>
              </w:rPr>
              <w:t>BMC Musculoskeletal Disorders</w:t>
            </w:r>
          </w:p>
        </w:tc>
        <w:tc>
          <w:tcPr>
            <w:tcW w:w="567" w:type="dxa"/>
          </w:tcPr>
          <w:p w14:paraId="0348C509" w14:textId="77777777" w:rsidR="000F1C63" w:rsidRPr="008C48E9" w:rsidRDefault="000F1C63" w:rsidP="00CD4F87">
            <w:pPr>
              <w:spacing w:line="216" w:lineRule="auto"/>
              <w:rPr>
                <w:rFonts w:ascii="Arial" w:hAnsi="Arial" w:cs="Arial"/>
              </w:rPr>
            </w:pPr>
            <w:r w:rsidRPr="008C48E9">
              <w:rPr>
                <w:rFonts w:ascii="Arial" w:hAnsi="Arial" w:cs="Arial"/>
                <w:sz w:val="12"/>
              </w:rPr>
              <w:t>23</w:t>
            </w:r>
          </w:p>
        </w:tc>
        <w:tc>
          <w:tcPr>
            <w:tcW w:w="1134" w:type="dxa"/>
          </w:tcPr>
          <w:p w14:paraId="19BB8B17" w14:textId="77777777" w:rsidR="000F1C63" w:rsidRPr="008C48E9" w:rsidRDefault="000F1C63" w:rsidP="00CD4F87">
            <w:pPr>
              <w:spacing w:line="216" w:lineRule="auto"/>
              <w:rPr>
                <w:rFonts w:ascii="Arial" w:hAnsi="Arial" w:cs="Arial"/>
              </w:rPr>
            </w:pPr>
            <w:r w:rsidRPr="008C48E9">
              <w:rPr>
                <w:rFonts w:ascii="Arial" w:hAnsi="Arial" w:cs="Arial"/>
                <w:sz w:val="12"/>
              </w:rPr>
              <w:t>United Kingdom; West Midlands and related UK study settings</w:t>
            </w:r>
          </w:p>
        </w:tc>
        <w:tc>
          <w:tcPr>
            <w:tcW w:w="887" w:type="dxa"/>
          </w:tcPr>
          <w:p w14:paraId="4AD3BA43" w14:textId="77777777" w:rsidR="000F1C63" w:rsidRPr="008C48E9" w:rsidRDefault="000F1C63" w:rsidP="00CD4F87">
            <w:pPr>
              <w:spacing w:line="216" w:lineRule="auto"/>
              <w:rPr>
                <w:rFonts w:ascii="Arial" w:hAnsi="Arial" w:cs="Arial"/>
              </w:rPr>
            </w:pPr>
            <w:r w:rsidRPr="008C48E9">
              <w:rPr>
                <w:rFonts w:ascii="Arial" w:hAnsi="Arial" w:cs="Arial"/>
                <w:sz w:val="12"/>
              </w:rPr>
              <w:t>Qualitative synthesis of three studies</w:t>
            </w:r>
          </w:p>
        </w:tc>
        <w:tc>
          <w:tcPr>
            <w:tcW w:w="1587" w:type="dxa"/>
          </w:tcPr>
          <w:p w14:paraId="379D8311"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To explore acceptability of and preferences for remote consultations </w:t>
            </w:r>
          </w:p>
        </w:tc>
        <w:tc>
          <w:tcPr>
            <w:tcW w:w="1779" w:type="dxa"/>
          </w:tcPr>
          <w:p w14:paraId="30B9FE24" w14:textId="77777777" w:rsidR="000F1C63" w:rsidRPr="008C48E9" w:rsidRDefault="000F1C63" w:rsidP="00CD4F87">
            <w:pPr>
              <w:spacing w:line="216" w:lineRule="auto"/>
              <w:rPr>
                <w:rFonts w:ascii="Arial" w:hAnsi="Arial" w:cs="Arial"/>
              </w:rPr>
            </w:pPr>
            <w:r w:rsidRPr="008C48E9">
              <w:rPr>
                <w:rFonts w:ascii="Arial" w:hAnsi="Arial" w:cs="Arial"/>
                <w:sz w:val="12"/>
              </w:rPr>
              <w:t>Rapid deductive analysis using the Theoretical Framework of Acceptability</w:t>
            </w:r>
          </w:p>
        </w:tc>
        <w:tc>
          <w:tcPr>
            <w:tcW w:w="1134" w:type="dxa"/>
          </w:tcPr>
          <w:p w14:paraId="6A57722F" w14:textId="77777777" w:rsidR="000F1C63" w:rsidRPr="008C48E9" w:rsidRDefault="000F1C63" w:rsidP="00CD4F87">
            <w:pPr>
              <w:spacing w:line="216" w:lineRule="auto"/>
              <w:rPr>
                <w:rFonts w:ascii="Arial" w:hAnsi="Arial" w:cs="Arial"/>
              </w:rPr>
            </w:pPr>
            <w:r w:rsidRPr="008C48E9">
              <w:rPr>
                <w:rFonts w:ascii="Arial" w:hAnsi="Arial" w:cs="Arial"/>
                <w:sz w:val="12"/>
              </w:rPr>
              <w:t>35 people; evidence from 1 focus group and 64 interviews</w:t>
            </w:r>
          </w:p>
        </w:tc>
        <w:tc>
          <w:tcPr>
            <w:tcW w:w="2811" w:type="dxa"/>
          </w:tcPr>
          <w:p w14:paraId="37C45D60" w14:textId="77777777" w:rsidR="000F1C63" w:rsidRPr="008C48E9" w:rsidRDefault="000F1C63" w:rsidP="00CD4F87">
            <w:pPr>
              <w:spacing w:line="216" w:lineRule="auto"/>
              <w:rPr>
                <w:rFonts w:ascii="Arial" w:hAnsi="Arial" w:cs="Arial"/>
              </w:rPr>
            </w:pPr>
            <w:r w:rsidRPr="008C48E9">
              <w:rPr>
                <w:rFonts w:ascii="Arial" w:hAnsi="Arial" w:cs="Arial"/>
                <w:sz w:val="12"/>
              </w:rPr>
              <w:t xml:space="preserve">Preferences for remote consultation varied by consultation purpose, symptoms, communication needs and personal circumstances. </w:t>
            </w:r>
          </w:p>
        </w:tc>
      </w:tr>
    </w:tbl>
    <w:p w14:paraId="6F0FBD6D" w14:textId="77777777" w:rsidR="000F1C63" w:rsidRPr="000F1C63" w:rsidRDefault="000F1C63" w:rsidP="000F1C63"/>
    <w:sectPr w:rsidR="000F1C63" w:rsidRPr="000F1C63" w:rsidSect="000F1C6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7ACEF" w14:textId="77777777" w:rsidR="000C591D" w:rsidRDefault="000C591D">
      <w:pPr>
        <w:spacing w:after="0" w:line="240" w:lineRule="auto"/>
      </w:pPr>
      <w:r>
        <w:separator/>
      </w:r>
    </w:p>
  </w:endnote>
  <w:endnote w:type="continuationSeparator" w:id="0">
    <w:p w14:paraId="253006CF" w14:textId="77777777" w:rsidR="000C591D" w:rsidRDefault="000C5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B69E3F4"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0A727" w14:textId="77777777" w:rsidR="000C591D" w:rsidRDefault="000C591D">
      <w:pPr>
        <w:spacing w:after="0" w:line="240" w:lineRule="auto"/>
      </w:pPr>
      <w:r>
        <w:separator/>
      </w:r>
    </w:p>
  </w:footnote>
  <w:footnote w:type="continuationSeparator" w:id="0">
    <w:p w14:paraId="5D04342F" w14:textId="77777777" w:rsidR="000C591D" w:rsidRDefault="000C59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2774614">
    <w:abstractNumId w:val="7"/>
  </w:num>
  <w:num w:numId="2" w16cid:durableId="941229834">
    <w:abstractNumId w:val="0"/>
  </w:num>
  <w:num w:numId="3" w16cid:durableId="1012418139">
    <w:abstractNumId w:val="4"/>
  </w:num>
  <w:num w:numId="4" w16cid:durableId="1373456878">
    <w:abstractNumId w:val="1"/>
  </w:num>
  <w:num w:numId="5" w16cid:durableId="1904363585">
    <w:abstractNumId w:val="2"/>
  </w:num>
  <w:num w:numId="6" w16cid:durableId="550387977">
    <w:abstractNumId w:val="5"/>
  </w:num>
  <w:num w:numId="7" w16cid:durableId="1167091014">
    <w:abstractNumId w:val="6"/>
  </w:num>
  <w:num w:numId="8" w16cid:durableId="2031225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555DE"/>
    <w:rsid w:val="000C39D5"/>
    <w:rsid w:val="000C591D"/>
    <w:rsid w:val="000F1C63"/>
    <w:rsid w:val="000F2C85"/>
    <w:rsid w:val="00113366"/>
    <w:rsid w:val="001C5965"/>
    <w:rsid w:val="001F6351"/>
    <w:rsid w:val="002B04A6"/>
    <w:rsid w:val="002B523E"/>
    <w:rsid w:val="002C528F"/>
    <w:rsid w:val="002C532A"/>
    <w:rsid w:val="00373EC4"/>
    <w:rsid w:val="003C35D2"/>
    <w:rsid w:val="003F3B50"/>
    <w:rsid w:val="00407507"/>
    <w:rsid w:val="004528E6"/>
    <w:rsid w:val="004E2D1D"/>
    <w:rsid w:val="004F7407"/>
    <w:rsid w:val="00532894"/>
    <w:rsid w:val="0058569D"/>
    <w:rsid w:val="005D04FC"/>
    <w:rsid w:val="005E785B"/>
    <w:rsid w:val="00623C0E"/>
    <w:rsid w:val="00644E0A"/>
    <w:rsid w:val="006632DC"/>
    <w:rsid w:val="00673D36"/>
    <w:rsid w:val="0070279F"/>
    <w:rsid w:val="007446D0"/>
    <w:rsid w:val="007843AD"/>
    <w:rsid w:val="007F1C8A"/>
    <w:rsid w:val="007F3292"/>
    <w:rsid w:val="00851D37"/>
    <w:rsid w:val="008A73BC"/>
    <w:rsid w:val="008C2680"/>
    <w:rsid w:val="008D6BF7"/>
    <w:rsid w:val="00954E4C"/>
    <w:rsid w:val="009706D0"/>
    <w:rsid w:val="00986A40"/>
    <w:rsid w:val="009A1B64"/>
    <w:rsid w:val="009F64C5"/>
    <w:rsid w:val="00A23649"/>
    <w:rsid w:val="00A72D90"/>
    <w:rsid w:val="00A9635A"/>
    <w:rsid w:val="00AA6C99"/>
    <w:rsid w:val="00BC67C0"/>
    <w:rsid w:val="00BE2EA1"/>
    <w:rsid w:val="00C75B65"/>
    <w:rsid w:val="00CA5859"/>
    <w:rsid w:val="00CE7E69"/>
    <w:rsid w:val="00DD7AA5"/>
    <w:rsid w:val="00F24400"/>
    <w:rsid w:val="00F45118"/>
    <w:rsid w:val="00FA17BE"/>
    <w:rsid w:val="00FD0BDD"/>
    <w:rsid w:val="00FE5460"/>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paragraph" w:styleId="Heading4">
    <w:name w:val="heading 4"/>
    <w:basedOn w:val="Normal"/>
    <w:next w:val="Normal"/>
    <w:link w:val="Heading4Char"/>
    <w:uiPriority w:val="9"/>
    <w:semiHidden/>
    <w:unhideWhenUsed/>
    <w:qFormat/>
    <w:rsid w:val="00A23649"/>
    <w:pPr>
      <w:keepNext/>
      <w:keepLines/>
      <w:suppressAutoHyphens/>
      <w:autoSpaceDN w:val="0"/>
      <w:spacing w:before="80" w:after="40" w:line="256" w:lineRule="auto"/>
      <w:outlineLvl w:val="3"/>
    </w:pPr>
    <w:rPr>
      <w:rFonts w:ascii="Calibri" w:eastAsia="Times New Roman" w:hAnsi="Calibri" w:cs="Times New Roman"/>
      <w:i/>
      <w:iCs/>
      <w:color w:val="2F5496"/>
      <w:kern w:val="3"/>
      <w:lang w:eastAsia="en-US"/>
      <w14:ligatures w14:val="none"/>
    </w:rPr>
  </w:style>
  <w:style w:type="paragraph" w:styleId="Heading5">
    <w:name w:val="heading 5"/>
    <w:basedOn w:val="Normal"/>
    <w:next w:val="Normal"/>
    <w:link w:val="Heading5Char"/>
    <w:uiPriority w:val="9"/>
    <w:semiHidden/>
    <w:unhideWhenUsed/>
    <w:qFormat/>
    <w:rsid w:val="00A23649"/>
    <w:pPr>
      <w:keepNext/>
      <w:keepLines/>
      <w:suppressAutoHyphens/>
      <w:autoSpaceDN w:val="0"/>
      <w:spacing w:before="80" w:after="40" w:line="256" w:lineRule="auto"/>
      <w:outlineLvl w:val="4"/>
    </w:pPr>
    <w:rPr>
      <w:rFonts w:ascii="Calibri" w:eastAsia="Times New Roman" w:hAnsi="Calibri" w:cs="Times New Roman"/>
      <w:color w:val="2F5496"/>
      <w:kern w:val="3"/>
      <w:lang w:eastAsia="en-US"/>
      <w14:ligatures w14:val="none"/>
    </w:rPr>
  </w:style>
  <w:style w:type="paragraph" w:styleId="Heading6">
    <w:name w:val="heading 6"/>
    <w:basedOn w:val="Normal"/>
    <w:next w:val="Normal"/>
    <w:link w:val="Heading6Char"/>
    <w:uiPriority w:val="9"/>
    <w:semiHidden/>
    <w:unhideWhenUsed/>
    <w:qFormat/>
    <w:rsid w:val="00A23649"/>
    <w:pPr>
      <w:keepNext/>
      <w:keepLines/>
      <w:suppressAutoHyphens/>
      <w:autoSpaceDN w:val="0"/>
      <w:spacing w:before="40" w:after="0" w:line="256" w:lineRule="auto"/>
      <w:outlineLvl w:val="5"/>
    </w:pPr>
    <w:rPr>
      <w:rFonts w:ascii="Calibri" w:eastAsia="Times New Roman" w:hAnsi="Calibri" w:cs="Times New Roman"/>
      <w:i/>
      <w:iCs/>
      <w:color w:val="595959"/>
      <w:kern w:val="3"/>
      <w:lang w:eastAsia="en-US"/>
      <w14:ligatures w14:val="none"/>
    </w:rPr>
  </w:style>
  <w:style w:type="paragraph" w:styleId="Heading7">
    <w:name w:val="heading 7"/>
    <w:basedOn w:val="Normal"/>
    <w:next w:val="Normal"/>
    <w:link w:val="Heading7Char"/>
    <w:rsid w:val="00A23649"/>
    <w:pPr>
      <w:keepNext/>
      <w:keepLines/>
      <w:suppressAutoHyphens/>
      <w:autoSpaceDN w:val="0"/>
      <w:spacing w:before="40" w:after="0" w:line="256" w:lineRule="auto"/>
      <w:outlineLvl w:val="6"/>
    </w:pPr>
    <w:rPr>
      <w:rFonts w:ascii="Calibri" w:eastAsia="Times New Roman" w:hAnsi="Calibri" w:cs="Times New Roman"/>
      <w:color w:val="595959"/>
      <w:kern w:val="3"/>
      <w:lang w:eastAsia="en-US"/>
      <w14:ligatures w14:val="none"/>
    </w:rPr>
  </w:style>
  <w:style w:type="paragraph" w:styleId="Heading8">
    <w:name w:val="heading 8"/>
    <w:basedOn w:val="Normal"/>
    <w:next w:val="Normal"/>
    <w:link w:val="Heading8Char"/>
    <w:rsid w:val="00A23649"/>
    <w:pPr>
      <w:keepNext/>
      <w:keepLines/>
      <w:suppressAutoHyphens/>
      <w:autoSpaceDN w:val="0"/>
      <w:spacing w:after="0" w:line="256" w:lineRule="auto"/>
      <w:outlineLvl w:val="7"/>
    </w:pPr>
    <w:rPr>
      <w:rFonts w:ascii="Calibri" w:eastAsia="Times New Roman" w:hAnsi="Calibri" w:cs="Times New Roman"/>
      <w:i/>
      <w:iCs/>
      <w:color w:val="272727"/>
      <w:kern w:val="3"/>
      <w:lang w:eastAsia="en-US"/>
      <w14:ligatures w14:val="none"/>
    </w:rPr>
  </w:style>
  <w:style w:type="paragraph" w:styleId="Heading9">
    <w:name w:val="heading 9"/>
    <w:basedOn w:val="Normal"/>
    <w:next w:val="Normal"/>
    <w:link w:val="Heading9Char"/>
    <w:rsid w:val="00A23649"/>
    <w:pPr>
      <w:keepNext/>
      <w:keepLines/>
      <w:suppressAutoHyphens/>
      <w:autoSpaceDN w:val="0"/>
      <w:spacing w:after="0" w:line="256" w:lineRule="auto"/>
      <w:outlineLvl w:val="8"/>
    </w:pPr>
    <w:rPr>
      <w:rFonts w:ascii="Calibri" w:eastAsia="Times New Roman" w:hAnsi="Calibri" w:cs="Times New Roman"/>
      <w:color w:val="272727"/>
      <w:kern w:val="3"/>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407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507"/>
  </w:style>
  <w:style w:type="paragraph" w:customStyle="1" w:styleId="pdq2pgselectionanchorcontainer">
    <w:name w:val="pdq2pg_selectionanchorcontainer"/>
    <w:basedOn w:val="Normal"/>
    <w:rsid w:val="004075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nhideWhenUsed/>
    <w:rsid w:val="004075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qFormat/>
    <w:rsid w:val="00407507"/>
    <w:rPr>
      <w:b/>
      <w:bCs/>
    </w:rPr>
  </w:style>
  <w:style w:type="character" w:customStyle="1" w:styleId="Heading4Char">
    <w:name w:val="Heading 4 Char"/>
    <w:basedOn w:val="DefaultParagraphFont"/>
    <w:link w:val="Heading4"/>
    <w:uiPriority w:val="9"/>
    <w:semiHidden/>
    <w:rsid w:val="00A23649"/>
    <w:rPr>
      <w:rFonts w:ascii="Calibri" w:eastAsia="Times New Roman" w:hAnsi="Calibri" w:cs="Times New Roman"/>
      <w:i/>
      <w:iCs/>
      <w:color w:val="2F5496"/>
      <w:kern w:val="3"/>
      <w:lang w:eastAsia="en-US"/>
      <w14:ligatures w14:val="none"/>
    </w:rPr>
  </w:style>
  <w:style w:type="character" w:customStyle="1" w:styleId="Heading5Char">
    <w:name w:val="Heading 5 Char"/>
    <w:basedOn w:val="DefaultParagraphFont"/>
    <w:link w:val="Heading5"/>
    <w:uiPriority w:val="9"/>
    <w:semiHidden/>
    <w:rsid w:val="00A23649"/>
    <w:rPr>
      <w:rFonts w:ascii="Calibri" w:eastAsia="Times New Roman" w:hAnsi="Calibri" w:cs="Times New Roman"/>
      <w:color w:val="2F5496"/>
      <w:kern w:val="3"/>
      <w:lang w:eastAsia="en-US"/>
      <w14:ligatures w14:val="none"/>
    </w:rPr>
  </w:style>
  <w:style w:type="character" w:customStyle="1" w:styleId="Heading6Char">
    <w:name w:val="Heading 6 Char"/>
    <w:basedOn w:val="DefaultParagraphFont"/>
    <w:link w:val="Heading6"/>
    <w:uiPriority w:val="9"/>
    <w:semiHidden/>
    <w:rsid w:val="00A23649"/>
    <w:rPr>
      <w:rFonts w:ascii="Calibri" w:eastAsia="Times New Roman" w:hAnsi="Calibri" w:cs="Times New Roman"/>
      <w:i/>
      <w:iCs/>
      <w:color w:val="595959"/>
      <w:kern w:val="3"/>
      <w:lang w:eastAsia="en-US"/>
      <w14:ligatures w14:val="none"/>
    </w:rPr>
  </w:style>
  <w:style w:type="character" w:customStyle="1" w:styleId="Heading7Char">
    <w:name w:val="Heading 7 Char"/>
    <w:basedOn w:val="DefaultParagraphFont"/>
    <w:link w:val="Heading7"/>
    <w:rsid w:val="00A23649"/>
    <w:rPr>
      <w:rFonts w:ascii="Calibri" w:eastAsia="Times New Roman" w:hAnsi="Calibri" w:cs="Times New Roman"/>
      <w:color w:val="595959"/>
      <w:kern w:val="3"/>
      <w:lang w:eastAsia="en-US"/>
      <w14:ligatures w14:val="none"/>
    </w:rPr>
  </w:style>
  <w:style w:type="character" w:customStyle="1" w:styleId="Heading8Char">
    <w:name w:val="Heading 8 Char"/>
    <w:basedOn w:val="DefaultParagraphFont"/>
    <w:link w:val="Heading8"/>
    <w:rsid w:val="00A23649"/>
    <w:rPr>
      <w:rFonts w:ascii="Calibri" w:eastAsia="Times New Roman" w:hAnsi="Calibri" w:cs="Times New Roman"/>
      <w:i/>
      <w:iCs/>
      <w:color w:val="272727"/>
      <w:kern w:val="3"/>
      <w:lang w:eastAsia="en-US"/>
      <w14:ligatures w14:val="none"/>
    </w:rPr>
  </w:style>
  <w:style w:type="character" w:customStyle="1" w:styleId="Heading9Char">
    <w:name w:val="Heading 9 Char"/>
    <w:basedOn w:val="DefaultParagraphFont"/>
    <w:link w:val="Heading9"/>
    <w:rsid w:val="00A23649"/>
    <w:rPr>
      <w:rFonts w:ascii="Calibri" w:eastAsia="Times New Roman" w:hAnsi="Calibri" w:cs="Times New Roman"/>
      <w:color w:val="272727"/>
      <w:kern w:val="3"/>
      <w:lang w:eastAsia="en-US"/>
      <w14:ligatures w14:val="none"/>
    </w:rPr>
  </w:style>
  <w:style w:type="paragraph" w:styleId="Title">
    <w:name w:val="Title"/>
    <w:basedOn w:val="Normal"/>
    <w:next w:val="Normal"/>
    <w:link w:val="TitleChar"/>
    <w:uiPriority w:val="10"/>
    <w:qFormat/>
    <w:rsid w:val="00A23649"/>
    <w:pPr>
      <w:suppressAutoHyphens/>
      <w:autoSpaceDN w:val="0"/>
      <w:spacing w:after="80" w:line="240" w:lineRule="auto"/>
      <w:contextualSpacing/>
    </w:pPr>
    <w:rPr>
      <w:rFonts w:ascii="Calibri Light" w:eastAsia="Times New Roman" w:hAnsi="Calibri Light" w:cs="Times New Roman"/>
      <w:spacing w:val="-10"/>
      <w:kern w:val="3"/>
      <w:sz w:val="56"/>
      <w:szCs w:val="56"/>
      <w:lang w:eastAsia="en-US"/>
      <w14:ligatures w14:val="none"/>
    </w:rPr>
  </w:style>
  <w:style w:type="character" w:customStyle="1" w:styleId="TitleChar">
    <w:name w:val="Title Char"/>
    <w:basedOn w:val="DefaultParagraphFont"/>
    <w:link w:val="Title"/>
    <w:uiPriority w:val="10"/>
    <w:rsid w:val="00A23649"/>
    <w:rPr>
      <w:rFonts w:ascii="Calibri Light" w:eastAsia="Times New Roman" w:hAnsi="Calibri Light" w:cs="Times New Roman"/>
      <w:spacing w:val="-10"/>
      <w:kern w:val="3"/>
      <w:sz w:val="56"/>
      <w:szCs w:val="56"/>
      <w:lang w:eastAsia="en-US"/>
      <w14:ligatures w14:val="none"/>
    </w:rPr>
  </w:style>
  <w:style w:type="paragraph" w:styleId="Subtitle">
    <w:name w:val="Subtitle"/>
    <w:basedOn w:val="Normal"/>
    <w:next w:val="Normal"/>
    <w:link w:val="SubtitleChar"/>
    <w:uiPriority w:val="11"/>
    <w:qFormat/>
    <w:rsid w:val="00A23649"/>
    <w:pPr>
      <w:suppressAutoHyphens/>
      <w:autoSpaceDN w:val="0"/>
      <w:spacing w:line="256" w:lineRule="auto"/>
    </w:pPr>
    <w:rPr>
      <w:rFonts w:ascii="Calibri" w:eastAsia="Times New Roman" w:hAnsi="Calibri" w:cs="Times New Roman"/>
      <w:color w:val="595959"/>
      <w:spacing w:val="15"/>
      <w:kern w:val="3"/>
      <w:sz w:val="28"/>
      <w:szCs w:val="28"/>
      <w:lang w:eastAsia="en-US"/>
      <w14:ligatures w14:val="none"/>
    </w:rPr>
  </w:style>
  <w:style w:type="character" w:customStyle="1" w:styleId="SubtitleChar">
    <w:name w:val="Subtitle Char"/>
    <w:basedOn w:val="DefaultParagraphFont"/>
    <w:link w:val="Subtitle"/>
    <w:uiPriority w:val="11"/>
    <w:rsid w:val="00A23649"/>
    <w:rPr>
      <w:rFonts w:ascii="Calibri" w:eastAsia="Times New Roman" w:hAnsi="Calibri" w:cs="Times New Roman"/>
      <w:color w:val="595959"/>
      <w:spacing w:val="15"/>
      <w:kern w:val="3"/>
      <w:sz w:val="28"/>
      <w:szCs w:val="28"/>
      <w:lang w:eastAsia="en-US"/>
      <w14:ligatures w14:val="none"/>
    </w:rPr>
  </w:style>
  <w:style w:type="paragraph" w:styleId="Quote">
    <w:name w:val="Quote"/>
    <w:basedOn w:val="Normal"/>
    <w:next w:val="Normal"/>
    <w:link w:val="QuoteChar"/>
    <w:rsid w:val="00A23649"/>
    <w:pPr>
      <w:suppressAutoHyphens/>
      <w:autoSpaceDN w:val="0"/>
      <w:spacing w:before="160" w:line="256" w:lineRule="auto"/>
      <w:jc w:val="center"/>
    </w:pPr>
    <w:rPr>
      <w:rFonts w:ascii="Calibri" w:eastAsia="Calibri" w:hAnsi="Calibri" w:cs="Times New Roman"/>
      <w:i/>
      <w:iCs/>
      <w:color w:val="404040"/>
      <w:kern w:val="3"/>
      <w:lang w:eastAsia="en-US"/>
      <w14:ligatures w14:val="none"/>
    </w:rPr>
  </w:style>
  <w:style w:type="character" w:customStyle="1" w:styleId="QuoteChar">
    <w:name w:val="Quote Char"/>
    <w:basedOn w:val="DefaultParagraphFont"/>
    <w:link w:val="Quote"/>
    <w:rsid w:val="00A23649"/>
    <w:rPr>
      <w:rFonts w:ascii="Calibri" w:eastAsia="Calibri" w:hAnsi="Calibri" w:cs="Times New Roman"/>
      <w:i/>
      <w:iCs/>
      <w:color w:val="404040"/>
      <w:kern w:val="3"/>
      <w:lang w:eastAsia="en-US"/>
      <w14:ligatures w14:val="none"/>
    </w:rPr>
  </w:style>
  <w:style w:type="paragraph" w:styleId="ListParagraph">
    <w:name w:val="List Paragraph"/>
    <w:basedOn w:val="Normal"/>
    <w:rsid w:val="00A23649"/>
    <w:pPr>
      <w:suppressAutoHyphens/>
      <w:autoSpaceDN w:val="0"/>
      <w:spacing w:line="256" w:lineRule="auto"/>
      <w:ind w:left="720"/>
      <w:contextualSpacing/>
    </w:pPr>
    <w:rPr>
      <w:rFonts w:ascii="Calibri" w:eastAsia="Calibri" w:hAnsi="Calibri" w:cs="Times New Roman"/>
      <w:kern w:val="3"/>
      <w:lang w:eastAsia="en-US"/>
      <w14:ligatures w14:val="none"/>
    </w:rPr>
  </w:style>
  <w:style w:type="character" w:styleId="IntenseEmphasis">
    <w:name w:val="Intense Emphasis"/>
    <w:basedOn w:val="DefaultParagraphFont"/>
    <w:rsid w:val="00A23649"/>
    <w:rPr>
      <w:i/>
      <w:iCs/>
      <w:color w:val="2F5496"/>
    </w:rPr>
  </w:style>
  <w:style w:type="paragraph" w:styleId="IntenseQuote">
    <w:name w:val="Intense Quote"/>
    <w:basedOn w:val="Normal"/>
    <w:next w:val="Normal"/>
    <w:link w:val="IntenseQuoteChar"/>
    <w:rsid w:val="00A23649"/>
    <w:pPr>
      <w:pBdr>
        <w:top w:val="single" w:sz="4" w:space="10" w:color="2F5496"/>
        <w:bottom w:val="single" w:sz="4" w:space="10" w:color="2F5496"/>
      </w:pBdr>
      <w:suppressAutoHyphens/>
      <w:autoSpaceDN w:val="0"/>
      <w:spacing w:before="360" w:after="360" w:line="256" w:lineRule="auto"/>
      <w:ind w:left="864" w:right="864"/>
      <w:jc w:val="center"/>
    </w:pPr>
    <w:rPr>
      <w:rFonts w:ascii="Calibri" w:eastAsia="Calibri" w:hAnsi="Calibri" w:cs="Times New Roman"/>
      <w:i/>
      <w:iCs/>
      <w:color w:val="2F5496"/>
      <w:kern w:val="3"/>
      <w:lang w:eastAsia="en-US"/>
      <w14:ligatures w14:val="none"/>
    </w:rPr>
  </w:style>
  <w:style w:type="character" w:customStyle="1" w:styleId="IntenseQuoteChar">
    <w:name w:val="Intense Quote Char"/>
    <w:basedOn w:val="DefaultParagraphFont"/>
    <w:link w:val="IntenseQuote"/>
    <w:rsid w:val="00A23649"/>
    <w:rPr>
      <w:rFonts w:ascii="Calibri" w:eastAsia="Calibri" w:hAnsi="Calibri" w:cs="Times New Roman"/>
      <w:i/>
      <w:iCs/>
      <w:color w:val="2F5496"/>
      <w:kern w:val="3"/>
      <w:lang w:eastAsia="en-US"/>
      <w14:ligatures w14:val="none"/>
    </w:rPr>
  </w:style>
  <w:style w:type="character" w:styleId="IntenseReference">
    <w:name w:val="Intense Reference"/>
    <w:basedOn w:val="DefaultParagraphFont"/>
    <w:rsid w:val="00A23649"/>
    <w:rPr>
      <w:b/>
      <w:bCs/>
      <w:smallCaps/>
      <w:color w:val="2F5496"/>
      <w:spacing w:val="5"/>
    </w:rPr>
  </w:style>
  <w:style w:type="character" w:customStyle="1" w:styleId="normaltextrun">
    <w:name w:val="normaltextrun"/>
    <w:basedOn w:val="DefaultParagraphFont"/>
    <w:rsid w:val="00A23649"/>
  </w:style>
  <w:style w:type="paragraph" w:styleId="TOCHeading">
    <w:name w:val="TOC Heading"/>
    <w:basedOn w:val="Heading1"/>
    <w:next w:val="Normal"/>
    <w:uiPriority w:val="39"/>
    <w:unhideWhenUsed/>
    <w:qFormat/>
    <w:rsid w:val="00A23649"/>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eastAsia="en-GB"/>
      <w14:ligatures w14:val="none"/>
    </w:rPr>
  </w:style>
  <w:style w:type="paragraph" w:styleId="TOC2">
    <w:name w:val="toc 2"/>
    <w:basedOn w:val="Normal"/>
    <w:next w:val="Normal"/>
    <w:autoRedefine/>
    <w:uiPriority w:val="39"/>
    <w:unhideWhenUsed/>
    <w:rsid w:val="00A23649"/>
    <w:pPr>
      <w:suppressAutoHyphens/>
      <w:autoSpaceDN w:val="0"/>
      <w:spacing w:after="100" w:line="256" w:lineRule="auto"/>
      <w:ind w:left="220"/>
    </w:pPr>
    <w:rPr>
      <w:rFonts w:ascii="Calibri" w:eastAsia="Calibri" w:hAnsi="Calibri" w:cs="Times New Roman"/>
      <w:kern w:val="3"/>
      <w:lang w:eastAsia="en-US"/>
      <w14:ligatures w14:val="none"/>
    </w:rPr>
  </w:style>
  <w:style w:type="paragraph" w:styleId="TOC3">
    <w:name w:val="toc 3"/>
    <w:basedOn w:val="Normal"/>
    <w:next w:val="Normal"/>
    <w:autoRedefine/>
    <w:uiPriority w:val="39"/>
    <w:unhideWhenUsed/>
    <w:rsid w:val="00A23649"/>
    <w:pPr>
      <w:suppressAutoHyphens/>
      <w:autoSpaceDN w:val="0"/>
      <w:spacing w:after="100" w:line="256" w:lineRule="auto"/>
      <w:ind w:left="440"/>
    </w:pPr>
    <w:rPr>
      <w:rFonts w:ascii="Calibri" w:eastAsia="Calibri" w:hAnsi="Calibri" w:cs="Times New Roman"/>
      <w:kern w:val="3"/>
      <w:lang w:eastAsia="en-US"/>
      <w14:ligatures w14:val="none"/>
    </w:rPr>
  </w:style>
  <w:style w:type="character" w:styleId="Hyperlink">
    <w:name w:val="Hyperlink"/>
    <w:basedOn w:val="DefaultParagraphFont"/>
    <w:uiPriority w:val="99"/>
    <w:unhideWhenUsed/>
    <w:rsid w:val="00A23649"/>
    <w:rPr>
      <w:color w:val="0563C1" w:themeColor="hyperlink"/>
      <w:u w:val="single"/>
    </w:rPr>
  </w:style>
  <w:style w:type="paragraph" w:styleId="Footer">
    <w:name w:val="footer"/>
    <w:basedOn w:val="Normal"/>
    <w:link w:val="FooterChar"/>
    <w:uiPriority w:val="99"/>
    <w:unhideWhenUsed/>
    <w:rsid w:val="00A23649"/>
    <w:pPr>
      <w:tabs>
        <w:tab w:val="center" w:pos="4513"/>
        <w:tab w:val="right" w:pos="9026"/>
      </w:tabs>
      <w:suppressAutoHyphens/>
      <w:autoSpaceDN w:val="0"/>
      <w:spacing w:after="0" w:line="240" w:lineRule="auto"/>
    </w:pPr>
    <w:rPr>
      <w:rFonts w:ascii="Calibri" w:eastAsia="Calibri" w:hAnsi="Calibri" w:cs="Times New Roman"/>
      <w:kern w:val="3"/>
      <w:lang w:eastAsia="en-US"/>
      <w14:ligatures w14:val="none"/>
    </w:rPr>
  </w:style>
  <w:style w:type="character" w:customStyle="1" w:styleId="FooterChar">
    <w:name w:val="Footer Char"/>
    <w:basedOn w:val="DefaultParagraphFont"/>
    <w:link w:val="Footer"/>
    <w:uiPriority w:val="99"/>
    <w:rsid w:val="00A23649"/>
    <w:rPr>
      <w:rFonts w:ascii="Calibri" w:eastAsia="Calibri" w:hAnsi="Calibri" w:cs="Times New Roman"/>
      <w:kern w:val="3"/>
      <w:lang w:eastAsia="en-US"/>
      <w14:ligatures w14:val="none"/>
    </w:rPr>
  </w:style>
  <w:style w:type="table" w:styleId="TableGrid">
    <w:name w:val="Table Grid"/>
    <w:basedOn w:val="TableNormal"/>
    <w:uiPriority w:val="39"/>
    <w:rsid w:val="00A2364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A23649"/>
    <w:pPr>
      <w:spacing w:after="100" w:line="278" w:lineRule="auto"/>
      <w:ind w:left="720"/>
    </w:pPr>
    <w:rPr>
      <w:sz w:val="24"/>
      <w:szCs w:val="24"/>
      <w:lang w:eastAsia="en-GB"/>
    </w:rPr>
  </w:style>
  <w:style w:type="paragraph" w:styleId="TOC5">
    <w:name w:val="toc 5"/>
    <w:basedOn w:val="Normal"/>
    <w:next w:val="Normal"/>
    <w:autoRedefine/>
    <w:uiPriority w:val="39"/>
    <w:unhideWhenUsed/>
    <w:rsid w:val="00A23649"/>
    <w:pPr>
      <w:spacing w:after="100" w:line="278" w:lineRule="auto"/>
      <w:ind w:left="960"/>
    </w:pPr>
    <w:rPr>
      <w:sz w:val="24"/>
      <w:szCs w:val="24"/>
      <w:lang w:eastAsia="en-GB"/>
    </w:rPr>
  </w:style>
  <w:style w:type="paragraph" w:styleId="TOC6">
    <w:name w:val="toc 6"/>
    <w:basedOn w:val="Normal"/>
    <w:next w:val="Normal"/>
    <w:autoRedefine/>
    <w:uiPriority w:val="39"/>
    <w:unhideWhenUsed/>
    <w:rsid w:val="00A23649"/>
    <w:pPr>
      <w:spacing w:after="100" w:line="278" w:lineRule="auto"/>
      <w:ind w:left="1200"/>
    </w:pPr>
    <w:rPr>
      <w:sz w:val="24"/>
      <w:szCs w:val="24"/>
      <w:lang w:eastAsia="en-GB"/>
    </w:rPr>
  </w:style>
  <w:style w:type="paragraph" w:styleId="TOC7">
    <w:name w:val="toc 7"/>
    <w:basedOn w:val="Normal"/>
    <w:next w:val="Normal"/>
    <w:autoRedefine/>
    <w:uiPriority w:val="39"/>
    <w:unhideWhenUsed/>
    <w:rsid w:val="00A23649"/>
    <w:pPr>
      <w:spacing w:after="100" w:line="278" w:lineRule="auto"/>
      <w:ind w:left="1440"/>
    </w:pPr>
    <w:rPr>
      <w:sz w:val="24"/>
      <w:szCs w:val="24"/>
      <w:lang w:eastAsia="en-GB"/>
    </w:rPr>
  </w:style>
  <w:style w:type="paragraph" w:styleId="TOC8">
    <w:name w:val="toc 8"/>
    <w:basedOn w:val="Normal"/>
    <w:next w:val="Normal"/>
    <w:autoRedefine/>
    <w:uiPriority w:val="39"/>
    <w:unhideWhenUsed/>
    <w:rsid w:val="00A23649"/>
    <w:pPr>
      <w:spacing w:after="100" w:line="278" w:lineRule="auto"/>
      <w:ind w:left="1680"/>
    </w:pPr>
    <w:rPr>
      <w:sz w:val="24"/>
      <w:szCs w:val="24"/>
      <w:lang w:eastAsia="en-GB"/>
    </w:rPr>
  </w:style>
  <w:style w:type="paragraph" w:styleId="TOC9">
    <w:name w:val="toc 9"/>
    <w:basedOn w:val="Normal"/>
    <w:next w:val="Normal"/>
    <w:autoRedefine/>
    <w:uiPriority w:val="39"/>
    <w:unhideWhenUsed/>
    <w:rsid w:val="00A23649"/>
    <w:pPr>
      <w:spacing w:after="100" w:line="278" w:lineRule="auto"/>
      <w:ind w:left="1920"/>
    </w:pPr>
    <w:rPr>
      <w:sz w:val="24"/>
      <w:szCs w:val="24"/>
      <w:lang w:eastAsia="en-GB"/>
    </w:rPr>
  </w:style>
  <w:style w:type="character" w:styleId="UnresolvedMention">
    <w:name w:val="Unresolved Mention"/>
    <w:basedOn w:val="DefaultParagraphFont"/>
    <w:uiPriority w:val="99"/>
    <w:semiHidden/>
    <w:unhideWhenUsed/>
    <w:rsid w:val="00A23649"/>
    <w:rPr>
      <w:color w:val="605E5C"/>
      <w:shd w:val="clear" w:color="auto" w:fill="E1DFDD"/>
    </w:rPr>
  </w:style>
  <w:style w:type="character" w:styleId="FollowedHyperlink">
    <w:name w:val="FollowedHyperlink"/>
    <w:basedOn w:val="DefaultParagraphFont"/>
    <w:uiPriority w:val="99"/>
    <w:semiHidden/>
    <w:unhideWhenUsed/>
    <w:rsid w:val="00CA58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ink/ink2.xml"/><Relationship Id="rId18" Type="http://schemas.openxmlformats.org/officeDocument/2006/relationships/hyperlink" Target="https://www.ageuk.org.uk/latest-press/articles/age-uk-warns-22.4-million-digitally-excluded-older-people-are-at-risk-of-being-left-behind-in-an-increasingly-digital-world/"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customXml" Target="ink/ink4.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ink/ink1.xml"/><Relationship Id="rId5" Type="http://schemas.openxmlformats.org/officeDocument/2006/relationships/styles" Target="styles.xml"/><Relationship Id="rId15" Type="http://schemas.openxmlformats.org/officeDocument/2006/relationships/customXml" Target="ink/ink3.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192cdeee65cdc1529edc659cff68124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739812a251cff5c53b46eb229ce8f4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FAC6D95B-F613-4C73-99C8-738000298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0FD7F1-D661-4D95-9F2D-93D01C1003B3}">
  <ds:schemaRefs>
    <ds:schemaRef ds:uri="http://schemas.microsoft.com/sharepoint/v3/contenttype/forms"/>
  </ds:schemaRefs>
</ds:datastoreItem>
</file>

<file path=customXml/itemProps3.xml><?xml version="1.0" encoding="utf-8"?>
<ds:datastoreItem xmlns:ds="http://schemas.openxmlformats.org/officeDocument/2006/customXml" ds:itemID="{589C2BCB-B4C0-4B17-BB1A-D2E6CB6561A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75</Pages>
  <Words>28285</Words>
  <Characters>161229</Characters>
  <Application>Microsoft Office Word</Application>
  <DocSecurity>0</DocSecurity>
  <Lines>1343</Lines>
  <Paragraphs>378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ELENA DRAGHICI</cp:lastModifiedBy>
  <cp:revision>11</cp:revision>
  <cp:lastPrinted>2023-09-21T02:18:00Z</cp:lastPrinted>
  <dcterms:created xsi:type="dcterms:W3CDTF">2026-09-12T21:05:00Z</dcterms:created>
  <dcterms:modified xsi:type="dcterms:W3CDTF">2026-09-12T22:11:00Z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720367d9-0c1a-4ab9-af16-dc8d8922bbc9</vt:lpwstr>
  </property>
  <property fmtid="{D5CDD505-2E9C-101B-9397-08002B2CF9AE}" pid="3" name="ContentTypeId">
    <vt:lpwstr>0x01010060EEA2F366178047808FA03462A57F61</vt:lpwstr>
  </property>
</Properties>
</file>