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081B6"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Style w:val="Strong"/>
          <w:rFonts w:ascii="Arial" w:hAnsi="Arial" w:cs="Arial"/>
          <w:color w:val="0E101A"/>
          <w:u w:val="single"/>
        </w:rPr>
        <w:t>Section 1</w:t>
      </w:r>
    </w:p>
    <w:p w14:paraId="085D140A"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75D66CD7" w14:textId="2E2864A9"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Inclusive leadership is a form of leadership that seeks to ensure that all individuals, regardless of their background, are treated with respect and given equal opportunities (White &amp; McLeod, 2016). In early years settings, inclusive leadership plays a critical role in fostering positive relationships among children from diverse backgrounds and enhancing learning outcomes for all children. This essay will explore the importance, implementation, advantages, and disadvantages associated with inclusive leadership within early years settings.</w:t>
      </w:r>
    </w:p>
    <w:p w14:paraId="3E1A7090"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175D12EA" w14:textId="5EAA7EE9"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Inclusive leadership can be defined as creating an environment where everyone feels valued, respected, and supported in their learning journey while promoting diversity; inclusive leaders not only acknowledge differences between individuals but also celebrate them (Bell &amp; Gilbertson, 2017). Such leaders recognize individual needs and tailor teaching methods accordingly to ensure every child has access to high-quality education so they can reach their full potential (Campbell et al., 2016).</w:t>
      </w:r>
    </w:p>
    <w:p w14:paraId="68AB633D" w14:textId="2375990F"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It is important to have inclusive leadership in early years provision because it sets a foundation for lifelong learning by acknowledging that every child is unique with different backgrounds, skills, and talents (Lyons-Dunlop et al., 2018). When teachers adopt an approach tailored towards inclusivity, it fosters a sense of belonging among children and improves their self-esteem and confidence, which has a positive impact on their academic achievements (Bell &amp; Gilbertson, 2017).</w:t>
      </w:r>
    </w:p>
    <w:p w14:paraId="120AF8E6" w14:textId="452D15C2"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Inclusive leadership has several benefits in early years settings. First, it promotes social awareness by fostering empathy toward others' differences (</w:t>
      </w:r>
      <w:proofErr w:type="spellStart"/>
      <w:r w:rsidRPr="006307B6">
        <w:rPr>
          <w:rFonts w:ascii="Arial" w:hAnsi="Arial" w:cs="Arial"/>
          <w:color w:val="0E101A"/>
        </w:rPr>
        <w:t>Marton</w:t>
      </w:r>
      <w:proofErr w:type="spellEnd"/>
      <w:r w:rsidRPr="006307B6">
        <w:rPr>
          <w:rFonts w:ascii="Arial" w:hAnsi="Arial" w:cs="Arial"/>
          <w:color w:val="0E101A"/>
        </w:rPr>
        <w:t xml:space="preserve"> et al.,</w:t>
      </w:r>
      <w:r w:rsidR="00AC5CBD" w:rsidRPr="006307B6">
        <w:rPr>
          <w:rFonts w:ascii="Arial" w:hAnsi="Arial" w:cs="Arial"/>
          <w:color w:val="0E101A"/>
        </w:rPr>
        <w:t xml:space="preserve"> 2022</w:t>
      </w:r>
      <w:r w:rsidRPr="006307B6">
        <w:rPr>
          <w:rFonts w:ascii="Arial" w:hAnsi="Arial" w:cs="Arial"/>
          <w:color w:val="0E101A"/>
        </w:rPr>
        <w:t>). Secondly, it enhances learning outcomes by ensuring that all children have access to high-quality education despite their backgrounds or abilities (Kent &amp; McDonald</w:t>
      </w:r>
      <w:r w:rsidR="00AC5CBD" w:rsidRPr="006307B6">
        <w:rPr>
          <w:rFonts w:ascii="Arial" w:hAnsi="Arial" w:cs="Arial"/>
          <w:color w:val="0E101A"/>
        </w:rPr>
        <w:t>, 2020</w:t>
      </w:r>
      <w:r w:rsidRPr="006307B6">
        <w:rPr>
          <w:rFonts w:ascii="Arial" w:hAnsi="Arial" w:cs="Arial"/>
          <w:color w:val="0E101A"/>
        </w:rPr>
        <w:t>). The approach also promotes cognitive development through engaging with diverse perspectives.</w:t>
      </w:r>
    </w:p>
    <w:p w14:paraId="49FB4BF2"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489D6C30" w14:textId="4C0A1C82"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However, implementing inclusive leadership can be challenging due to its complex nature (</w:t>
      </w:r>
      <w:proofErr w:type="spellStart"/>
      <w:r w:rsidRPr="006307B6">
        <w:rPr>
          <w:rFonts w:ascii="Arial" w:hAnsi="Arial" w:cs="Arial"/>
          <w:color w:val="0E101A"/>
        </w:rPr>
        <w:t>Venketsamy</w:t>
      </w:r>
      <w:proofErr w:type="spellEnd"/>
      <w:r w:rsidRPr="006307B6">
        <w:rPr>
          <w:rFonts w:ascii="Arial" w:hAnsi="Arial" w:cs="Arial"/>
          <w:color w:val="0E101A"/>
        </w:rPr>
        <w:t xml:space="preserve"> et al., </w:t>
      </w:r>
      <w:r w:rsidR="00FC54EB" w:rsidRPr="006307B6">
        <w:rPr>
          <w:rFonts w:ascii="Arial" w:hAnsi="Arial" w:cs="Arial"/>
          <w:color w:val="0E101A"/>
        </w:rPr>
        <w:t>2021</w:t>
      </w:r>
      <w:r w:rsidRPr="006307B6">
        <w:rPr>
          <w:rFonts w:ascii="Arial" w:hAnsi="Arial" w:cs="Arial"/>
          <w:color w:val="0E101A"/>
        </w:rPr>
        <w:t xml:space="preserve">). One of the challenges includes identifying biases </w:t>
      </w:r>
      <w:r w:rsidRPr="006307B6">
        <w:rPr>
          <w:rFonts w:ascii="Arial" w:hAnsi="Arial" w:cs="Arial"/>
          <w:color w:val="0E101A"/>
        </w:rPr>
        <w:lastRenderedPageBreak/>
        <w:t xml:space="preserve">among staff members toward </w:t>
      </w:r>
      <w:proofErr w:type="gramStart"/>
      <w:r w:rsidRPr="006307B6">
        <w:rPr>
          <w:rFonts w:ascii="Arial" w:hAnsi="Arial" w:cs="Arial"/>
          <w:color w:val="0E101A"/>
        </w:rPr>
        <w:t>particular groups</w:t>
      </w:r>
      <w:proofErr w:type="gramEnd"/>
      <w:r w:rsidRPr="006307B6">
        <w:rPr>
          <w:rFonts w:ascii="Arial" w:hAnsi="Arial" w:cs="Arial"/>
          <w:color w:val="0E101A"/>
        </w:rPr>
        <w:t xml:space="preserve"> such as those with disabilities or from different cultural backgrounds (</w:t>
      </w:r>
      <w:proofErr w:type="spellStart"/>
      <w:r w:rsidRPr="006307B6">
        <w:rPr>
          <w:rFonts w:ascii="Arial" w:hAnsi="Arial" w:cs="Arial"/>
          <w:color w:val="0E101A"/>
        </w:rPr>
        <w:t>Marton</w:t>
      </w:r>
      <w:proofErr w:type="spellEnd"/>
      <w:r w:rsidRPr="006307B6">
        <w:rPr>
          <w:rFonts w:ascii="Arial" w:hAnsi="Arial" w:cs="Arial"/>
          <w:color w:val="0E101A"/>
        </w:rPr>
        <w:t xml:space="preserve"> et al.,</w:t>
      </w:r>
      <w:r w:rsidR="00AC5CBD" w:rsidRPr="006307B6">
        <w:rPr>
          <w:rFonts w:ascii="Arial" w:hAnsi="Arial" w:cs="Arial"/>
          <w:color w:val="0E101A"/>
        </w:rPr>
        <w:t xml:space="preserve"> 2022</w:t>
      </w:r>
      <w:r w:rsidRPr="006307B6">
        <w:rPr>
          <w:rFonts w:ascii="Arial" w:hAnsi="Arial" w:cs="Arial"/>
          <w:color w:val="0E101A"/>
        </w:rPr>
        <w:t>). </w:t>
      </w:r>
    </w:p>
    <w:p w14:paraId="5A4C4F25"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This section of the essay will look at a seven-year-old girl named Ellie, who has recently moved in with her father after he has overcome addiction and shown in </w:t>
      </w:r>
      <w:proofErr w:type="gramStart"/>
      <w:r w:rsidRPr="006307B6">
        <w:rPr>
          <w:rFonts w:ascii="Arial" w:hAnsi="Arial" w:cs="Arial"/>
          <w:color w:val="0E101A"/>
        </w:rPr>
        <w:t>assessments</w:t>
      </w:r>
      <w:proofErr w:type="gramEnd"/>
      <w:r w:rsidRPr="006307B6">
        <w:rPr>
          <w:rFonts w:ascii="Arial" w:hAnsi="Arial" w:cs="Arial"/>
          <w:color w:val="0E101A"/>
        </w:rPr>
        <w:t xml:space="preserve"> he is now able to care for Ellie as a single parent. Ellie has always completed academic work to a high standard for her age and is very outgoing within the school, but recently Ellie has been getting upset as she has not been getting her usual full marks in her spelling, not bringing her books in to change, etc. Elli gets very upset and states that her dad did not know about the days in which she has to complete work. The father keeps to himself at school drop-off and pick-up times and does not engage with staff or other parents. </w:t>
      </w:r>
    </w:p>
    <w:p w14:paraId="3C8512E3"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Working together will Ellie and her father is an important role of any practitioner within the setting. Arranging meetings where you can speak to both Ellie and her father separately can then help you support them both by coming together and discussing the </w:t>
      </w:r>
      <w:proofErr w:type="gramStart"/>
      <w:r w:rsidRPr="006307B6">
        <w:rPr>
          <w:rFonts w:ascii="Arial" w:hAnsi="Arial" w:cs="Arial"/>
          <w:color w:val="0E101A"/>
        </w:rPr>
        <w:t>support</w:t>
      </w:r>
      <w:proofErr w:type="gramEnd"/>
      <w:r w:rsidRPr="006307B6">
        <w:rPr>
          <w:rFonts w:ascii="Arial" w:hAnsi="Arial" w:cs="Arial"/>
          <w:color w:val="0E101A"/>
        </w:rPr>
        <w:t xml:space="preserve"> they both need and how you will help them. </w:t>
      </w:r>
    </w:p>
    <w:p w14:paraId="58325D23"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Inclusive leadership would implement this by making sure they are actively listening to both Ellie and her father. Active listening is a critical skill for supporting parents and children in the early years. By listening actively, educators can better understand the needs and concerns of parents and children, and work collaboratively to develop solutions that meet their needs. This can lead to improved communication, increased engagement, and enhanced problem-solving skills.</w:t>
      </w:r>
    </w:p>
    <w:p w14:paraId="1F2BFD48"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w:t>
      </w:r>
    </w:p>
    <w:p w14:paraId="75A06667" w14:textId="6DA88A3E"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Research has shown that active listening can have a positive impact on parent-teacher relationships. A study published in the Journal of Educational and Developmental Psychology found that parents who perceived their child's teacher as a good listener reported higher levels of satisfaction with their child's education (Klassen &amp; Chiu, 2010). Another study published in the Journal of Early Childhood Research found that active listening was positively related to parent engagement in their child's education (Barnes et al., 2019).</w:t>
      </w:r>
    </w:p>
    <w:p w14:paraId="258586EA"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w:t>
      </w:r>
    </w:p>
    <w:p w14:paraId="0E957E7A"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lastRenderedPageBreak/>
        <w:t> In addition to its benefits for parent-teacher relationships, active listening can also promote positive child development. When educators listen actively to children, they can better understand their needs and interests, and tailor their instruction to meet their individual needs. This can lead to improved learning outcomes and increased engagement in the learning process.</w:t>
      </w:r>
    </w:p>
    <w:p w14:paraId="61372ABD" w14:textId="6486DE4C"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However, </w:t>
      </w:r>
      <w:r w:rsidR="00EC3AC9" w:rsidRPr="006307B6">
        <w:rPr>
          <w:rFonts w:ascii="Arial" w:hAnsi="Arial" w:cs="Arial"/>
          <w:color w:val="0E101A"/>
        </w:rPr>
        <w:t>some practitioners may be judgemental over the situation</w:t>
      </w:r>
      <w:r w:rsidRPr="006307B6">
        <w:rPr>
          <w:rFonts w:ascii="Arial" w:hAnsi="Arial" w:cs="Arial"/>
          <w:color w:val="0E101A"/>
        </w:rPr>
        <w:t>.</w:t>
      </w:r>
      <w:r w:rsidR="00EC3AC9" w:rsidRPr="006307B6">
        <w:rPr>
          <w:rFonts w:ascii="Arial" w:hAnsi="Arial" w:cs="Arial"/>
          <w:color w:val="0E101A"/>
        </w:rPr>
        <w:t xml:space="preserve"> </w:t>
      </w:r>
      <w:r w:rsidR="006307B6" w:rsidRPr="006307B6">
        <w:rPr>
          <w:rFonts w:ascii="Arial" w:hAnsi="Arial" w:cs="Arial"/>
          <w:color w:val="0E101A"/>
        </w:rPr>
        <w:t xml:space="preserve">Social Care Wales (2020) highlights that it's important to bear in mind that </w:t>
      </w:r>
      <w:proofErr w:type="gramStart"/>
      <w:r w:rsidR="006307B6" w:rsidRPr="006307B6">
        <w:rPr>
          <w:rFonts w:ascii="Arial" w:hAnsi="Arial" w:cs="Arial"/>
          <w:color w:val="0E101A"/>
        </w:rPr>
        <w:t>the majority of</w:t>
      </w:r>
      <w:proofErr w:type="gramEnd"/>
      <w:r w:rsidR="006307B6" w:rsidRPr="006307B6">
        <w:rPr>
          <w:rFonts w:ascii="Arial" w:hAnsi="Arial" w:cs="Arial"/>
          <w:color w:val="0E101A"/>
        </w:rPr>
        <w:t xml:space="preserve"> parents are striving to provide the best for their child. Nevertheless, Cottle and Alexander (2014) point out that due to a family's lifestyle or lower socio-economic status, professionals may be inclined to judge the parents and label them as a problem family. If the parents choose not to cooperate with professionals, they may be seen as neglectful and insufficient (Epstein, 2018). Nevertheless, Ozturk (2011) states that communication between the parents and professionals is necessary </w:t>
      </w:r>
      <w:proofErr w:type="gramStart"/>
      <w:r w:rsidR="006307B6" w:rsidRPr="006307B6">
        <w:rPr>
          <w:rFonts w:ascii="Arial" w:hAnsi="Arial" w:cs="Arial"/>
          <w:color w:val="0E101A"/>
        </w:rPr>
        <w:t>in order to</w:t>
      </w:r>
      <w:proofErr w:type="gramEnd"/>
      <w:r w:rsidR="006307B6" w:rsidRPr="006307B6">
        <w:rPr>
          <w:rFonts w:ascii="Arial" w:hAnsi="Arial" w:cs="Arial"/>
          <w:color w:val="0E101A"/>
        </w:rPr>
        <w:t xml:space="preserve"> understand the child's environment and provide the appropriate support.</w:t>
      </w:r>
    </w:p>
    <w:p w14:paraId="1A58D7D8" w14:textId="354DA8A0" w:rsidR="00857173" w:rsidRPr="006307B6" w:rsidRDefault="002620AF" w:rsidP="002620AF">
      <w:pPr>
        <w:pStyle w:val="NormalWeb"/>
        <w:spacing w:before="0" w:beforeAutospacing="0" w:after="0" w:afterAutospacing="0" w:line="360" w:lineRule="auto"/>
        <w:rPr>
          <w:rFonts w:ascii="Arial" w:hAnsi="Arial" w:cs="Arial"/>
          <w:color w:val="0E101A"/>
        </w:rPr>
      </w:pPr>
      <w:r>
        <w:rPr>
          <w:rFonts w:ascii="Helvetica" w:hAnsi="Helvetica"/>
          <w:color w:val="000000"/>
          <w:sz w:val="18"/>
          <w:szCs w:val="18"/>
        </w:rPr>
        <w:br/>
      </w:r>
      <w:r>
        <w:rPr>
          <w:rFonts w:ascii="Calibri" w:hAnsi="Calibri" w:cs="Calibri"/>
          <w:color w:val="000000"/>
          <w:sz w:val="18"/>
          <w:szCs w:val="18"/>
        </w:rPr>
        <w:t>﻿</w:t>
      </w:r>
      <w:r w:rsidRPr="002620AF">
        <w:rPr>
          <w:rFonts w:ascii="Arial" w:hAnsi="Arial" w:cs="Arial"/>
          <w:color w:val="000000"/>
        </w:rPr>
        <w:t>In light of the father's past struggles with substance abuse, a team of multi-agency workers, including practitioners, will be involved to ensure the wellbeing of both Ellie and her father during this challenging time (NSPCC, 2019). The support team will consist of social workers and drug abuse specialists who have previously worked with Ellie and her father and have proven to be effective (</w:t>
      </w:r>
      <w:proofErr w:type="spellStart"/>
      <w:r w:rsidRPr="002620AF">
        <w:rPr>
          <w:rFonts w:ascii="Arial" w:hAnsi="Arial" w:cs="Arial"/>
          <w:color w:val="000000"/>
        </w:rPr>
        <w:t>Hafford-Letchfield</w:t>
      </w:r>
      <w:proofErr w:type="spellEnd"/>
      <w:r w:rsidRPr="002620AF">
        <w:rPr>
          <w:rFonts w:ascii="Arial" w:hAnsi="Arial" w:cs="Arial"/>
          <w:color w:val="000000"/>
        </w:rPr>
        <w:t xml:space="preserve"> et al. 2014). The United Nations Convention on the Rights of the Child (UNICEF, No Date) emphasizes that children should not be separated from their parents unless it is in their best interest. Therefore, the collaboration of various agencies is crucial in assisting the father in his recovery and ultimately regaining custody of Ellie.</w:t>
      </w:r>
      <w:r w:rsidRPr="002620AF">
        <w:rPr>
          <w:rFonts w:ascii="Arial" w:hAnsi="Arial" w:cs="Arial"/>
          <w:color w:val="000000"/>
        </w:rPr>
        <w:br/>
      </w:r>
      <w:r w:rsidRPr="002620AF">
        <w:rPr>
          <w:rFonts w:ascii="Arial" w:hAnsi="Arial" w:cs="Arial"/>
          <w:color w:val="000000"/>
        </w:rPr>
        <w:br/>
        <w:t xml:space="preserve">By actively listening to parents and providing them with supportive power, social workers can increase the likelihood of fathers collaborating with schools, preventing relapse, and feeling a sense of belonging. Addiction recovery is a lengthy process that requires parents to maintain change, but a lack of support, negative emotions, and feelings of exclusion can hinder progress and negatively impact the child's well-being (Ferdman, 2014). Therefore, it is crucial for social workers to work with other agencies </w:t>
      </w:r>
      <w:r w:rsidRPr="002620AF">
        <w:rPr>
          <w:rFonts w:ascii="Arial" w:hAnsi="Arial" w:cs="Arial"/>
          <w:color w:val="000000"/>
        </w:rPr>
        <w:lastRenderedPageBreak/>
        <w:t>to provide comprehensive support for parents and children.</w:t>
      </w:r>
      <w:r w:rsidRPr="002620AF">
        <w:rPr>
          <w:rFonts w:ascii="Arial" w:hAnsi="Arial" w:cs="Arial"/>
          <w:color w:val="000000"/>
        </w:rPr>
        <w:br/>
      </w:r>
      <w:r w:rsidRPr="002620AF">
        <w:rPr>
          <w:rFonts w:ascii="Arial" w:hAnsi="Arial" w:cs="Arial"/>
          <w:color w:val="000000"/>
        </w:rPr>
        <w:br/>
        <w:t>However, fathers may also be concerned about power struggles and an unreliable relationship with their social worker. According to Ferguson et al. (2021), most parental contact with social workers is unintentional, and the social worker's ability to intervene and protect children from harm may cause fathers to fear behaving inappropriately and triggering further intervention. Many parents perceive social workers as having authority over them rather than being a source of assistance, leading them to feel powerless, unheard, and incapable of reaching out to other support systems such as schools (Ward et al. 2014). Nevertheless, the Welsh Government (2019) emphasizes the importance of collaboration between services and parents to provide support and listen to families, particularly those on the brink of separation, to prevent adverse childhood experiences. Ferdman, Prime, and Riggio (2021) agree that services should prioritize creating a safe environment and empowering individuals to express themselves, promoting inclusivity.</w:t>
      </w:r>
    </w:p>
    <w:p w14:paraId="5D5D47B1"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5E94436A"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Style w:val="Strong"/>
          <w:rFonts w:ascii="Arial" w:hAnsi="Arial" w:cs="Arial"/>
          <w:color w:val="0E101A"/>
          <w:u w:val="single"/>
        </w:rPr>
        <w:t>Section Two</w:t>
      </w:r>
    </w:p>
    <w:p w14:paraId="78EB2BD8" w14:textId="1118350C"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Implementing inclusive education policies in early childhood education requires creating a positive environment promoting diversity and acceptance (</w:t>
      </w:r>
      <w:proofErr w:type="spellStart"/>
      <w:r w:rsidRPr="006307B6">
        <w:rPr>
          <w:rFonts w:ascii="Arial" w:hAnsi="Arial" w:cs="Arial"/>
          <w:color w:val="0E101A"/>
        </w:rPr>
        <w:t>Ackah</w:t>
      </w:r>
      <w:proofErr w:type="spellEnd"/>
      <w:r w:rsidRPr="006307B6">
        <w:rPr>
          <w:rFonts w:ascii="Arial" w:hAnsi="Arial" w:cs="Arial"/>
          <w:color w:val="0E101A"/>
        </w:rPr>
        <w:t xml:space="preserve">-Jnr &amp; </w:t>
      </w:r>
      <w:proofErr w:type="spellStart"/>
      <w:r w:rsidRPr="006307B6">
        <w:rPr>
          <w:rFonts w:ascii="Arial" w:hAnsi="Arial" w:cs="Arial"/>
          <w:color w:val="0E101A"/>
        </w:rPr>
        <w:t>Udah</w:t>
      </w:r>
      <w:proofErr w:type="spellEnd"/>
      <w:r w:rsidRPr="006307B6">
        <w:rPr>
          <w:rFonts w:ascii="Arial" w:hAnsi="Arial" w:cs="Arial"/>
          <w:color w:val="0E101A"/>
        </w:rPr>
        <w:t xml:space="preserve"> </w:t>
      </w:r>
      <w:r w:rsidR="00AC5CBD" w:rsidRPr="006307B6">
        <w:rPr>
          <w:rFonts w:ascii="Arial" w:hAnsi="Arial" w:cs="Arial"/>
          <w:color w:val="0E101A"/>
        </w:rPr>
        <w:t>2020</w:t>
      </w:r>
      <w:r w:rsidRPr="006307B6">
        <w:rPr>
          <w:rFonts w:ascii="Arial" w:hAnsi="Arial" w:cs="Arial"/>
          <w:color w:val="0E101A"/>
        </w:rPr>
        <w:t>). It involves encouraging collaboration and communication between teachers, parents, and students. Providing equal opportunities for all children is another crucial aspect of inclusive leadership (</w:t>
      </w:r>
      <w:proofErr w:type="spellStart"/>
      <w:r w:rsidRPr="006307B6">
        <w:rPr>
          <w:rFonts w:ascii="Arial" w:hAnsi="Arial" w:cs="Arial"/>
          <w:color w:val="0E101A"/>
        </w:rPr>
        <w:t>Bipath</w:t>
      </w:r>
      <w:proofErr w:type="spellEnd"/>
      <w:r w:rsidRPr="006307B6">
        <w:rPr>
          <w:rFonts w:ascii="Arial" w:hAnsi="Arial" w:cs="Arial"/>
          <w:color w:val="0E101A"/>
        </w:rPr>
        <w:t xml:space="preserve"> et al. </w:t>
      </w:r>
      <w:r w:rsidR="00AC5CBD" w:rsidRPr="006307B6">
        <w:rPr>
          <w:rFonts w:ascii="Arial" w:hAnsi="Arial" w:cs="Arial"/>
          <w:color w:val="0E101A"/>
        </w:rPr>
        <w:t>2021</w:t>
      </w:r>
      <w:r w:rsidRPr="006307B6">
        <w:rPr>
          <w:rFonts w:ascii="Arial" w:hAnsi="Arial" w:cs="Arial"/>
          <w:color w:val="0E101A"/>
        </w:rPr>
        <w:t>). Identifying and addressing barriers to participation helps create an enabling environment for learning while adapting teaching strategies ensures that individual needs are met.</w:t>
      </w:r>
    </w:p>
    <w:p w14:paraId="70FE04B6"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5C07B513"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The Welsh Government (2020) Curriculum for Wales is a set of guidelines that outlines the national expectations for education in Wales. The curriculum aims to improve attainment, reduce the attainment gap, and develop learners who are ambitious, capable, and engaged. Inclusive leadership plays a critical role in early years provision as it ensures that all children have equal opportunities to succeed regardless of their background or abilities. This section will examine whether the Welsh Government (2020) Curriculum for Wales truly enables inclusive leadership in early years provision. </w:t>
      </w:r>
      <w:r w:rsidRPr="006307B6">
        <w:rPr>
          <w:rFonts w:ascii="Arial" w:hAnsi="Arial" w:cs="Arial"/>
          <w:color w:val="0E101A"/>
        </w:rPr>
        <w:lastRenderedPageBreak/>
        <w:t xml:space="preserve">Furthermore, this section will identify and discuss both the strengths and weaknesses of this curriculum </w:t>
      </w:r>
      <w:proofErr w:type="gramStart"/>
      <w:r w:rsidRPr="006307B6">
        <w:rPr>
          <w:rFonts w:ascii="Arial" w:hAnsi="Arial" w:cs="Arial"/>
          <w:color w:val="0E101A"/>
        </w:rPr>
        <w:t>with regard to</w:t>
      </w:r>
      <w:proofErr w:type="gramEnd"/>
      <w:r w:rsidRPr="006307B6">
        <w:rPr>
          <w:rFonts w:ascii="Arial" w:hAnsi="Arial" w:cs="Arial"/>
          <w:color w:val="0E101A"/>
        </w:rPr>
        <w:t xml:space="preserve"> inclusive leadership within the Curriculum for Wales. </w:t>
      </w:r>
    </w:p>
    <w:p w14:paraId="2EBA7697"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 Curriculum for Wales aims to provide clarity and coherence in the education system. It outlines six areas of learning and experience (ALN), including expressive arts, humanities, languages, literacy, numeracy, and science and technology. The curriculum also emphasizes building relationships, developing well-being, and promoting skills, knowledge, &amp; understanding (Ashby et al., 2021).</w:t>
      </w:r>
    </w:p>
    <w:p w14:paraId="42644CC8"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 Welsh Government, inclusive leadership has proven to be a powerful tool to promote diversity, equity, and inclusion in the public sector. This kind of leadership helps to create an environment where everyone's talents and perspectives are valued, respected, and appreciated, leading to a rise in creativity, innovation, and productivity. When people feel included, they tend to be more engaged, more committed, and more motivated to make a difference. As a result, inclusive leadership leads to better decision-making, better communication, and better outcomes.</w:t>
      </w:r>
    </w:p>
    <w:p w14:paraId="1CE26AE7"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 benefits of inclusive leadership in the Welsh Government's curriculum are evident in the development of its educational system. Inclusive leadership has enabled the inclusion of diversity and equity objectives in the learning process. With diversity being a key component of inclusive learning, the curriculum has been designed to accommodate a diverse student population by promoting the development of intercultural competence through understanding, respecting, and celebrating diversity (Ashby et al., 2021). Inclusive leadership has encouraged the integration of different ethnicities and cultures, making education a powerful tool to help students understand and appreciate different perspectives. The result of this approach is a welcoming and supportive educational environment that nurtures student growth and development. Furthermore, it provides a platform for creating diverse partnerships between families, schools, and communities, which is vital to establishing a support network necessary for inclusivity (Bell &amp; Gilbertson., 2017).</w:t>
      </w:r>
    </w:p>
    <w:p w14:paraId="352BD604"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w:t>
      </w:r>
    </w:p>
    <w:p w14:paraId="6DBE36D6"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Inclusive leadership in Welsh Government's curriculum also goes beyond diversity, equity, and inclusion. It has led to the development of a more holistic approach to education, </w:t>
      </w:r>
      <w:proofErr w:type="gramStart"/>
      <w:r w:rsidRPr="006307B6">
        <w:rPr>
          <w:rFonts w:ascii="Arial" w:hAnsi="Arial" w:cs="Arial"/>
          <w:color w:val="0E101A"/>
        </w:rPr>
        <w:t>This</w:t>
      </w:r>
      <w:proofErr w:type="gramEnd"/>
      <w:r w:rsidRPr="006307B6">
        <w:rPr>
          <w:rFonts w:ascii="Arial" w:hAnsi="Arial" w:cs="Arial"/>
          <w:color w:val="0E101A"/>
        </w:rPr>
        <w:t xml:space="preserve"> is supported by White and </w:t>
      </w:r>
      <w:proofErr w:type="spellStart"/>
      <w:r w:rsidRPr="006307B6">
        <w:rPr>
          <w:rFonts w:ascii="Arial" w:hAnsi="Arial" w:cs="Arial"/>
          <w:color w:val="0E101A"/>
        </w:rPr>
        <w:t>Mcloed</w:t>
      </w:r>
      <w:proofErr w:type="spellEnd"/>
      <w:r w:rsidRPr="006307B6">
        <w:rPr>
          <w:rFonts w:ascii="Arial" w:hAnsi="Arial" w:cs="Arial"/>
          <w:color w:val="0E101A"/>
        </w:rPr>
        <w:t xml:space="preserve"> (2016) who suggest This facilitates </w:t>
      </w:r>
      <w:r w:rsidRPr="006307B6">
        <w:rPr>
          <w:rFonts w:ascii="Arial" w:hAnsi="Arial" w:cs="Arial"/>
          <w:color w:val="0E101A"/>
        </w:rPr>
        <w:lastRenderedPageBreak/>
        <w:t>cross-disciplinary cooperation between educators. Learning environments are also collaboratively designed &amp; resources are shared accordingly. Inclusive leadership prioritizes mental health, emotional intelligence, and individual differences in learning styles. As a result, the Welsh Government's curriculum has been designed to provide a supportive learning environment with learning opportunities for all students. Inclusive leadership has been critical in providing a learning system that acknowledges and addresses the individual needs of each student, including their strengths, challenges, and resources. Overall, inclusive leadership has resulted in a curriculum that offers equal access, promotes equitable learning, and ensures a positive educational experience for all students. </w:t>
      </w:r>
    </w:p>
    <w:p w14:paraId="354A9259"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w:t>
      </w:r>
    </w:p>
    <w:p w14:paraId="08DD3BAC"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However, while being beneficial in many aspects, inclusive leadership has its weak points that need addressing. Firstly, inclusive leadership has the potential of creating a sense of tokenism and insincerity among the leaders. This means that the leaders may not be genuinely interested in accommodating everyone, but they are trying to make themselves look good by catering to the needs of everyone. This can cause resentment among the employees and cause reduced motivation and morale.</w:t>
      </w:r>
    </w:p>
    <w:p w14:paraId="2A46F912"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Secondly, inclusive leadership can lead to a sense of being lost among the goals of the organization or the government curriculum. Including every person's opinion in decision-making can create too many ideas and, as a result, can derail or cloud the government's objectives. This can lead to lost focus and energy, creating conflict and a lack of direction. This may have a detrimental effect not only on the government but also on the public, who rely on the government to provide them with clarity and direction.</w:t>
      </w:r>
    </w:p>
    <w:p w14:paraId="7FCDFB3B"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Thirdly, inclusive leadership may lead to a slow decision-making process due to the need to consider everyone's perspective before making any move. This can be disadvantageous to the government, as it can take a longer time to execute plans and programs that may have a significant impact on citizens' lives. It may also lead to delays in handling emergencies, which can cause adverse effects on the public's welfare.</w:t>
      </w:r>
    </w:p>
    <w:p w14:paraId="1C2C0284"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In conclusion, while inclusive leadership can bring a lot of benefits to the Welsh Government curriculum, </w:t>
      </w:r>
      <w:proofErr w:type="spellStart"/>
      <w:r w:rsidRPr="006307B6">
        <w:rPr>
          <w:rFonts w:ascii="Arial" w:hAnsi="Arial" w:cs="Arial"/>
          <w:color w:val="0E101A"/>
        </w:rPr>
        <w:t>its</w:t>
      </w:r>
      <w:proofErr w:type="spellEnd"/>
      <w:r w:rsidRPr="006307B6">
        <w:rPr>
          <w:rFonts w:ascii="Arial" w:hAnsi="Arial" w:cs="Arial"/>
          <w:color w:val="0E101A"/>
        </w:rPr>
        <w:t xml:space="preserve"> possible downsides are worth considering. Measures such as training for government leaders should be put in place to ensure that inclusive </w:t>
      </w:r>
      <w:r w:rsidRPr="006307B6">
        <w:rPr>
          <w:rFonts w:ascii="Arial" w:hAnsi="Arial" w:cs="Arial"/>
          <w:color w:val="0E101A"/>
        </w:rPr>
        <w:lastRenderedPageBreak/>
        <w:t xml:space="preserve">leadership caters to everyone while being efficient and </w:t>
      </w:r>
      <w:proofErr w:type="spellStart"/>
      <w:r w:rsidRPr="006307B6">
        <w:rPr>
          <w:rFonts w:ascii="Arial" w:hAnsi="Arial" w:cs="Arial"/>
          <w:color w:val="0E101A"/>
        </w:rPr>
        <w:t>farseeing</w:t>
      </w:r>
      <w:proofErr w:type="spellEnd"/>
      <w:r w:rsidRPr="006307B6">
        <w:rPr>
          <w:rFonts w:ascii="Arial" w:hAnsi="Arial" w:cs="Arial"/>
          <w:color w:val="0E101A"/>
        </w:rPr>
        <w:t>. It's essential to note that great leaders are those who can balance both inclusiveness with efficiency, creating an environment that is conducive to the growth of the government and its people.</w:t>
      </w:r>
    </w:p>
    <w:p w14:paraId="66C859DE"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2F2C79A2"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 curriculum supports inclusive leadership by providing guidance on how to facilitate learners' diverse needs through differentiated teaching methods (</w:t>
      </w:r>
      <w:proofErr w:type="spellStart"/>
      <w:r w:rsidRPr="006307B6">
        <w:rPr>
          <w:rFonts w:ascii="Arial" w:hAnsi="Arial" w:cs="Arial"/>
          <w:color w:val="0E101A"/>
        </w:rPr>
        <w:t>Turnock</w:t>
      </w:r>
      <w:proofErr w:type="spellEnd"/>
      <w:r w:rsidRPr="006307B6">
        <w:rPr>
          <w:rFonts w:ascii="Arial" w:hAnsi="Arial" w:cs="Arial"/>
          <w:color w:val="0E101A"/>
        </w:rPr>
        <w:t xml:space="preserve"> et al., 2018). Its emphasis on creating a supportive environment that acknowledges diversity helps teachers understand individual child's development stages while fostering inclusion.</w:t>
      </w:r>
    </w:p>
    <w:p w14:paraId="5843097A"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1ECF6E0E" w14:textId="4FA0A7A1" w:rsidR="00857173" w:rsidRPr="006307B6" w:rsidRDefault="00844F49"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There are many benefits to the curriculum, however o</w:t>
      </w:r>
      <w:r w:rsidR="00857173" w:rsidRPr="006307B6">
        <w:rPr>
          <w:rFonts w:ascii="Arial" w:hAnsi="Arial" w:cs="Arial"/>
          <w:color w:val="0E101A"/>
        </w:rPr>
        <w:t>ne weakness is that there are no specific goals or targets concerning inclusion in the early year’s provision. The policy gives general guidance on ensuring equality of access but does not provide any quantifiable metrics to evaluate its success (Elliott et al., 2018). This makes it difficult to measure whether the policy has been effective in improving outcomes among learners.</w:t>
      </w:r>
    </w:p>
    <w:p w14:paraId="16BDD5AC"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0BBADF02"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Another weakness is that it neglects socio-economic factors as barriers influencing children's educational attainment. It overlooks how poverty affects learning experiences; </w:t>
      </w:r>
      <w:proofErr w:type="gramStart"/>
      <w:r w:rsidRPr="006307B6">
        <w:rPr>
          <w:rFonts w:ascii="Arial" w:hAnsi="Arial" w:cs="Arial"/>
          <w:color w:val="0E101A"/>
        </w:rPr>
        <w:t>thus</w:t>
      </w:r>
      <w:proofErr w:type="gramEnd"/>
      <w:r w:rsidRPr="006307B6">
        <w:rPr>
          <w:rFonts w:ascii="Arial" w:hAnsi="Arial" w:cs="Arial"/>
          <w:color w:val="0E101A"/>
        </w:rPr>
        <w:t xml:space="preserve"> vulnerable children may be left behind without adequate support (</w:t>
      </w:r>
      <w:proofErr w:type="spellStart"/>
      <w:r w:rsidRPr="006307B6">
        <w:rPr>
          <w:rFonts w:ascii="Arial" w:hAnsi="Arial" w:cs="Arial"/>
          <w:color w:val="0E101A"/>
        </w:rPr>
        <w:t>Turnock</w:t>
      </w:r>
      <w:proofErr w:type="spellEnd"/>
      <w:r w:rsidRPr="006307B6">
        <w:rPr>
          <w:rFonts w:ascii="Arial" w:hAnsi="Arial" w:cs="Arial"/>
          <w:color w:val="0E101A"/>
        </w:rPr>
        <w:t xml:space="preserve"> et al., 2018).</w:t>
      </w:r>
    </w:p>
    <w:p w14:paraId="30D35806" w14:textId="77777777" w:rsidR="00EC3AC9" w:rsidRPr="006307B6" w:rsidRDefault="00EC3AC9" w:rsidP="006307B6">
      <w:pPr>
        <w:pStyle w:val="NormalWeb"/>
        <w:spacing w:before="0" w:beforeAutospacing="0" w:after="0" w:afterAutospacing="0" w:line="360" w:lineRule="auto"/>
        <w:rPr>
          <w:rFonts w:ascii="Arial" w:hAnsi="Arial" w:cs="Arial"/>
          <w:color w:val="0E101A"/>
        </w:rPr>
      </w:pPr>
    </w:p>
    <w:p w14:paraId="0020E1BC" w14:textId="4ADD5567" w:rsidR="00EC3AC9" w:rsidRPr="006307B6" w:rsidRDefault="00EC3AC9" w:rsidP="006307B6">
      <w:pPr>
        <w:pStyle w:val="NormalWeb"/>
        <w:spacing w:before="0" w:beforeAutospacing="0" w:after="0" w:afterAutospacing="0" w:line="360" w:lineRule="auto"/>
        <w:rPr>
          <w:rFonts w:ascii="Arial" w:hAnsi="Arial" w:cs="Arial"/>
          <w:color w:val="0E101A"/>
          <w:u w:val="single"/>
        </w:rPr>
      </w:pPr>
      <w:r w:rsidRPr="006307B6">
        <w:rPr>
          <w:rFonts w:ascii="Arial" w:hAnsi="Arial" w:cs="Arial"/>
          <w:color w:val="0E101A"/>
          <w:u w:val="single"/>
        </w:rPr>
        <w:t>Section Three</w:t>
      </w:r>
    </w:p>
    <w:p w14:paraId="5BC7C9B2" w14:textId="77777777"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Promoting Inclusive Leadership in Early Years Settings.</w:t>
      </w:r>
    </w:p>
    <w:p w14:paraId="1A9193E6" w14:textId="77777777"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w:t>
      </w:r>
    </w:p>
    <w:p w14:paraId="7F26A5E9" w14:textId="614BA9AC"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Inclusive leadership is essential in early years settings to ensure that all children, regardless of their background, are provided with equal opportunities to learn and develop. Inclusive leadership involves creating a welcoming and supportive environment that values diversity and promotes equity. In this blog, we will discuss </w:t>
      </w:r>
      <w:r w:rsidRPr="006307B6">
        <w:rPr>
          <w:rFonts w:ascii="Arial" w:hAnsi="Arial" w:cs="Arial"/>
          <w:color w:val="0E101A"/>
        </w:rPr>
        <w:lastRenderedPageBreak/>
        <w:t xml:space="preserve">some strategies that early </w:t>
      </w:r>
      <w:proofErr w:type="gramStart"/>
      <w:r w:rsidRPr="006307B6">
        <w:rPr>
          <w:rFonts w:ascii="Arial" w:hAnsi="Arial" w:cs="Arial"/>
          <w:color w:val="0E101A"/>
        </w:rPr>
        <w:t>years</w:t>
      </w:r>
      <w:proofErr w:type="gramEnd"/>
      <w:r w:rsidRPr="006307B6">
        <w:rPr>
          <w:rFonts w:ascii="Arial" w:hAnsi="Arial" w:cs="Arial"/>
          <w:color w:val="0E101A"/>
        </w:rPr>
        <w:t xml:space="preserve"> leaders can use to promote inclusive leadership in their settings.</w:t>
      </w:r>
    </w:p>
    <w:p w14:paraId="0F465358" w14:textId="5F8C8DCA"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1. Develop a shared vision of inclusion: Early years leaders should work with their team to develop a shared vision of inclusion that reflects the values and beliefs of the setting. This vision should be communicated to all staff, parents, and children to ensure that everyone is working towards the same goal</w:t>
      </w:r>
      <w:r w:rsidR="00AB7E98" w:rsidRPr="006307B6">
        <w:rPr>
          <w:rFonts w:ascii="Arial" w:hAnsi="Arial" w:cs="Arial"/>
          <w:color w:val="0E101A"/>
        </w:rPr>
        <w:t xml:space="preserve"> (</w:t>
      </w:r>
      <w:r w:rsidR="00AB7E98" w:rsidRPr="006307B6">
        <w:rPr>
          <w:rFonts w:ascii="Arial" w:hAnsi="Arial" w:cs="Arial"/>
          <w:color w:val="000000"/>
        </w:rPr>
        <w:t>Department for Education, 2017)</w:t>
      </w:r>
      <w:r w:rsidRPr="006307B6">
        <w:rPr>
          <w:rFonts w:ascii="Arial" w:hAnsi="Arial" w:cs="Arial"/>
          <w:color w:val="0E101A"/>
        </w:rPr>
        <w:t>. This can be achieved through regular team meetings, training sessions, and parent consultations.</w:t>
      </w:r>
    </w:p>
    <w:p w14:paraId="247B8925" w14:textId="0E75129D"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2. Build a diverse team: Early years leaders should strive to build a diverse team that reflects the community they serve. This can include staff from different cultural backgrounds, genders, and abilities. A diverse team can bring different perspectives and experiences to the setting, which can enrich the learning environment for children. </w:t>
      </w:r>
    </w:p>
    <w:p w14:paraId="38C5E1E9" w14:textId="6962CD91"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3. Provide ongoing training and support: Early years leaders should provide ongoing training and support to their team to ensure that they have the knowledge and skills to promote inclusion. This can include training on cultural awareness, anti-bias education, and inclusive teaching practices. Leaders should also provide regular feedback and coaching to their teams to help them improve their practice. </w:t>
      </w:r>
    </w:p>
    <w:p w14:paraId="1A787FEA" w14:textId="77777777"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4. Involve parents and families: Early years leaders should involve parents and families in the setting to promote a sense of belonging and partnership. This can include regular communication, parent consultations, and involving parents in decision-making processes. Leaders should also ensure that the setting is accessible and welcoming to all families, regardless of their background.</w:t>
      </w:r>
    </w:p>
    <w:p w14:paraId="1BCFE670" w14:textId="77777777"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w:t>
      </w:r>
    </w:p>
    <w:p w14:paraId="11C81388" w14:textId="40601382"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5. Use inclusive teaching practices: Early years leaders should promote inclusive teaching practices that cater to the diverse needs of children. This can include using a variety of teaching strategies, adapting the curriculum to meet the needs of individual children, and providing additional support where necessary. Leaders should also ensure </w:t>
      </w:r>
      <w:r w:rsidRPr="006307B6">
        <w:rPr>
          <w:rFonts w:ascii="Arial" w:hAnsi="Arial" w:cs="Arial"/>
          <w:color w:val="0E101A"/>
        </w:rPr>
        <w:lastRenderedPageBreak/>
        <w:t>that the setting is physically accessible and inclusive of all children</w:t>
      </w:r>
      <w:r w:rsidR="00AB7E98" w:rsidRPr="006307B6">
        <w:rPr>
          <w:rFonts w:ascii="Arial" w:hAnsi="Arial" w:cs="Arial"/>
          <w:color w:val="0E101A"/>
        </w:rPr>
        <w:t xml:space="preserve"> (</w:t>
      </w:r>
      <w:r w:rsidR="00AB7E98" w:rsidRPr="006307B6">
        <w:rPr>
          <w:rFonts w:ascii="Arial" w:hAnsi="Arial" w:cs="Arial"/>
          <w:color w:val="000000"/>
        </w:rPr>
        <w:t>Early Childhood Australia, 2018).</w:t>
      </w:r>
    </w:p>
    <w:p w14:paraId="4766FF50" w14:textId="40D9486E"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In conclusion, promoting inclusive leadership in early years settings is essential to ensure that all children are provided with equal opportunities to learn and develop. Early years leaders can promote inclusive leadership by developing a shared vision of inclusion, building a diverse team, providing ongoing training and support, involving parents and families, and using inclusive teaching practices. By doing so, early years leaders can create a welcoming and supportive environment that values diversity and promotes equality</w:t>
      </w:r>
      <w:r w:rsidR="00AB7E98" w:rsidRPr="006307B6">
        <w:rPr>
          <w:rFonts w:ascii="Arial" w:hAnsi="Arial" w:cs="Arial"/>
          <w:color w:val="0E101A"/>
        </w:rPr>
        <w:t xml:space="preserve"> (</w:t>
      </w:r>
      <w:r w:rsidR="00AB7E98" w:rsidRPr="006307B6">
        <w:rPr>
          <w:rFonts w:ascii="Arial" w:hAnsi="Arial" w:cs="Arial"/>
          <w:color w:val="000000"/>
        </w:rPr>
        <w:t>National Association for the Education of Young Children, 2019)</w:t>
      </w:r>
      <w:r w:rsidR="00AB7E98" w:rsidRPr="006307B6">
        <w:rPr>
          <w:rFonts w:ascii="Arial" w:hAnsi="Arial" w:cs="Arial"/>
          <w:color w:val="0E101A"/>
        </w:rPr>
        <w:t>.</w:t>
      </w:r>
    </w:p>
    <w:p w14:paraId="5D7AE33C" w14:textId="77777777" w:rsidR="005A3B29" w:rsidRPr="006307B6" w:rsidRDefault="005A3B29" w:rsidP="006307B6">
      <w:pPr>
        <w:spacing w:after="0" w:line="360" w:lineRule="auto"/>
        <w:ind w:firstLine="0"/>
        <w:rPr>
          <w:rFonts w:ascii="Arial" w:hAnsi="Arial" w:cs="Arial"/>
        </w:rPr>
      </w:pPr>
    </w:p>
    <w:p w14:paraId="2CE8AA93" w14:textId="77777777" w:rsidR="005A3B29" w:rsidRPr="006307B6" w:rsidRDefault="005A3B29" w:rsidP="006307B6">
      <w:pPr>
        <w:spacing w:after="0" w:line="360" w:lineRule="auto"/>
        <w:ind w:firstLine="0"/>
        <w:rPr>
          <w:rFonts w:ascii="Arial" w:hAnsi="Arial" w:cs="Arial"/>
        </w:rPr>
      </w:pPr>
    </w:p>
    <w:p w14:paraId="51616ACC" w14:textId="77777777" w:rsidR="005429BA" w:rsidRPr="006307B6" w:rsidRDefault="00844F49" w:rsidP="006307B6">
      <w:pPr>
        <w:spacing w:after="0" w:line="360" w:lineRule="auto"/>
        <w:ind w:firstLine="0"/>
        <w:rPr>
          <w:rFonts w:ascii="Arial" w:hAnsi="Arial" w:cs="Arial"/>
        </w:rPr>
      </w:pPr>
      <w:r w:rsidRPr="006307B6">
        <w:rPr>
          <w:rFonts w:ascii="Arial" w:hAnsi="Arial" w:cs="Arial"/>
        </w:rPr>
        <w:t>Reference List.</w:t>
      </w:r>
    </w:p>
    <w:p w14:paraId="4D9CBE29" w14:textId="17A83760" w:rsidR="00AC5CBD" w:rsidRPr="006307B6" w:rsidRDefault="00AC5CBD" w:rsidP="006307B6">
      <w:pPr>
        <w:spacing w:after="0" w:line="360" w:lineRule="auto"/>
        <w:ind w:firstLine="0"/>
        <w:rPr>
          <w:rFonts w:ascii="Arial" w:hAnsi="Arial" w:cs="Arial"/>
        </w:rPr>
      </w:pPr>
      <w:proofErr w:type="spellStart"/>
      <w:r w:rsidRPr="006307B6">
        <w:rPr>
          <w:rFonts w:ascii="Arial" w:hAnsi="Arial" w:cs="Arial"/>
        </w:rPr>
        <w:t>Ackah</w:t>
      </w:r>
      <w:proofErr w:type="spellEnd"/>
      <w:r w:rsidRPr="006307B6">
        <w:rPr>
          <w:rFonts w:ascii="Arial" w:hAnsi="Arial" w:cs="Arial"/>
        </w:rPr>
        <w:t xml:space="preserve">-Jnr, Francis R., and Hyacinth </w:t>
      </w:r>
      <w:proofErr w:type="spellStart"/>
      <w:r w:rsidRPr="006307B6">
        <w:rPr>
          <w:rFonts w:ascii="Arial" w:hAnsi="Arial" w:cs="Arial"/>
        </w:rPr>
        <w:t>Udah</w:t>
      </w:r>
      <w:proofErr w:type="spellEnd"/>
      <w:r w:rsidRPr="006307B6">
        <w:rPr>
          <w:rFonts w:ascii="Arial" w:hAnsi="Arial" w:cs="Arial"/>
        </w:rPr>
        <w:t xml:space="preserve">. (2020) "Implementing Inclusive Education </w:t>
      </w:r>
      <w:proofErr w:type="gramStart"/>
      <w:r w:rsidRPr="006307B6">
        <w:rPr>
          <w:rFonts w:ascii="Arial" w:hAnsi="Arial" w:cs="Arial"/>
        </w:rPr>
        <w:t>In</w:t>
      </w:r>
      <w:proofErr w:type="gramEnd"/>
      <w:r w:rsidRPr="006307B6">
        <w:rPr>
          <w:rFonts w:ascii="Arial" w:hAnsi="Arial" w:cs="Arial"/>
        </w:rPr>
        <w:t xml:space="preserve"> Early</w:t>
      </w:r>
    </w:p>
    <w:p w14:paraId="1138100D" w14:textId="77777777" w:rsidR="00AC5CBD" w:rsidRPr="006307B6" w:rsidRDefault="00AC5CBD" w:rsidP="006307B6">
      <w:pPr>
        <w:spacing w:after="0" w:line="360" w:lineRule="auto"/>
        <w:ind w:firstLine="0"/>
        <w:rPr>
          <w:rFonts w:ascii="Arial" w:hAnsi="Arial" w:cs="Arial"/>
        </w:rPr>
      </w:pPr>
      <w:r w:rsidRPr="006307B6">
        <w:rPr>
          <w:rFonts w:ascii="Arial" w:hAnsi="Arial" w:cs="Arial"/>
        </w:rPr>
        <w:t>Childhood Settings: The Interplay and Impact of Exclusion, Teacher Qualities and</w:t>
      </w:r>
    </w:p>
    <w:p w14:paraId="2ECC7E71" w14:textId="77777777" w:rsidR="00AC5CBD" w:rsidRPr="006307B6" w:rsidRDefault="00AC5CBD" w:rsidP="006307B6">
      <w:pPr>
        <w:spacing w:after="0" w:line="360" w:lineRule="auto"/>
        <w:ind w:firstLine="0"/>
        <w:rPr>
          <w:rFonts w:ascii="Arial" w:hAnsi="Arial" w:cs="Arial"/>
        </w:rPr>
      </w:pPr>
      <w:r w:rsidRPr="006307B6">
        <w:rPr>
          <w:rFonts w:ascii="Arial" w:hAnsi="Arial" w:cs="Arial"/>
        </w:rPr>
        <w:t xml:space="preserve">Professional Development in Ghana." </w:t>
      </w:r>
      <w:r w:rsidRPr="006307B6">
        <w:rPr>
          <w:rFonts w:ascii="Arial" w:hAnsi="Arial" w:cs="Arial"/>
          <w:i/>
          <w:iCs/>
        </w:rPr>
        <w:t>Journal of Educational Research and Practice</w:t>
      </w:r>
      <w:r w:rsidRPr="006307B6">
        <w:rPr>
          <w:rFonts w:ascii="Arial" w:hAnsi="Arial" w:cs="Arial"/>
        </w:rPr>
        <w:t>, vol.</w:t>
      </w:r>
    </w:p>
    <w:p w14:paraId="761B85F8" w14:textId="79EA6069" w:rsidR="00AC5CBD" w:rsidRPr="006307B6" w:rsidRDefault="00AC5CBD" w:rsidP="006307B6">
      <w:pPr>
        <w:spacing w:after="0" w:line="360" w:lineRule="auto"/>
        <w:ind w:firstLine="0"/>
        <w:rPr>
          <w:rFonts w:ascii="Arial" w:hAnsi="Arial" w:cs="Arial"/>
        </w:rPr>
      </w:pPr>
      <w:r w:rsidRPr="006307B6">
        <w:rPr>
          <w:rFonts w:ascii="Arial" w:hAnsi="Arial" w:cs="Arial"/>
        </w:rPr>
        <w:t>11, no. 1, pp. 1-16. Available at:</w:t>
      </w:r>
    </w:p>
    <w:p w14:paraId="18EF81E4" w14:textId="149D44E8" w:rsidR="00AC5CBD" w:rsidRPr="006307B6" w:rsidRDefault="00000000" w:rsidP="006307B6">
      <w:pPr>
        <w:spacing w:after="0" w:line="360" w:lineRule="auto"/>
        <w:ind w:firstLine="0"/>
        <w:rPr>
          <w:rFonts w:ascii="Arial" w:hAnsi="Arial" w:cs="Arial"/>
        </w:rPr>
      </w:pPr>
      <w:hyperlink r:id="rId6" w:history="1">
        <w:r w:rsidR="00AC5CBD" w:rsidRPr="006307B6">
          <w:rPr>
            <w:rStyle w:val="Hyperlink"/>
            <w:rFonts w:ascii="Arial" w:hAnsi="Arial" w:cs="Arial"/>
          </w:rPr>
          <w:t>https://scholarworks.waldenu.edu/cgi/viewcontent.cgi?article=1547&amp;context=jerap</w:t>
        </w:r>
      </w:hyperlink>
      <w:r w:rsidR="00AC5CBD" w:rsidRPr="006307B6">
        <w:rPr>
          <w:rFonts w:ascii="Arial" w:hAnsi="Arial" w:cs="Arial"/>
        </w:rPr>
        <w:t>. (Accessed: 11</w:t>
      </w:r>
      <w:r w:rsidR="00AC5CBD" w:rsidRPr="006307B6">
        <w:rPr>
          <w:rFonts w:ascii="Arial" w:hAnsi="Arial" w:cs="Arial"/>
          <w:vertAlign w:val="superscript"/>
        </w:rPr>
        <w:t>th</w:t>
      </w:r>
      <w:r w:rsidR="00AC5CBD" w:rsidRPr="006307B6">
        <w:rPr>
          <w:rFonts w:ascii="Arial" w:hAnsi="Arial" w:cs="Arial"/>
        </w:rPr>
        <w:t xml:space="preserve"> June 2023).</w:t>
      </w:r>
    </w:p>
    <w:p w14:paraId="3756D8FA" w14:textId="77777777" w:rsidR="00AC5CBD" w:rsidRPr="006307B6" w:rsidRDefault="00AC5CBD" w:rsidP="006307B6">
      <w:pPr>
        <w:spacing w:after="0" w:line="360" w:lineRule="auto"/>
        <w:ind w:firstLine="0"/>
        <w:rPr>
          <w:rFonts w:ascii="Arial" w:hAnsi="Arial" w:cs="Arial"/>
        </w:rPr>
      </w:pPr>
    </w:p>
    <w:p w14:paraId="7B405DB2" w14:textId="28371E87" w:rsidR="00FC54EB" w:rsidRPr="006307B6" w:rsidRDefault="00AC5CBD" w:rsidP="006307B6">
      <w:pPr>
        <w:spacing w:after="0" w:line="360" w:lineRule="auto"/>
        <w:ind w:firstLine="0"/>
        <w:rPr>
          <w:rFonts w:ascii="Arial" w:hAnsi="Arial" w:cs="Arial"/>
        </w:rPr>
      </w:pPr>
      <w:proofErr w:type="spellStart"/>
      <w:r w:rsidRPr="006307B6">
        <w:rPr>
          <w:rFonts w:ascii="Arial" w:hAnsi="Arial" w:cs="Arial"/>
        </w:rPr>
        <w:t>Bipath</w:t>
      </w:r>
      <w:proofErr w:type="spellEnd"/>
      <w:r w:rsidRPr="006307B6">
        <w:rPr>
          <w:rFonts w:ascii="Arial" w:hAnsi="Arial" w:cs="Arial"/>
        </w:rPr>
        <w:t xml:space="preserve">, K., et al. (2021) "Leadership in Implementing Inclusive Education Policy in Early Childhood Education and Care Playrooms in South Africa." </w:t>
      </w:r>
      <w:r w:rsidRPr="006307B6">
        <w:rPr>
          <w:rFonts w:ascii="Arial" w:hAnsi="Arial" w:cs="Arial"/>
          <w:i/>
          <w:iCs/>
        </w:rPr>
        <w:t>Education Sciences</w:t>
      </w:r>
      <w:r w:rsidRPr="006307B6">
        <w:rPr>
          <w:rFonts w:ascii="Arial" w:hAnsi="Arial" w:cs="Arial"/>
        </w:rPr>
        <w:t xml:space="preserve">, vol. 11, no. 12, pp. 1-18, available at: </w:t>
      </w:r>
      <w:hyperlink r:id="rId7" w:history="1">
        <w:r w:rsidRPr="006307B6">
          <w:rPr>
            <w:rStyle w:val="Hyperlink"/>
            <w:rFonts w:ascii="Arial" w:hAnsi="Arial" w:cs="Arial"/>
          </w:rPr>
          <w:t>https://www.mdpi.com/2227-7102/11/12/815/pdf?version=1639702827</w:t>
        </w:r>
      </w:hyperlink>
      <w:r w:rsidRPr="006307B6">
        <w:rPr>
          <w:rFonts w:ascii="Arial" w:hAnsi="Arial" w:cs="Arial"/>
        </w:rPr>
        <w:t>. (Accessed: 11</w:t>
      </w:r>
      <w:r w:rsidRPr="006307B6">
        <w:rPr>
          <w:rFonts w:ascii="Arial" w:hAnsi="Arial" w:cs="Arial"/>
          <w:vertAlign w:val="superscript"/>
        </w:rPr>
        <w:t>th</w:t>
      </w:r>
      <w:r w:rsidRPr="006307B6">
        <w:rPr>
          <w:rFonts w:ascii="Arial" w:hAnsi="Arial" w:cs="Arial"/>
        </w:rPr>
        <w:t xml:space="preserve"> June 2023).</w:t>
      </w:r>
    </w:p>
    <w:p w14:paraId="08A89C98" w14:textId="7A1C6336" w:rsidR="00493EA0" w:rsidRPr="006307B6" w:rsidRDefault="005429BA" w:rsidP="006307B6">
      <w:pPr>
        <w:spacing w:line="360" w:lineRule="auto"/>
        <w:ind w:firstLine="0"/>
        <w:jc w:val="both"/>
        <w:rPr>
          <w:rFonts w:ascii="Arial" w:hAnsi="Arial" w:cs="Arial"/>
        </w:rPr>
      </w:pPr>
      <w:r w:rsidRPr="006307B6">
        <w:rPr>
          <w:rFonts w:ascii="Arial" w:hAnsi="Arial" w:cs="Arial"/>
        </w:rPr>
        <w:t>Cottle, M. and Alexander, E. (2014)</w:t>
      </w:r>
      <w:r w:rsidRPr="006307B6">
        <w:rPr>
          <w:rFonts w:ascii="Arial" w:hAnsi="Arial" w:cs="Arial"/>
          <w:color w:val="000000" w:themeColor="text1"/>
        </w:rPr>
        <w:t xml:space="preserve"> ‘Parent partnership and ‘quality’ early years services: practitioners' perspectives’, </w:t>
      </w:r>
      <w:r w:rsidRPr="006307B6">
        <w:rPr>
          <w:rFonts w:ascii="Arial" w:hAnsi="Arial" w:cs="Arial"/>
          <w:i/>
          <w:iCs/>
          <w:color w:val="000000" w:themeColor="text1"/>
        </w:rPr>
        <w:t xml:space="preserve">European Early Childhood Education Research Journal, </w:t>
      </w:r>
      <w:r w:rsidRPr="006307B6">
        <w:rPr>
          <w:rFonts w:ascii="Arial" w:hAnsi="Arial" w:cs="Arial"/>
          <w:color w:val="000000" w:themeColor="text1"/>
        </w:rPr>
        <w:t>22(5), pp. 637-659. DOI:</w:t>
      </w:r>
      <w:r w:rsidRPr="006307B6">
        <w:rPr>
          <w:rFonts w:ascii="Arial" w:hAnsi="Arial" w:cs="Arial"/>
        </w:rPr>
        <w:t xml:space="preserve"> </w:t>
      </w:r>
      <w:hyperlink r:id="rId8" w:history="1">
        <w:r w:rsidRPr="006307B6">
          <w:rPr>
            <w:rFonts w:ascii="Arial" w:hAnsi="Arial" w:cs="Arial"/>
            <w:color w:val="0000FF" w:themeColor="hyperlink"/>
            <w:u w:val="single"/>
          </w:rPr>
          <w:t>https://doi.org/10.1080/1350293X.2013.788314</w:t>
        </w:r>
      </w:hyperlink>
      <w:r w:rsidRPr="006307B6">
        <w:rPr>
          <w:rFonts w:ascii="Arial" w:hAnsi="Arial" w:cs="Arial"/>
          <w:color w:val="000000" w:themeColor="text1"/>
        </w:rPr>
        <w:t xml:space="preserve">  </w:t>
      </w:r>
      <w:r w:rsidRPr="006307B6">
        <w:rPr>
          <w:rFonts w:ascii="Arial" w:hAnsi="Arial" w:cs="Arial"/>
        </w:rPr>
        <w:t xml:space="preserve">(Accessed: 18 June 2023). </w:t>
      </w:r>
      <w:r w:rsidR="00844F49" w:rsidRPr="006307B6">
        <w:rPr>
          <w:rFonts w:ascii="Arial" w:hAnsi="Arial" w:cs="Arial"/>
        </w:rPr>
        <w:br/>
      </w:r>
      <w:r w:rsidR="00B255B0" w:rsidRPr="006307B6">
        <w:rPr>
          <w:rFonts w:ascii="Arial" w:hAnsi="Arial" w:cs="Arial"/>
          <w:color w:val="000000"/>
        </w:rPr>
        <w:t xml:space="preserve">Department for Education. (2017). </w:t>
      </w:r>
      <w:r w:rsidR="00B255B0" w:rsidRPr="006307B6">
        <w:rPr>
          <w:rFonts w:ascii="Arial" w:hAnsi="Arial" w:cs="Arial"/>
          <w:i/>
          <w:iCs/>
          <w:color w:val="000000"/>
        </w:rPr>
        <w:t>Early years foundation stage: Statutory framework</w:t>
      </w:r>
      <w:r w:rsidR="00B255B0" w:rsidRPr="006307B6">
        <w:rPr>
          <w:rFonts w:ascii="Arial" w:hAnsi="Arial" w:cs="Arial"/>
          <w:color w:val="000000"/>
        </w:rPr>
        <w:t xml:space="preserve">. </w:t>
      </w:r>
      <w:r w:rsidR="00B255B0" w:rsidRPr="006307B6">
        <w:rPr>
          <w:rFonts w:ascii="Arial" w:hAnsi="Arial" w:cs="Arial"/>
          <w:color w:val="000000"/>
        </w:rPr>
        <w:lastRenderedPageBreak/>
        <w:t>Available at:</w:t>
      </w:r>
      <w:r w:rsidR="00B255B0" w:rsidRPr="006307B6">
        <w:rPr>
          <w:rStyle w:val="apple-converted-space"/>
          <w:rFonts w:ascii="Arial" w:hAnsi="Arial" w:cs="Arial"/>
          <w:color w:val="000000"/>
        </w:rPr>
        <w:t> </w:t>
      </w:r>
      <w:hyperlink r:id="rId9" w:history="1">
        <w:r w:rsidR="00B255B0" w:rsidRPr="006307B6">
          <w:rPr>
            <w:rStyle w:val="Hyperlink"/>
            <w:rFonts w:ascii="Arial" w:hAnsi="Arial" w:cs="Arial"/>
          </w:rPr>
          <w:t>https://www.gov.uk/government/publications/early-years-foundation-stage-framework--2</w:t>
        </w:r>
      </w:hyperlink>
      <w:r w:rsidR="00B255B0" w:rsidRPr="006307B6">
        <w:rPr>
          <w:rFonts w:ascii="Arial" w:hAnsi="Arial" w:cs="Arial"/>
        </w:rPr>
        <w:t xml:space="preserve"> (Accessed: 20</w:t>
      </w:r>
      <w:r w:rsidR="00B255B0" w:rsidRPr="006307B6">
        <w:rPr>
          <w:rFonts w:ascii="Arial" w:hAnsi="Arial" w:cs="Arial"/>
          <w:vertAlign w:val="superscript"/>
        </w:rPr>
        <w:t>th</w:t>
      </w:r>
      <w:r w:rsidR="00B255B0" w:rsidRPr="006307B6">
        <w:rPr>
          <w:rFonts w:ascii="Arial" w:hAnsi="Arial" w:cs="Arial"/>
        </w:rPr>
        <w:t xml:space="preserve"> June 2023).</w:t>
      </w:r>
      <w:r w:rsidR="00B255B0" w:rsidRPr="006307B6">
        <w:rPr>
          <w:rFonts w:ascii="Arial" w:hAnsi="Arial" w:cs="Arial"/>
          <w:color w:val="000000"/>
        </w:rPr>
        <w:br/>
        <w:t xml:space="preserve">- Early Childhood Australia. (2018). </w:t>
      </w:r>
      <w:r w:rsidR="00B255B0" w:rsidRPr="006307B6">
        <w:rPr>
          <w:rFonts w:ascii="Arial" w:hAnsi="Arial" w:cs="Arial"/>
          <w:i/>
          <w:iCs/>
          <w:color w:val="000000"/>
        </w:rPr>
        <w:t>Inclusion in early childhood education</w:t>
      </w:r>
      <w:r w:rsidR="00B255B0" w:rsidRPr="006307B6">
        <w:rPr>
          <w:rFonts w:ascii="Arial" w:hAnsi="Arial" w:cs="Arial"/>
          <w:color w:val="000000"/>
        </w:rPr>
        <w:t>. Available at:</w:t>
      </w:r>
      <w:r w:rsidR="00B255B0" w:rsidRPr="006307B6">
        <w:rPr>
          <w:rStyle w:val="apple-converted-space"/>
          <w:rFonts w:ascii="Arial" w:hAnsi="Arial" w:cs="Arial"/>
          <w:color w:val="000000"/>
        </w:rPr>
        <w:t> </w:t>
      </w:r>
      <w:hyperlink r:id="rId10" w:history="1">
        <w:r w:rsidR="00B255B0" w:rsidRPr="006307B6">
          <w:rPr>
            <w:rStyle w:val="Hyperlink"/>
            <w:rFonts w:ascii="Arial" w:hAnsi="Arial" w:cs="Arial"/>
          </w:rPr>
          <w:t>https://www.earlychildhoodaustralia.org.au/our-publications/every-child-magazine/every-child-index/every-child-vol-24-4-2018/inclusion-in-early-childhood-education/</w:t>
        </w:r>
      </w:hyperlink>
      <w:r w:rsidR="00B255B0" w:rsidRPr="006307B6">
        <w:rPr>
          <w:rFonts w:ascii="Arial" w:hAnsi="Arial" w:cs="Arial"/>
        </w:rPr>
        <w:t xml:space="preserve"> (Accessed: 20</w:t>
      </w:r>
      <w:r w:rsidR="00B255B0" w:rsidRPr="006307B6">
        <w:rPr>
          <w:rFonts w:ascii="Arial" w:hAnsi="Arial" w:cs="Arial"/>
          <w:vertAlign w:val="superscript"/>
        </w:rPr>
        <w:t>th</w:t>
      </w:r>
      <w:r w:rsidR="00B255B0" w:rsidRPr="006307B6">
        <w:rPr>
          <w:rFonts w:ascii="Arial" w:hAnsi="Arial" w:cs="Arial"/>
        </w:rPr>
        <w:t xml:space="preserve"> June 2023).</w:t>
      </w:r>
    </w:p>
    <w:p w14:paraId="478C1F80" w14:textId="77777777" w:rsidR="00493EA0" w:rsidRPr="006307B6" w:rsidRDefault="00493EA0" w:rsidP="006307B6">
      <w:pPr>
        <w:spacing w:line="360" w:lineRule="auto"/>
        <w:ind w:firstLine="0"/>
        <w:jc w:val="both"/>
        <w:rPr>
          <w:rFonts w:ascii="Arial" w:hAnsi="Arial" w:cs="Arial"/>
        </w:rPr>
      </w:pPr>
      <w:r w:rsidRPr="006307B6">
        <w:rPr>
          <w:rFonts w:ascii="Arial" w:hAnsi="Arial" w:cs="Arial"/>
        </w:rPr>
        <w:t xml:space="preserve">Epstein, J. (2018) </w:t>
      </w:r>
      <w:r w:rsidRPr="006307B6">
        <w:rPr>
          <w:rFonts w:ascii="Arial" w:hAnsi="Arial" w:cs="Arial"/>
          <w:i/>
          <w:iCs/>
        </w:rPr>
        <w:t>School, Family, and Community Partnerships: Preparing Educators and Improving Schools</w:t>
      </w:r>
      <w:r w:rsidRPr="006307B6">
        <w:rPr>
          <w:rFonts w:ascii="Arial" w:hAnsi="Arial" w:cs="Arial"/>
        </w:rPr>
        <w:t>. 2</w:t>
      </w:r>
      <w:r w:rsidRPr="006307B6">
        <w:rPr>
          <w:rFonts w:ascii="Arial" w:hAnsi="Arial" w:cs="Arial"/>
          <w:vertAlign w:val="superscript"/>
        </w:rPr>
        <w:t>nd</w:t>
      </w:r>
      <w:r w:rsidRPr="006307B6">
        <w:rPr>
          <w:rFonts w:ascii="Arial" w:hAnsi="Arial" w:cs="Arial"/>
        </w:rPr>
        <w:t xml:space="preserve"> ed. London: Routledge. </w:t>
      </w:r>
    </w:p>
    <w:p w14:paraId="5EDF4147" w14:textId="47A8B12B" w:rsidR="007811F0" w:rsidRPr="006307B6" w:rsidRDefault="007811F0" w:rsidP="006307B6">
      <w:pPr>
        <w:spacing w:line="360" w:lineRule="auto"/>
        <w:ind w:firstLine="0"/>
        <w:jc w:val="both"/>
        <w:rPr>
          <w:rFonts w:ascii="Arial" w:hAnsi="Arial" w:cs="Arial"/>
        </w:rPr>
      </w:pPr>
      <w:r w:rsidRPr="006307B6">
        <w:rPr>
          <w:rFonts w:ascii="Arial" w:hAnsi="Arial" w:cs="Arial"/>
        </w:rPr>
        <w:t xml:space="preserve">Ferdman, B.M. (2014) </w:t>
      </w:r>
      <w:r w:rsidRPr="006307B6">
        <w:rPr>
          <w:rFonts w:ascii="Arial" w:hAnsi="Arial" w:cs="Arial"/>
          <w:i/>
          <w:iCs/>
        </w:rPr>
        <w:t xml:space="preserve">Diversity at work: The practice of inclusion. </w:t>
      </w:r>
      <w:r w:rsidRPr="006307B6">
        <w:rPr>
          <w:rFonts w:ascii="Arial" w:hAnsi="Arial" w:cs="Arial"/>
        </w:rPr>
        <w:t xml:space="preserve">Available at: </w:t>
      </w:r>
      <w:r w:rsidRPr="006307B6">
        <w:rPr>
          <w:rFonts w:ascii="Arial" w:hAnsi="Arial" w:cs="Arial"/>
          <w:i/>
          <w:iCs/>
        </w:rPr>
        <w:t xml:space="preserve"> </w:t>
      </w:r>
      <w:hyperlink r:id="rId11" w:history="1">
        <w:r w:rsidRPr="006307B6">
          <w:rPr>
            <w:rFonts w:ascii="Arial" w:hAnsi="Arial" w:cs="Arial"/>
            <w:i/>
            <w:iCs/>
            <w:color w:val="0000FF" w:themeColor="hyperlink"/>
            <w:u w:val="single"/>
          </w:rPr>
          <w:t>https://onlinelibrary-wiley-com.ezproxy.uwtsd.ac.uk/doi/book/10.1002/9781118764282</w:t>
        </w:r>
      </w:hyperlink>
      <w:r w:rsidRPr="006307B6">
        <w:rPr>
          <w:rFonts w:ascii="Arial" w:hAnsi="Arial" w:cs="Arial"/>
          <w:i/>
          <w:iCs/>
        </w:rPr>
        <w:t xml:space="preserve"> (</w:t>
      </w:r>
      <w:r w:rsidRPr="006307B6">
        <w:rPr>
          <w:rFonts w:ascii="Arial" w:hAnsi="Arial" w:cs="Arial"/>
        </w:rPr>
        <w:t xml:space="preserve">Accessed: 18 June 2023). </w:t>
      </w:r>
    </w:p>
    <w:p w14:paraId="72B9B7F3" w14:textId="77D4840C" w:rsidR="00AE33C1" w:rsidRPr="006307B6" w:rsidRDefault="007811F0" w:rsidP="006307B6">
      <w:pPr>
        <w:spacing w:line="360" w:lineRule="auto"/>
        <w:ind w:firstLine="0"/>
        <w:jc w:val="both"/>
        <w:rPr>
          <w:rFonts w:ascii="Arial" w:hAnsi="Arial" w:cs="Arial"/>
        </w:rPr>
      </w:pPr>
      <w:r w:rsidRPr="006307B6">
        <w:rPr>
          <w:rFonts w:ascii="Arial" w:hAnsi="Arial" w:cs="Arial"/>
        </w:rPr>
        <w:t xml:space="preserve">Ferdman, B.M., Prime, J. and Riggio, R.E. (2021) </w:t>
      </w:r>
      <w:r w:rsidRPr="006307B6">
        <w:rPr>
          <w:rFonts w:ascii="Arial" w:hAnsi="Arial" w:cs="Arial"/>
          <w:i/>
          <w:iCs/>
        </w:rPr>
        <w:t xml:space="preserve">Inclusive Leadership: Transforming diverse lives, </w:t>
      </w:r>
      <w:proofErr w:type="gramStart"/>
      <w:r w:rsidRPr="006307B6">
        <w:rPr>
          <w:rFonts w:ascii="Arial" w:hAnsi="Arial" w:cs="Arial"/>
          <w:i/>
          <w:iCs/>
        </w:rPr>
        <w:t>workplaces</w:t>
      </w:r>
      <w:proofErr w:type="gramEnd"/>
      <w:r w:rsidRPr="006307B6">
        <w:rPr>
          <w:rFonts w:ascii="Arial" w:hAnsi="Arial" w:cs="Arial"/>
          <w:i/>
          <w:iCs/>
        </w:rPr>
        <w:t xml:space="preserve"> and societies. </w:t>
      </w:r>
      <w:r w:rsidRPr="006307B6">
        <w:rPr>
          <w:rFonts w:ascii="Arial" w:hAnsi="Arial" w:cs="Arial"/>
        </w:rPr>
        <w:t xml:space="preserve">London: Routledge. </w:t>
      </w:r>
    </w:p>
    <w:p w14:paraId="395E8A6D" w14:textId="5BFED99F" w:rsidR="007811F0" w:rsidRPr="006307B6" w:rsidRDefault="00AE33C1" w:rsidP="006307B6">
      <w:pPr>
        <w:spacing w:line="360" w:lineRule="auto"/>
        <w:ind w:firstLine="0"/>
        <w:jc w:val="both"/>
        <w:rPr>
          <w:rFonts w:ascii="Arial" w:hAnsi="Arial" w:cs="Arial"/>
        </w:rPr>
      </w:pPr>
      <w:r w:rsidRPr="006307B6">
        <w:rPr>
          <w:rFonts w:ascii="Arial" w:hAnsi="Arial" w:cs="Arial"/>
          <w:i/>
          <w:iCs/>
        </w:rPr>
        <w:t>Ferguson, H</w:t>
      </w:r>
      <w:r w:rsidR="007811F0" w:rsidRPr="006307B6">
        <w:rPr>
          <w:rFonts w:ascii="Arial" w:hAnsi="Arial" w:cs="Arial"/>
          <w:i/>
          <w:iCs/>
        </w:rPr>
        <w:t>.</w:t>
      </w:r>
      <w:r w:rsidRPr="006307B6">
        <w:rPr>
          <w:rFonts w:ascii="Arial" w:hAnsi="Arial" w:cs="Arial"/>
          <w:i/>
          <w:iCs/>
        </w:rPr>
        <w:t>, Disney, T.,</w:t>
      </w:r>
      <w:r w:rsidR="007811F0" w:rsidRPr="006307B6">
        <w:rPr>
          <w:rFonts w:ascii="Arial" w:hAnsi="Arial" w:cs="Arial"/>
        </w:rPr>
        <w:t xml:space="preserve"> </w:t>
      </w:r>
      <w:r w:rsidRPr="006307B6">
        <w:rPr>
          <w:rFonts w:ascii="Arial" w:hAnsi="Arial" w:cs="Arial"/>
        </w:rPr>
        <w:t xml:space="preserve">Warwick, L., Leigh, J., </w:t>
      </w:r>
      <w:proofErr w:type="spellStart"/>
      <w:r w:rsidRPr="006307B6">
        <w:rPr>
          <w:rFonts w:ascii="Arial" w:hAnsi="Arial" w:cs="Arial"/>
        </w:rPr>
        <w:t>Cooner</w:t>
      </w:r>
      <w:proofErr w:type="spellEnd"/>
      <w:r w:rsidRPr="006307B6">
        <w:rPr>
          <w:rFonts w:ascii="Arial" w:hAnsi="Arial" w:cs="Arial"/>
        </w:rPr>
        <w:t xml:space="preserve">, T., </w:t>
      </w:r>
      <w:proofErr w:type="spellStart"/>
      <w:r w:rsidRPr="006307B6">
        <w:rPr>
          <w:rFonts w:ascii="Arial" w:hAnsi="Arial" w:cs="Arial"/>
        </w:rPr>
        <w:t>Beddoe</w:t>
      </w:r>
      <w:proofErr w:type="spellEnd"/>
      <w:r w:rsidRPr="006307B6">
        <w:rPr>
          <w:rFonts w:ascii="Arial" w:hAnsi="Arial" w:cs="Arial"/>
        </w:rPr>
        <w:t xml:space="preserve">, L. </w:t>
      </w:r>
      <w:r w:rsidR="007811F0" w:rsidRPr="006307B6">
        <w:rPr>
          <w:rFonts w:ascii="Arial" w:hAnsi="Arial" w:cs="Arial"/>
        </w:rPr>
        <w:t xml:space="preserve">(2021) ‘Hostile relationships in social work practice: anxiety, hate and conflict in long-term work with involuntary service users’, </w:t>
      </w:r>
      <w:r w:rsidR="007811F0" w:rsidRPr="006307B6">
        <w:rPr>
          <w:rFonts w:ascii="Arial" w:hAnsi="Arial" w:cs="Arial"/>
          <w:i/>
          <w:iCs/>
        </w:rPr>
        <w:t>Journal of Social Work Practice</w:t>
      </w:r>
      <w:r w:rsidR="007811F0" w:rsidRPr="006307B6">
        <w:rPr>
          <w:rFonts w:ascii="Arial" w:hAnsi="Arial" w:cs="Arial"/>
        </w:rPr>
        <w:t xml:space="preserve">, 35:1, 19-37. DOI: </w:t>
      </w:r>
      <w:hyperlink r:id="rId12" w:history="1">
        <w:r w:rsidR="007811F0" w:rsidRPr="006307B6">
          <w:rPr>
            <w:rFonts w:ascii="Arial" w:hAnsi="Arial" w:cs="Arial"/>
            <w:color w:val="0000FF" w:themeColor="hyperlink"/>
            <w:u w:val="single"/>
          </w:rPr>
          <w:t>https://doi.org/10.1080/02650533.2020.1834371</w:t>
        </w:r>
      </w:hyperlink>
      <w:r w:rsidR="007811F0" w:rsidRPr="006307B6">
        <w:rPr>
          <w:rFonts w:ascii="Arial" w:hAnsi="Arial" w:cs="Arial"/>
        </w:rPr>
        <w:t xml:space="preserve"> (Accessed: 18 November 2022).</w:t>
      </w:r>
    </w:p>
    <w:p w14:paraId="0DE1D906" w14:textId="77777777" w:rsidR="00A34F69" w:rsidRPr="006307B6" w:rsidRDefault="00A34F69" w:rsidP="006307B6">
      <w:pPr>
        <w:spacing w:line="360" w:lineRule="auto"/>
        <w:ind w:firstLine="0"/>
        <w:jc w:val="both"/>
        <w:rPr>
          <w:rFonts w:ascii="Arial" w:hAnsi="Arial" w:cs="Arial"/>
          <w:color w:val="222222"/>
          <w:shd w:val="clear" w:color="auto" w:fill="FFFFFF"/>
        </w:rPr>
      </w:pPr>
      <w:proofErr w:type="spellStart"/>
      <w:r w:rsidRPr="006307B6">
        <w:rPr>
          <w:rFonts w:ascii="Arial" w:hAnsi="Arial" w:cs="Arial"/>
          <w:color w:val="222222"/>
          <w:shd w:val="clear" w:color="auto" w:fill="FFFFFF"/>
        </w:rPr>
        <w:t>Hafford-Letchfield</w:t>
      </w:r>
      <w:proofErr w:type="spellEnd"/>
      <w:r w:rsidRPr="006307B6">
        <w:rPr>
          <w:rFonts w:ascii="Arial" w:hAnsi="Arial" w:cs="Arial"/>
          <w:color w:val="222222"/>
          <w:shd w:val="clear" w:color="auto" w:fill="FFFFFF"/>
        </w:rPr>
        <w:t xml:space="preserve">, T., Lambley, S., </w:t>
      </w:r>
      <w:proofErr w:type="spellStart"/>
      <w:r w:rsidRPr="006307B6">
        <w:rPr>
          <w:rFonts w:ascii="Arial" w:hAnsi="Arial" w:cs="Arial"/>
          <w:color w:val="222222"/>
          <w:shd w:val="clear" w:color="auto" w:fill="FFFFFF"/>
        </w:rPr>
        <w:t>Spolander</w:t>
      </w:r>
      <w:proofErr w:type="spellEnd"/>
      <w:r w:rsidRPr="006307B6">
        <w:rPr>
          <w:rFonts w:ascii="Arial" w:hAnsi="Arial" w:cs="Arial"/>
          <w:color w:val="222222"/>
          <w:shd w:val="clear" w:color="auto" w:fill="FFFFFF"/>
        </w:rPr>
        <w:t>, G., &amp; Cocker, C. (2014). </w:t>
      </w:r>
      <w:r w:rsidRPr="006307B6">
        <w:rPr>
          <w:rFonts w:ascii="Arial" w:hAnsi="Arial" w:cs="Arial"/>
          <w:i/>
          <w:iCs/>
          <w:color w:val="222222"/>
          <w:shd w:val="clear" w:color="auto" w:fill="FFFFFF"/>
        </w:rPr>
        <w:t>Inclusive leadership in social work and social care</w:t>
      </w:r>
      <w:r w:rsidRPr="006307B6">
        <w:rPr>
          <w:rFonts w:ascii="Arial" w:hAnsi="Arial" w:cs="Arial"/>
          <w:color w:val="222222"/>
          <w:shd w:val="clear" w:color="auto" w:fill="FFFFFF"/>
        </w:rPr>
        <w:t>. Bristol: Policy Press.</w:t>
      </w:r>
    </w:p>
    <w:p w14:paraId="2ACE292F" w14:textId="77777777" w:rsidR="00FC54EB" w:rsidRPr="006307B6" w:rsidRDefault="00FC54EB" w:rsidP="006307B6">
      <w:pPr>
        <w:spacing w:after="0" w:line="360" w:lineRule="auto"/>
        <w:ind w:firstLine="0"/>
        <w:rPr>
          <w:rFonts w:ascii="Arial" w:hAnsi="Arial" w:cs="Arial"/>
        </w:rPr>
      </w:pPr>
      <w:r w:rsidRPr="006307B6">
        <w:rPr>
          <w:rFonts w:ascii="Arial" w:hAnsi="Arial" w:cs="Arial"/>
        </w:rPr>
        <w:t xml:space="preserve">Kent, J., </w:t>
      </w:r>
      <w:proofErr w:type="spellStart"/>
      <w:r w:rsidRPr="006307B6">
        <w:rPr>
          <w:rFonts w:ascii="Arial" w:hAnsi="Arial" w:cs="Arial"/>
        </w:rPr>
        <w:t>andMcDonald</w:t>
      </w:r>
      <w:proofErr w:type="spellEnd"/>
      <w:r w:rsidRPr="006307B6">
        <w:rPr>
          <w:rFonts w:ascii="Arial" w:hAnsi="Arial" w:cs="Arial"/>
        </w:rPr>
        <w:t xml:space="preserve">, S. (2020) "What are the experiences of speech and language </w:t>
      </w:r>
      <w:proofErr w:type="gramStart"/>
      <w:r w:rsidRPr="006307B6">
        <w:rPr>
          <w:rFonts w:ascii="Arial" w:hAnsi="Arial" w:cs="Arial"/>
        </w:rPr>
        <w:t>therapists</w:t>
      </w:r>
      <w:proofErr w:type="gramEnd"/>
    </w:p>
    <w:p w14:paraId="420EC4F8" w14:textId="77777777" w:rsidR="00FC54EB" w:rsidRPr="006307B6" w:rsidRDefault="00FC54EB" w:rsidP="006307B6">
      <w:pPr>
        <w:spacing w:after="0" w:line="360" w:lineRule="auto"/>
        <w:ind w:firstLine="0"/>
        <w:rPr>
          <w:rFonts w:ascii="Arial" w:hAnsi="Arial" w:cs="Arial"/>
        </w:rPr>
      </w:pPr>
      <w:r w:rsidRPr="006307B6">
        <w:rPr>
          <w:rFonts w:ascii="Arial" w:hAnsi="Arial" w:cs="Arial"/>
        </w:rPr>
        <w:t xml:space="preserve">implementing a staff development approach in early years settings to enhance </w:t>
      </w:r>
      <w:proofErr w:type="gramStart"/>
      <w:r w:rsidRPr="006307B6">
        <w:rPr>
          <w:rFonts w:ascii="Arial" w:hAnsi="Arial" w:cs="Arial"/>
        </w:rPr>
        <w:t>good</w:t>
      </w:r>
      <w:proofErr w:type="gramEnd"/>
    </w:p>
    <w:p w14:paraId="4BA73037" w14:textId="77777777" w:rsidR="00FC54EB" w:rsidRPr="006307B6" w:rsidRDefault="00FC54EB" w:rsidP="006307B6">
      <w:pPr>
        <w:spacing w:after="0" w:line="360" w:lineRule="auto"/>
        <w:ind w:firstLine="0"/>
        <w:rPr>
          <w:rFonts w:ascii="Arial" w:hAnsi="Arial" w:cs="Arial"/>
        </w:rPr>
      </w:pPr>
      <w:r w:rsidRPr="006307B6">
        <w:rPr>
          <w:rFonts w:ascii="Arial" w:hAnsi="Arial" w:cs="Arial"/>
        </w:rPr>
        <w:t xml:space="preserve">communication practices?" </w:t>
      </w:r>
      <w:r w:rsidRPr="006307B6">
        <w:rPr>
          <w:rFonts w:ascii="Arial" w:hAnsi="Arial" w:cs="Arial"/>
          <w:i/>
          <w:iCs/>
        </w:rPr>
        <w:t>Child Language Teaching and Therapy</w:t>
      </w:r>
      <w:r w:rsidRPr="006307B6">
        <w:rPr>
          <w:rFonts w:ascii="Arial" w:hAnsi="Arial" w:cs="Arial"/>
        </w:rPr>
        <w:t>, vol. 36, no. 1,</w:t>
      </w:r>
    </w:p>
    <w:p w14:paraId="007E7C7E" w14:textId="38674FCA" w:rsidR="00FC54EB" w:rsidRPr="006307B6" w:rsidRDefault="00FC54EB" w:rsidP="006307B6">
      <w:pPr>
        <w:spacing w:after="0" w:line="360" w:lineRule="auto"/>
        <w:ind w:firstLine="0"/>
        <w:rPr>
          <w:rFonts w:ascii="Arial" w:hAnsi="Arial" w:cs="Arial"/>
        </w:rPr>
      </w:pPr>
      <w:r w:rsidRPr="006307B6">
        <w:rPr>
          <w:rFonts w:ascii="Arial" w:hAnsi="Arial" w:cs="Arial"/>
        </w:rPr>
        <w:t xml:space="preserve">pp. 3-18. Available at: </w:t>
      </w:r>
      <w:hyperlink r:id="rId13" w:history="1">
        <w:r w:rsidRPr="006307B6">
          <w:rPr>
            <w:rStyle w:val="Hyperlink"/>
            <w:rFonts w:ascii="Arial" w:hAnsi="Arial" w:cs="Arial"/>
          </w:rPr>
          <w:t>https://journals.sagepub.com/doi/pdf/10.1177/0265659020974426</w:t>
        </w:r>
      </w:hyperlink>
      <w:r w:rsidRPr="006307B6">
        <w:rPr>
          <w:rFonts w:ascii="Arial" w:hAnsi="Arial" w:cs="Arial"/>
        </w:rPr>
        <w:t>. (Accessed: 11</w:t>
      </w:r>
      <w:r w:rsidRPr="006307B6">
        <w:rPr>
          <w:rFonts w:ascii="Arial" w:hAnsi="Arial" w:cs="Arial"/>
          <w:vertAlign w:val="superscript"/>
        </w:rPr>
        <w:t>th</w:t>
      </w:r>
      <w:r w:rsidRPr="006307B6">
        <w:rPr>
          <w:rFonts w:ascii="Arial" w:hAnsi="Arial" w:cs="Arial"/>
        </w:rPr>
        <w:t xml:space="preserve"> June 2023).</w:t>
      </w:r>
    </w:p>
    <w:p w14:paraId="35BDE28E" w14:textId="77777777" w:rsidR="00FC54EB" w:rsidRPr="006307B6" w:rsidRDefault="00FC54EB" w:rsidP="006307B6">
      <w:pPr>
        <w:spacing w:after="0" w:line="360" w:lineRule="auto"/>
        <w:ind w:firstLine="0"/>
        <w:rPr>
          <w:rFonts w:ascii="Arial" w:hAnsi="Arial" w:cs="Arial"/>
        </w:rPr>
      </w:pPr>
      <w:proofErr w:type="spellStart"/>
      <w:r w:rsidRPr="006307B6">
        <w:rPr>
          <w:rFonts w:ascii="Arial" w:hAnsi="Arial" w:cs="Arial"/>
        </w:rPr>
        <w:t>Marton</w:t>
      </w:r>
      <w:proofErr w:type="spellEnd"/>
      <w:r w:rsidRPr="006307B6">
        <w:rPr>
          <w:rFonts w:ascii="Arial" w:hAnsi="Arial" w:cs="Arial"/>
        </w:rPr>
        <w:t xml:space="preserve">, Vera, et al. (2022) "Inclusive bilingual early years education by means of the Reggio Emilia Approach." </w:t>
      </w:r>
      <w:r w:rsidRPr="006307B6">
        <w:rPr>
          <w:rFonts w:ascii="Arial" w:hAnsi="Arial" w:cs="Arial"/>
          <w:i/>
          <w:iCs/>
        </w:rPr>
        <w:t>Journal of Early Childhood Education Research</w:t>
      </w:r>
      <w:r w:rsidRPr="006307B6">
        <w:rPr>
          <w:rFonts w:ascii="Arial" w:hAnsi="Arial" w:cs="Arial"/>
        </w:rPr>
        <w:t>, vol. 11, no. 1, pp.</w:t>
      </w:r>
    </w:p>
    <w:p w14:paraId="3BACF97B" w14:textId="7ED971F1" w:rsidR="00E81E75" w:rsidRPr="006307B6" w:rsidRDefault="00FC54EB" w:rsidP="006307B6">
      <w:pPr>
        <w:spacing w:after="0" w:line="360" w:lineRule="auto"/>
        <w:ind w:firstLine="0"/>
        <w:rPr>
          <w:rFonts w:ascii="Arial" w:hAnsi="Arial" w:cs="Arial"/>
        </w:rPr>
      </w:pPr>
      <w:r w:rsidRPr="006307B6">
        <w:rPr>
          <w:rFonts w:ascii="Arial" w:hAnsi="Arial" w:cs="Arial"/>
        </w:rPr>
        <w:lastRenderedPageBreak/>
        <w:t xml:space="preserve">1-16. Available at: </w:t>
      </w:r>
      <w:hyperlink r:id="rId14" w:history="1">
        <w:r w:rsidRPr="006307B6">
          <w:rPr>
            <w:rStyle w:val="Hyperlink"/>
            <w:rFonts w:ascii="Arial" w:hAnsi="Arial" w:cs="Arial"/>
          </w:rPr>
          <w:t>https://ojs.elte.hu/gyermekneveles/article/download/4185/3489</w:t>
        </w:r>
      </w:hyperlink>
      <w:r w:rsidRPr="006307B6">
        <w:rPr>
          <w:rFonts w:ascii="Arial" w:hAnsi="Arial" w:cs="Arial"/>
        </w:rPr>
        <w:t>. (Accessed: 11</w:t>
      </w:r>
      <w:r w:rsidRPr="006307B6">
        <w:rPr>
          <w:rFonts w:ascii="Arial" w:hAnsi="Arial" w:cs="Arial"/>
          <w:vertAlign w:val="superscript"/>
        </w:rPr>
        <w:t>th</w:t>
      </w:r>
      <w:r w:rsidRPr="006307B6">
        <w:rPr>
          <w:rFonts w:ascii="Arial" w:hAnsi="Arial" w:cs="Arial"/>
        </w:rPr>
        <w:t xml:space="preserve"> June 2023).</w:t>
      </w:r>
      <w:r w:rsidR="00B255B0" w:rsidRPr="006307B6">
        <w:rPr>
          <w:rFonts w:ascii="Arial" w:hAnsi="Arial" w:cs="Arial"/>
          <w:color w:val="000000"/>
        </w:rPr>
        <w:br/>
        <w:t>- National Association for the Education of Young Children. (2019). Advancing equity in early childhood education. Available at:</w:t>
      </w:r>
      <w:r w:rsidR="00B255B0" w:rsidRPr="006307B6">
        <w:rPr>
          <w:rStyle w:val="apple-converted-space"/>
          <w:rFonts w:ascii="Arial" w:hAnsi="Arial" w:cs="Arial"/>
          <w:color w:val="000000"/>
        </w:rPr>
        <w:t> </w:t>
      </w:r>
      <w:hyperlink r:id="rId15" w:history="1">
        <w:r w:rsidR="00B255B0" w:rsidRPr="006307B6">
          <w:rPr>
            <w:rStyle w:val="Hyperlink"/>
            <w:rFonts w:ascii="Arial" w:hAnsi="Arial" w:cs="Arial"/>
          </w:rPr>
          <w:t>https://www.naeyc.org/resources/topics/equity</w:t>
        </w:r>
      </w:hyperlink>
      <w:r w:rsidR="00B255B0" w:rsidRPr="006307B6">
        <w:rPr>
          <w:rFonts w:ascii="Arial" w:hAnsi="Arial" w:cs="Arial"/>
        </w:rPr>
        <w:t xml:space="preserve"> (Accessed: 20</w:t>
      </w:r>
      <w:r w:rsidR="00B255B0" w:rsidRPr="006307B6">
        <w:rPr>
          <w:rFonts w:ascii="Arial" w:hAnsi="Arial" w:cs="Arial"/>
          <w:vertAlign w:val="superscript"/>
        </w:rPr>
        <w:t>th</w:t>
      </w:r>
      <w:r w:rsidR="00B255B0" w:rsidRPr="006307B6">
        <w:rPr>
          <w:rFonts w:ascii="Arial" w:hAnsi="Arial" w:cs="Arial"/>
        </w:rPr>
        <w:t xml:space="preserve"> June 2023).</w:t>
      </w:r>
    </w:p>
    <w:p w14:paraId="530A5E89" w14:textId="20B2F575" w:rsidR="00A34F69" w:rsidRPr="006307B6" w:rsidRDefault="00A34F69" w:rsidP="006307B6">
      <w:pPr>
        <w:spacing w:line="360" w:lineRule="auto"/>
        <w:ind w:firstLine="0"/>
        <w:jc w:val="both"/>
        <w:rPr>
          <w:rFonts w:ascii="Arial" w:hAnsi="Arial" w:cs="Arial"/>
        </w:rPr>
      </w:pPr>
      <w:r w:rsidRPr="006307B6">
        <w:rPr>
          <w:rFonts w:ascii="Arial" w:hAnsi="Arial" w:cs="Arial"/>
        </w:rPr>
        <w:t xml:space="preserve">NSPCC (2019) </w:t>
      </w:r>
      <w:r w:rsidRPr="006307B6">
        <w:rPr>
          <w:rFonts w:ascii="Arial" w:hAnsi="Arial" w:cs="Arial"/>
          <w:i/>
          <w:iCs/>
        </w:rPr>
        <w:t>Multi-agency working.</w:t>
      </w:r>
      <w:r w:rsidRPr="006307B6">
        <w:rPr>
          <w:rFonts w:ascii="Arial" w:hAnsi="Arial" w:cs="Arial"/>
        </w:rPr>
        <w:t xml:space="preserve"> Available at: </w:t>
      </w:r>
      <w:hyperlink r:id="rId16" w:anchor="heading-top" w:history="1">
        <w:r w:rsidRPr="006307B6">
          <w:rPr>
            <w:rFonts w:ascii="Arial" w:hAnsi="Arial" w:cs="Arial"/>
            <w:color w:val="0000FF" w:themeColor="hyperlink"/>
            <w:u w:val="single"/>
          </w:rPr>
          <w:t>https://learning.nspcc.org.uk/child-protection-system/multi-agency-working-child-protection#heading-top</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1A31B5DE" w14:textId="2EB149A1" w:rsidR="0017674D" w:rsidRPr="006307B6" w:rsidRDefault="0017674D" w:rsidP="006307B6">
      <w:pPr>
        <w:spacing w:line="360" w:lineRule="auto"/>
        <w:ind w:firstLine="0"/>
        <w:jc w:val="both"/>
        <w:rPr>
          <w:rFonts w:ascii="Arial" w:hAnsi="Arial" w:cs="Arial"/>
        </w:rPr>
      </w:pPr>
      <w:proofErr w:type="spellStart"/>
      <w:r w:rsidRPr="006307B6">
        <w:rPr>
          <w:rFonts w:ascii="Arial" w:hAnsi="Arial" w:cs="Arial"/>
        </w:rPr>
        <w:t>Öztürk</w:t>
      </w:r>
      <w:proofErr w:type="spellEnd"/>
      <w:r w:rsidRPr="006307B6">
        <w:rPr>
          <w:rFonts w:ascii="Arial" w:hAnsi="Arial" w:cs="Arial"/>
        </w:rPr>
        <w:t xml:space="preserve">, M. (2013) ‘Family partnership in early childhood assessment’, </w:t>
      </w:r>
      <w:r w:rsidRPr="006307B6">
        <w:rPr>
          <w:rFonts w:ascii="Arial" w:hAnsi="Arial" w:cs="Arial"/>
          <w:i/>
          <w:iCs/>
        </w:rPr>
        <w:t>Mediterranean Journal of Social Sciences</w:t>
      </w:r>
      <w:r w:rsidRPr="006307B6">
        <w:rPr>
          <w:rFonts w:ascii="Arial" w:hAnsi="Arial" w:cs="Arial"/>
        </w:rPr>
        <w:t xml:space="preserve">, 4(3), p.679. URL: </w:t>
      </w:r>
      <w:hyperlink r:id="rId17" w:history="1">
        <w:r w:rsidRPr="006307B6">
          <w:rPr>
            <w:rFonts w:ascii="Arial" w:hAnsi="Arial" w:cs="Arial"/>
            <w:color w:val="0000FF" w:themeColor="hyperlink"/>
            <w:u w:val="single"/>
          </w:rPr>
          <w:t>https://www.mcser.org/journal/index.php/mjss/article/viewFile/525/550</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037CDC9B" w14:textId="42037E57" w:rsidR="00497862" w:rsidRPr="006307B6" w:rsidRDefault="00497862" w:rsidP="006307B6">
      <w:pPr>
        <w:spacing w:line="360" w:lineRule="auto"/>
        <w:ind w:firstLine="0"/>
        <w:jc w:val="both"/>
        <w:rPr>
          <w:rFonts w:ascii="Arial" w:hAnsi="Arial" w:cs="Arial"/>
        </w:rPr>
      </w:pPr>
      <w:r w:rsidRPr="006307B6">
        <w:rPr>
          <w:rFonts w:ascii="Arial" w:hAnsi="Arial" w:cs="Arial"/>
        </w:rPr>
        <w:t xml:space="preserve">Social Care Wales (2020) The Drama Triangle in Child Protection [Video]. Available at: </w:t>
      </w:r>
      <w:hyperlink r:id="rId18" w:history="1">
        <w:r w:rsidRPr="006307B6">
          <w:rPr>
            <w:rFonts w:ascii="Arial" w:hAnsi="Arial" w:cs="Arial"/>
            <w:color w:val="0000FF" w:themeColor="hyperlink"/>
            <w:u w:val="single"/>
          </w:rPr>
          <w:t>https://www.youtube.com/watch?v=-gzQbhyEsr4&amp;t=513s</w:t>
        </w:r>
      </w:hyperlink>
      <w:r w:rsidRPr="006307B6">
        <w:rPr>
          <w:rFonts w:ascii="Arial" w:hAnsi="Arial" w:cs="Arial"/>
        </w:rPr>
        <w:t xml:space="preserve"> (Accessed: 11</w:t>
      </w:r>
      <w:r w:rsidRPr="006307B6">
        <w:rPr>
          <w:rFonts w:ascii="Arial" w:hAnsi="Arial" w:cs="Arial"/>
          <w:vertAlign w:val="superscript"/>
        </w:rPr>
        <w:t>th</w:t>
      </w:r>
      <w:r w:rsidRPr="006307B6">
        <w:rPr>
          <w:rFonts w:ascii="Arial" w:hAnsi="Arial" w:cs="Arial"/>
        </w:rPr>
        <w:t xml:space="preserve"> June 2023). </w:t>
      </w:r>
    </w:p>
    <w:p w14:paraId="513918A6" w14:textId="5ACA8AAD" w:rsidR="00FC54EB" w:rsidRPr="006307B6" w:rsidRDefault="00FC54EB" w:rsidP="006307B6">
      <w:pPr>
        <w:spacing w:line="360" w:lineRule="auto"/>
        <w:ind w:firstLine="0"/>
        <w:jc w:val="both"/>
        <w:rPr>
          <w:rFonts w:ascii="Arial" w:hAnsi="Arial" w:cs="Arial"/>
        </w:rPr>
      </w:pPr>
      <w:proofErr w:type="spellStart"/>
      <w:r w:rsidRPr="006307B6">
        <w:rPr>
          <w:rFonts w:ascii="Arial" w:hAnsi="Arial" w:cs="Arial"/>
          <w:color w:val="222222"/>
          <w:shd w:val="clear" w:color="auto" w:fill="FFFFFF"/>
        </w:rPr>
        <w:t>Venketsamy</w:t>
      </w:r>
      <w:proofErr w:type="spellEnd"/>
      <w:r w:rsidRPr="006307B6">
        <w:rPr>
          <w:rFonts w:ascii="Arial" w:hAnsi="Arial" w:cs="Arial"/>
          <w:color w:val="222222"/>
          <w:shd w:val="clear" w:color="auto" w:fill="FFFFFF"/>
        </w:rPr>
        <w:t xml:space="preserve">, R., Smart, L., &amp; </w:t>
      </w:r>
      <w:proofErr w:type="spellStart"/>
      <w:r w:rsidRPr="006307B6">
        <w:rPr>
          <w:rFonts w:ascii="Arial" w:hAnsi="Arial" w:cs="Arial"/>
          <w:color w:val="222222"/>
          <w:shd w:val="clear" w:color="auto" w:fill="FFFFFF"/>
        </w:rPr>
        <w:t>Zijing</w:t>
      </w:r>
      <w:proofErr w:type="spellEnd"/>
      <w:r w:rsidRPr="006307B6">
        <w:rPr>
          <w:rFonts w:ascii="Arial" w:hAnsi="Arial" w:cs="Arial"/>
          <w:color w:val="222222"/>
          <w:shd w:val="clear" w:color="auto" w:fill="FFFFFF"/>
        </w:rPr>
        <w:t>, H. U. (2021). Creating and leading a learning environment in diverse Foundation Phase classrooms in a South African school. </w:t>
      </w:r>
      <w:r w:rsidRPr="006307B6">
        <w:rPr>
          <w:rFonts w:ascii="Arial" w:hAnsi="Arial" w:cs="Arial"/>
          <w:i/>
          <w:iCs/>
          <w:color w:val="222222"/>
          <w:shd w:val="clear" w:color="auto" w:fill="FFFFFF"/>
        </w:rPr>
        <w:t>Journal for the Education of Gifted Young Scientists</w:t>
      </w:r>
      <w:r w:rsidRPr="006307B6">
        <w:rPr>
          <w:rFonts w:ascii="Arial" w:hAnsi="Arial" w:cs="Arial"/>
          <w:color w:val="222222"/>
          <w:shd w:val="clear" w:color="auto" w:fill="FFFFFF"/>
        </w:rPr>
        <w:t>, </w:t>
      </w:r>
      <w:r w:rsidRPr="006307B6">
        <w:rPr>
          <w:rFonts w:ascii="Arial" w:hAnsi="Arial" w:cs="Arial"/>
          <w:i/>
          <w:iCs/>
          <w:color w:val="222222"/>
          <w:shd w:val="clear" w:color="auto" w:fill="FFFFFF"/>
        </w:rPr>
        <w:t>9</w:t>
      </w:r>
      <w:r w:rsidRPr="006307B6">
        <w:rPr>
          <w:rFonts w:ascii="Arial" w:hAnsi="Arial" w:cs="Arial"/>
          <w:color w:val="222222"/>
          <w:shd w:val="clear" w:color="auto" w:fill="FFFFFF"/>
        </w:rPr>
        <w:t>(4), 359-376.</w:t>
      </w:r>
    </w:p>
    <w:p w14:paraId="2537033A" w14:textId="345BCE95" w:rsidR="008861B4" w:rsidRPr="006307B6" w:rsidRDefault="008861B4" w:rsidP="006307B6">
      <w:pPr>
        <w:spacing w:line="360" w:lineRule="auto"/>
        <w:ind w:firstLine="0"/>
        <w:jc w:val="both"/>
        <w:rPr>
          <w:rFonts w:ascii="Arial" w:hAnsi="Arial" w:cs="Arial"/>
        </w:rPr>
      </w:pPr>
      <w:r w:rsidRPr="006307B6">
        <w:rPr>
          <w:rFonts w:ascii="Arial" w:hAnsi="Arial" w:cs="Arial"/>
        </w:rPr>
        <w:t xml:space="preserve">Ward, H., Brown, R. and Hyde-Dryden, G. (2014) </w:t>
      </w:r>
      <w:r w:rsidRPr="006307B6">
        <w:rPr>
          <w:rFonts w:ascii="Arial" w:hAnsi="Arial" w:cs="Arial"/>
          <w:i/>
          <w:iCs/>
        </w:rPr>
        <w:t>Assessing Parental Capacity to Change when Children are on the Edge of Care: an overview of current research evidence.</w:t>
      </w:r>
      <w:r w:rsidRPr="006307B6">
        <w:rPr>
          <w:rFonts w:ascii="Arial" w:hAnsi="Arial" w:cs="Arial"/>
        </w:rPr>
        <w:t xml:space="preserve"> Available at: </w:t>
      </w:r>
    </w:p>
    <w:p w14:paraId="1733B993" w14:textId="7D7C6191" w:rsidR="008861B4" w:rsidRPr="006307B6" w:rsidRDefault="00000000" w:rsidP="006307B6">
      <w:pPr>
        <w:spacing w:line="360" w:lineRule="auto"/>
        <w:ind w:firstLine="0"/>
        <w:jc w:val="both"/>
        <w:rPr>
          <w:rFonts w:ascii="Arial" w:hAnsi="Arial" w:cs="Arial"/>
        </w:rPr>
      </w:pPr>
      <w:hyperlink r:id="rId19" w:history="1">
        <w:r w:rsidR="008861B4" w:rsidRPr="006307B6">
          <w:rPr>
            <w:rStyle w:val="Hyperlink"/>
            <w:rFonts w:ascii="Arial" w:hAnsi="Arial" w:cs="Arial"/>
          </w:rPr>
          <w:t>https://repository.lboro.ac.uk/articles/report/Assessing_parental_capacity_to_change_when_children_are_on_the_edge_of_care_an_overview_of_current_research_evidence/9580151</w:t>
        </w:r>
      </w:hyperlink>
      <w:r w:rsidR="008861B4" w:rsidRPr="006307B6">
        <w:rPr>
          <w:rFonts w:ascii="Arial" w:hAnsi="Arial" w:cs="Arial"/>
        </w:rPr>
        <w:t xml:space="preserve"> (Accessed: 11th June 2023). </w:t>
      </w:r>
    </w:p>
    <w:p w14:paraId="23CA37FB" w14:textId="2EDB539B" w:rsidR="00AE04C0" w:rsidRPr="006307B6" w:rsidRDefault="00AE04C0" w:rsidP="006307B6">
      <w:pPr>
        <w:spacing w:line="360" w:lineRule="auto"/>
        <w:ind w:firstLine="0"/>
        <w:jc w:val="both"/>
        <w:rPr>
          <w:rFonts w:ascii="Arial" w:hAnsi="Arial" w:cs="Arial"/>
        </w:rPr>
      </w:pPr>
      <w:r w:rsidRPr="006307B6">
        <w:rPr>
          <w:rFonts w:ascii="Arial" w:hAnsi="Arial" w:cs="Arial"/>
        </w:rPr>
        <w:t xml:space="preserve">Welsh Government (2017) Education in Wales: Our national mission Action plan 2017–21. Available at: </w:t>
      </w:r>
      <w:hyperlink r:id="rId20" w:history="1">
        <w:r w:rsidRPr="006307B6">
          <w:rPr>
            <w:rFonts w:ascii="Arial" w:hAnsi="Arial" w:cs="Arial"/>
            <w:color w:val="0000FF" w:themeColor="hyperlink"/>
            <w:u w:val="single"/>
          </w:rPr>
          <w:t>https://gov.wales/sites/default/files/publications/2018-03/education-in-wales-our-national-mission.pdf</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1FD24D63" w14:textId="77777777" w:rsidR="00AE04C0" w:rsidRPr="006307B6" w:rsidRDefault="00AE04C0" w:rsidP="006307B6">
      <w:pPr>
        <w:spacing w:line="360" w:lineRule="auto"/>
        <w:jc w:val="both"/>
        <w:rPr>
          <w:rFonts w:ascii="Arial" w:hAnsi="Arial" w:cs="Arial"/>
        </w:rPr>
      </w:pPr>
    </w:p>
    <w:p w14:paraId="61EF8117" w14:textId="32D0D3EA" w:rsidR="00AE04C0" w:rsidRPr="006307B6" w:rsidRDefault="00AE04C0" w:rsidP="006307B6">
      <w:pPr>
        <w:spacing w:line="360" w:lineRule="auto"/>
        <w:ind w:firstLine="0"/>
        <w:jc w:val="both"/>
        <w:rPr>
          <w:rFonts w:ascii="Arial" w:hAnsi="Arial" w:cs="Arial"/>
        </w:rPr>
      </w:pPr>
      <w:r w:rsidRPr="006307B6">
        <w:rPr>
          <w:rFonts w:ascii="Arial" w:hAnsi="Arial" w:cs="Arial"/>
        </w:rPr>
        <w:lastRenderedPageBreak/>
        <w:t xml:space="preserve">Welsh Government (2019) </w:t>
      </w:r>
      <w:r w:rsidRPr="006307B6">
        <w:rPr>
          <w:rFonts w:ascii="Arial" w:hAnsi="Arial" w:cs="Arial"/>
          <w:i/>
          <w:iCs/>
        </w:rPr>
        <w:t>Substance Misuse Delivery Plan 2019-2022</w:t>
      </w:r>
      <w:r w:rsidRPr="006307B6">
        <w:rPr>
          <w:rFonts w:ascii="Arial" w:hAnsi="Arial" w:cs="Arial"/>
        </w:rPr>
        <w:t xml:space="preserve">. Available at: </w:t>
      </w:r>
      <w:hyperlink r:id="rId21" w:history="1">
        <w:r w:rsidRPr="006307B6">
          <w:rPr>
            <w:rFonts w:ascii="Arial" w:hAnsi="Arial" w:cs="Arial"/>
            <w:color w:val="0000FF" w:themeColor="hyperlink"/>
            <w:u w:val="single"/>
          </w:rPr>
          <w:t>https://gov.wales/sites/default/files/publications/2019-10/substance-misuse-delivery-plan-2019-22.pdf</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3C383D0D" w14:textId="77777777" w:rsidR="00AE04C0" w:rsidRPr="006307B6" w:rsidRDefault="00AE04C0" w:rsidP="006307B6">
      <w:pPr>
        <w:spacing w:line="360" w:lineRule="auto"/>
        <w:jc w:val="both"/>
        <w:rPr>
          <w:rFonts w:ascii="Arial" w:hAnsi="Arial" w:cs="Arial"/>
        </w:rPr>
      </w:pPr>
    </w:p>
    <w:p w14:paraId="548AF290" w14:textId="5445F2F2" w:rsidR="00AE04C0" w:rsidRPr="006307B6" w:rsidRDefault="00AE04C0" w:rsidP="006307B6">
      <w:pPr>
        <w:spacing w:line="360" w:lineRule="auto"/>
        <w:ind w:firstLine="0"/>
        <w:jc w:val="both"/>
        <w:rPr>
          <w:rFonts w:ascii="Arial" w:hAnsi="Arial" w:cs="Arial"/>
        </w:rPr>
      </w:pPr>
      <w:r w:rsidRPr="006307B6">
        <w:rPr>
          <w:rFonts w:ascii="Arial" w:hAnsi="Arial" w:cs="Arial"/>
        </w:rPr>
        <w:t xml:space="preserve">Welsh Government (2020) </w:t>
      </w:r>
      <w:r w:rsidRPr="006307B6">
        <w:rPr>
          <w:rFonts w:ascii="Arial" w:hAnsi="Arial" w:cs="Arial"/>
          <w:i/>
          <w:iCs/>
        </w:rPr>
        <w:t>Education in Wales: Our national mission guidance.</w:t>
      </w:r>
      <w:r w:rsidRPr="006307B6">
        <w:rPr>
          <w:rFonts w:ascii="Arial" w:hAnsi="Arial" w:cs="Arial"/>
        </w:rPr>
        <w:t xml:space="preserve"> Available at: </w:t>
      </w:r>
      <w:hyperlink r:id="rId22" w:history="1">
        <w:r w:rsidRPr="006307B6">
          <w:rPr>
            <w:rFonts w:ascii="Arial" w:hAnsi="Arial" w:cs="Arial"/>
            <w:color w:val="0000FF" w:themeColor="hyperlink"/>
            <w:u w:val="single"/>
          </w:rPr>
          <w:t>https://gov.wales/sites/default/files/publications/2020-10/education-in-Wales-our-national-mission-update-october-2020.pdf</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2B255A6A" w14:textId="77777777" w:rsidR="00A34F69" w:rsidRPr="006307B6" w:rsidRDefault="00A34F69" w:rsidP="006307B6">
      <w:pPr>
        <w:spacing w:line="360" w:lineRule="auto"/>
        <w:ind w:firstLine="0"/>
        <w:jc w:val="both"/>
        <w:rPr>
          <w:rFonts w:ascii="Arial" w:eastAsiaTheme="minorEastAsia" w:hAnsi="Arial" w:cs="Arial"/>
          <w:lang w:eastAsia="zh-CN"/>
        </w:rPr>
      </w:pPr>
    </w:p>
    <w:sectPr w:rsidR="00A34F69" w:rsidRPr="006307B6">
      <w:headerReference w:type="default" r:id="rId23"/>
      <w:headerReference w:type="firs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DB258" w14:textId="77777777" w:rsidR="00A55CD9" w:rsidRDefault="00A55CD9">
      <w:pPr>
        <w:spacing w:after="0" w:line="240" w:lineRule="auto"/>
      </w:pPr>
      <w:r>
        <w:separator/>
      </w:r>
    </w:p>
  </w:endnote>
  <w:endnote w:type="continuationSeparator" w:id="0">
    <w:p w14:paraId="78FCB576" w14:textId="77777777" w:rsidR="00A55CD9" w:rsidRDefault="00A55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0E63A" w14:textId="77777777" w:rsidR="00A55CD9" w:rsidRDefault="00A55CD9">
      <w:pPr>
        <w:spacing w:after="0" w:line="240" w:lineRule="auto"/>
      </w:pPr>
      <w:r>
        <w:separator/>
      </w:r>
    </w:p>
  </w:footnote>
  <w:footnote w:type="continuationSeparator" w:id="0">
    <w:p w14:paraId="676AE753" w14:textId="77777777" w:rsidR="00A55CD9" w:rsidRDefault="00A55C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CF986" w14:textId="372D69B0" w:rsidR="00E81E75" w:rsidRPr="00844F49" w:rsidRDefault="00844F49">
    <w:pPr>
      <w:pBdr>
        <w:top w:val="nil"/>
        <w:left w:val="nil"/>
        <w:bottom w:val="nil"/>
        <w:right w:val="nil"/>
        <w:between w:val="nil"/>
      </w:pBdr>
      <w:tabs>
        <w:tab w:val="center" w:pos="4680"/>
        <w:tab w:val="right" w:pos="9360"/>
      </w:tabs>
      <w:spacing w:after="0" w:line="240" w:lineRule="auto"/>
      <w:ind w:firstLine="0"/>
      <w:jc w:val="right"/>
      <w:rPr>
        <w:color w:val="000000"/>
        <w:lang w:val="en-GB"/>
      </w:rPr>
    </w:pPr>
    <w:r>
      <w:rPr>
        <w:color w:val="000000"/>
        <w:lang w:val="en-GB"/>
      </w:rPr>
      <w:t>Siobhan Roper</w:t>
    </w:r>
    <w:r>
      <w:rPr>
        <w:color w:val="000000"/>
        <w:lang w:val="en-GB"/>
      </w:rPr>
      <w:br/>
      <w:t>ECEY6004</w:t>
    </w:r>
    <w:r>
      <w:rPr>
        <w:color w:val="000000"/>
        <w:lang w:val="en-GB"/>
      </w:rPr>
      <w:br/>
      <w:t>2015646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CF987" w14:textId="77777777" w:rsidR="00E81E75" w:rsidRDefault="007C33C4">
    <w:pPr>
      <w:pBdr>
        <w:top w:val="nil"/>
        <w:left w:val="nil"/>
        <w:bottom w:val="nil"/>
        <w:right w:val="nil"/>
        <w:between w:val="nil"/>
      </w:pBdr>
      <w:tabs>
        <w:tab w:val="center" w:pos="4680"/>
        <w:tab w:val="right" w:pos="9360"/>
      </w:tabs>
      <w:spacing w:after="0" w:line="240" w:lineRule="auto"/>
      <w:ind w:firstLine="0"/>
      <w:rPr>
        <w:color w:val="000000"/>
      </w:rPr>
    </w:pPr>
    <w:r>
      <w:rPr>
        <w:color w:val="000000"/>
      </w:rPr>
      <w:t>Running head: DOUBLE-CLICK INSERT SHORT TITLE (50 CHARACTERS OR LESS)</w:t>
    </w:r>
    <w:r>
      <w:rPr>
        <w:color w:val="000000"/>
      </w:rPr>
      <w:tab/>
    </w:r>
    <w:r>
      <w:rPr>
        <w:color w:val="000000"/>
      </w:rPr>
      <w:fldChar w:fldCharType="begin"/>
    </w:r>
    <w:r>
      <w:rPr>
        <w:color w:val="000000"/>
      </w:rPr>
      <w:instrText>PAGE</w:instrText>
    </w:r>
    <w:r>
      <w:rPr>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E75"/>
    <w:rsid w:val="00022DCA"/>
    <w:rsid w:val="00025F8A"/>
    <w:rsid w:val="000600F1"/>
    <w:rsid w:val="0010678F"/>
    <w:rsid w:val="00160F82"/>
    <w:rsid w:val="0017674D"/>
    <w:rsid w:val="0025201A"/>
    <w:rsid w:val="002620AF"/>
    <w:rsid w:val="00412A65"/>
    <w:rsid w:val="00463E03"/>
    <w:rsid w:val="00467080"/>
    <w:rsid w:val="00493EA0"/>
    <w:rsid w:val="00497862"/>
    <w:rsid w:val="004B1632"/>
    <w:rsid w:val="004F0713"/>
    <w:rsid w:val="004F693B"/>
    <w:rsid w:val="005429BA"/>
    <w:rsid w:val="005A3B29"/>
    <w:rsid w:val="00623EE8"/>
    <w:rsid w:val="006307B6"/>
    <w:rsid w:val="007340F2"/>
    <w:rsid w:val="0075677D"/>
    <w:rsid w:val="007811F0"/>
    <w:rsid w:val="007916B1"/>
    <w:rsid w:val="007C0694"/>
    <w:rsid w:val="007C33C4"/>
    <w:rsid w:val="00844F49"/>
    <w:rsid w:val="00857173"/>
    <w:rsid w:val="008861B4"/>
    <w:rsid w:val="009007EE"/>
    <w:rsid w:val="009B5ED6"/>
    <w:rsid w:val="00A34F69"/>
    <w:rsid w:val="00A55CD9"/>
    <w:rsid w:val="00AB353E"/>
    <w:rsid w:val="00AB7E98"/>
    <w:rsid w:val="00AC5CBD"/>
    <w:rsid w:val="00AD1036"/>
    <w:rsid w:val="00AE04C0"/>
    <w:rsid w:val="00AE33C1"/>
    <w:rsid w:val="00B255B0"/>
    <w:rsid w:val="00B87E1B"/>
    <w:rsid w:val="00C324AD"/>
    <w:rsid w:val="00C66846"/>
    <w:rsid w:val="00D447D0"/>
    <w:rsid w:val="00E81E75"/>
    <w:rsid w:val="00EC3AC9"/>
    <w:rsid w:val="00F06D24"/>
    <w:rsid w:val="00F81915"/>
    <w:rsid w:val="00FB5526"/>
    <w:rsid w:val="00FC54EB"/>
    <w:rsid w:val="00FD3B13"/>
    <w:rsid w:val="3BD33A4F"/>
    <w:rsid w:val="447BC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CF96D"/>
  <w15:docId w15:val="{9D288BF4-02FC-4D45-A27F-B47B2E2DF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before="3840"/>
      <w:jc w:val="center"/>
      <w:outlineLvl w:val="0"/>
    </w:pPr>
  </w:style>
  <w:style w:type="paragraph" w:styleId="Heading2">
    <w:name w:val="heading 2"/>
    <w:basedOn w:val="Normal"/>
    <w:next w:val="Normal"/>
    <w:pPr>
      <w:ind w:firstLine="0"/>
      <w:jc w:val="center"/>
      <w:outlineLvl w:val="1"/>
    </w:pPr>
    <w:rPr>
      <w:b/>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5A3B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3B29"/>
    <w:rPr>
      <w:rFonts w:ascii="Segoe UI" w:hAnsi="Segoe UI" w:cs="Segoe UI"/>
      <w:sz w:val="18"/>
      <w:szCs w:val="18"/>
    </w:rPr>
  </w:style>
  <w:style w:type="character" w:styleId="CommentReference">
    <w:name w:val="annotation reference"/>
    <w:basedOn w:val="DefaultParagraphFont"/>
    <w:uiPriority w:val="99"/>
    <w:semiHidden/>
    <w:unhideWhenUsed/>
    <w:rsid w:val="0025201A"/>
    <w:rPr>
      <w:sz w:val="16"/>
      <w:szCs w:val="16"/>
    </w:rPr>
  </w:style>
  <w:style w:type="paragraph" w:styleId="CommentText">
    <w:name w:val="annotation text"/>
    <w:basedOn w:val="Normal"/>
    <w:link w:val="CommentTextChar"/>
    <w:uiPriority w:val="99"/>
    <w:semiHidden/>
    <w:unhideWhenUsed/>
    <w:rsid w:val="0025201A"/>
    <w:pPr>
      <w:spacing w:line="240" w:lineRule="auto"/>
    </w:pPr>
    <w:rPr>
      <w:sz w:val="20"/>
      <w:szCs w:val="20"/>
    </w:rPr>
  </w:style>
  <w:style w:type="character" w:customStyle="1" w:styleId="CommentTextChar">
    <w:name w:val="Comment Text Char"/>
    <w:basedOn w:val="DefaultParagraphFont"/>
    <w:link w:val="CommentText"/>
    <w:uiPriority w:val="99"/>
    <w:semiHidden/>
    <w:rsid w:val="0025201A"/>
    <w:rPr>
      <w:sz w:val="20"/>
      <w:szCs w:val="20"/>
    </w:rPr>
  </w:style>
  <w:style w:type="paragraph" w:styleId="CommentSubject">
    <w:name w:val="annotation subject"/>
    <w:basedOn w:val="CommentText"/>
    <w:next w:val="CommentText"/>
    <w:link w:val="CommentSubjectChar"/>
    <w:uiPriority w:val="99"/>
    <w:semiHidden/>
    <w:unhideWhenUsed/>
    <w:rsid w:val="0025201A"/>
    <w:rPr>
      <w:b/>
      <w:bCs/>
    </w:rPr>
  </w:style>
  <w:style w:type="character" w:customStyle="1" w:styleId="CommentSubjectChar">
    <w:name w:val="Comment Subject Char"/>
    <w:basedOn w:val="CommentTextChar"/>
    <w:link w:val="CommentSubject"/>
    <w:uiPriority w:val="99"/>
    <w:semiHidden/>
    <w:rsid w:val="0025201A"/>
    <w:rPr>
      <w:b/>
      <w:bCs/>
      <w:sz w:val="20"/>
      <w:szCs w:val="20"/>
    </w:rPr>
  </w:style>
  <w:style w:type="paragraph" w:styleId="NormalWeb">
    <w:name w:val="Normal (Web)"/>
    <w:basedOn w:val="Normal"/>
    <w:uiPriority w:val="99"/>
    <w:semiHidden/>
    <w:unhideWhenUsed/>
    <w:rsid w:val="004F0713"/>
    <w:pPr>
      <w:spacing w:before="100" w:beforeAutospacing="1" w:after="100" w:afterAutospacing="1" w:line="240" w:lineRule="auto"/>
      <w:ind w:firstLine="0"/>
    </w:pPr>
    <w:rPr>
      <w:lang w:val="en-GB"/>
    </w:rPr>
  </w:style>
  <w:style w:type="character" w:styleId="Strong">
    <w:name w:val="Strong"/>
    <w:basedOn w:val="DefaultParagraphFont"/>
    <w:uiPriority w:val="22"/>
    <w:qFormat/>
    <w:rsid w:val="00857173"/>
    <w:rPr>
      <w:b/>
      <w:bCs/>
    </w:rPr>
  </w:style>
  <w:style w:type="paragraph" w:styleId="Header">
    <w:name w:val="header"/>
    <w:basedOn w:val="Normal"/>
    <w:link w:val="HeaderChar"/>
    <w:uiPriority w:val="99"/>
    <w:unhideWhenUsed/>
    <w:rsid w:val="00844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F49"/>
  </w:style>
  <w:style w:type="paragraph" w:styleId="Footer">
    <w:name w:val="footer"/>
    <w:basedOn w:val="Normal"/>
    <w:link w:val="FooterChar"/>
    <w:uiPriority w:val="99"/>
    <w:unhideWhenUsed/>
    <w:rsid w:val="00844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F49"/>
  </w:style>
  <w:style w:type="character" w:customStyle="1" w:styleId="apple-converted-space">
    <w:name w:val="apple-converted-space"/>
    <w:basedOn w:val="DefaultParagraphFont"/>
    <w:rsid w:val="00B255B0"/>
  </w:style>
  <w:style w:type="character" w:styleId="Hyperlink">
    <w:name w:val="Hyperlink"/>
    <w:basedOn w:val="DefaultParagraphFont"/>
    <w:uiPriority w:val="99"/>
    <w:unhideWhenUsed/>
    <w:rsid w:val="00B255B0"/>
    <w:rPr>
      <w:color w:val="0000FF"/>
      <w:u w:val="single"/>
    </w:rPr>
  </w:style>
  <w:style w:type="character" w:customStyle="1" w:styleId="nlmarticle-title">
    <w:name w:val="nlm_article-title"/>
    <w:basedOn w:val="DefaultParagraphFont"/>
    <w:rsid w:val="00AE33C1"/>
  </w:style>
  <w:style w:type="character" w:customStyle="1" w:styleId="contribdegrees">
    <w:name w:val="contribdegrees"/>
    <w:basedOn w:val="DefaultParagraphFont"/>
    <w:rsid w:val="00AE33C1"/>
  </w:style>
  <w:style w:type="character" w:styleId="FollowedHyperlink">
    <w:name w:val="FollowedHyperlink"/>
    <w:basedOn w:val="DefaultParagraphFont"/>
    <w:uiPriority w:val="99"/>
    <w:semiHidden/>
    <w:unhideWhenUsed/>
    <w:rsid w:val="0017674D"/>
    <w:rPr>
      <w:color w:val="800080" w:themeColor="followedHyperlink"/>
      <w:u w:val="single"/>
    </w:rPr>
  </w:style>
  <w:style w:type="character" w:styleId="UnresolvedMention">
    <w:name w:val="Unresolved Mention"/>
    <w:basedOn w:val="DefaultParagraphFont"/>
    <w:uiPriority w:val="99"/>
    <w:semiHidden/>
    <w:unhideWhenUsed/>
    <w:rsid w:val="008861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09114">
      <w:bodyDiv w:val="1"/>
      <w:marLeft w:val="0"/>
      <w:marRight w:val="0"/>
      <w:marTop w:val="0"/>
      <w:marBottom w:val="0"/>
      <w:divBdr>
        <w:top w:val="none" w:sz="0" w:space="0" w:color="auto"/>
        <w:left w:val="none" w:sz="0" w:space="0" w:color="auto"/>
        <w:bottom w:val="none" w:sz="0" w:space="0" w:color="auto"/>
        <w:right w:val="none" w:sz="0" w:space="0" w:color="auto"/>
      </w:divBdr>
      <w:divsChild>
        <w:div w:id="1704555942">
          <w:marLeft w:val="0"/>
          <w:marRight w:val="0"/>
          <w:marTop w:val="0"/>
          <w:marBottom w:val="0"/>
          <w:divBdr>
            <w:top w:val="none" w:sz="0" w:space="0" w:color="auto"/>
            <w:left w:val="none" w:sz="0" w:space="0" w:color="auto"/>
            <w:bottom w:val="none" w:sz="0" w:space="0" w:color="auto"/>
            <w:right w:val="none" w:sz="0" w:space="0" w:color="auto"/>
          </w:divBdr>
          <w:divsChild>
            <w:div w:id="512888802">
              <w:marLeft w:val="0"/>
              <w:marRight w:val="0"/>
              <w:marTop w:val="0"/>
              <w:marBottom w:val="0"/>
              <w:divBdr>
                <w:top w:val="none" w:sz="0" w:space="0" w:color="auto"/>
                <w:left w:val="none" w:sz="0" w:space="0" w:color="auto"/>
                <w:bottom w:val="none" w:sz="0" w:space="0" w:color="auto"/>
                <w:right w:val="none" w:sz="0" w:space="0" w:color="auto"/>
              </w:divBdr>
              <w:divsChild>
                <w:div w:id="720447905">
                  <w:marLeft w:val="0"/>
                  <w:marRight w:val="0"/>
                  <w:marTop w:val="0"/>
                  <w:marBottom w:val="0"/>
                  <w:divBdr>
                    <w:top w:val="none" w:sz="0" w:space="0" w:color="auto"/>
                    <w:left w:val="none" w:sz="0" w:space="0" w:color="auto"/>
                    <w:bottom w:val="none" w:sz="0" w:space="0" w:color="auto"/>
                    <w:right w:val="none" w:sz="0" w:space="0" w:color="auto"/>
                  </w:divBdr>
                  <w:divsChild>
                    <w:div w:id="1347443099">
                      <w:marLeft w:val="0"/>
                      <w:marRight w:val="0"/>
                      <w:marTop w:val="0"/>
                      <w:marBottom w:val="0"/>
                      <w:divBdr>
                        <w:top w:val="none" w:sz="0" w:space="0" w:color="auto"/>
                        <w:left w:val="none" w:sz="0" w:space="0" w:color="auto"/>
                        <w:bottom w:val="none" w:sz="0" w:space="0" w:color="auto"/>
                        <w:right w:val="none" w:sz="0" w:space="0" w:color="auto"/>
                      </w:divBdr>
                      <w:divsChild>
                        <w:div w:id="149841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31206">
      <w:bodyDiv w:val="1"/>
      <w:marLeft w:val="0"/>
      <w:marRight w:val="0"/>
      <w:marTop w:val="0"/>
      <w:marBottom w:val="0"/>
      <w:divBdr>
        <w:top w:val="none" w:sz="0" w:space="0" w:color="auto"/>
        <w:left w:val="none" w:sz="0" w:space="0" w:color="auto"/>
        <w:bottom w:val="none" w:sz="0" w:space="0" w:color="auto"/>
        <w:right w:val="none" w:sz="0" w:space="0" w:color="auto"/>
      </w:divBdr>
    </w:div>
    <w:div w:id="480971928">
      <w:bodyDiv w:val="1"/>
      <w:marLeft w:val="0"/>
      <w:marRight w:val="0"/>
      <w:marTop w:val="0"/>
      <w:marBottom w:val="0"/>
      <w:divBdr>
        <w:top w:val="none" w:sz="0" w:space="0" w:color="auto"/>
        <w:left w:val="none" w:sz="0" w:space="0" w:color="auto"/>
        <w:bottom w:val="none" w:sz="0" w:space="0" w:color="auto"/>
        <w:right w:val="none" w:sz="0" w:space="0" w:color="auto"/>
      </w:divBdr>
    </w:div>
    <w:div w:id="521548923">
      <w:bodyDiv w:val="1"/>
      <w:marLeft w:val="0"/>
      <w:marRight w:val="0"/>
      <w:marTop w:val="0"/>
      <w:marBottom w:val="0"/>
      <w:divBdr>
        <w:top w:val="none" w:sz="0" w:space="0" w:color="auto"/>
        <w:left w:val="none" w:sz="0" w:space="0" w:color="auto"/>
        <w:bottom w:val="none" w:sz="0" w:space="0" w:color="auto"/>
        <w:right w:val="none" w:sz="0" w:space="0" w:color="auto"/>
      </w:divBdr>
    </w:div>
    <w:div w:id="576398048">
      <w:bodyDiv w:val="1"/>
      <w:marLeft w:val="0"/>
      <w:marRight w:val="0"/>
      <w:marTop w:val="0"/>
      <w:marBottom w:val="0"/>
      <w:divBdr>
        <w:top w:val="none" w:sz="0" w:space="0" w:color="auto"/>
        <w:left w:val="none" w:sz="0" w:space="0" w:color="auto"/>
        <w:bottom w:val="none" w:sz="0" w:space="0" w:color="auto"/>
        <w:right w:val="none" w:sz="0" w:space="0" w:color="auto"/>
      </w:divBdr>
    </w:div>
    <w:div w:id="1082529393">
      <w:bodyDiv w:val="1"/>
      <w:marLeft w:val="0"/>
      <w:marRight w:val="0"/>
      <w:marTop w:val="0"/>
      <w:marBottom w:val="0"/>
      <w:divBdr>
        <w:top w:val="none" w:sz="0" w:space="0" w:color="auto"/>
        <w:left w:val="none" w:sz="0" w:space="0" w:color="auto"/>
        <w:bottom w:val="none" w:sz="0" w:space="0" w:color="auto"/>
        <w:right w:val="none" w:sz="0" w:space="0" w:color="auto"/>
      </w:divBdr>
      <w:divsChild>
        <w:div w:id="378431994">
          <w:marLeft w:val="0"/>
          <w:marRight w:val="0"/>
          <w:marTop w:val="0"/>
          <w:marBottom w:val="0"/>
          <w:divBdr>
            <w:top w:val="none" w:sz="0" w:space="0" w:color="auto"/>
            <w:left w:val="none" w:sz="0" w:space="0" w:color="auto"/>
            <w:bottom w:val="none" w:sz="0" w:space="0" w:color="auto"/>
            <w:right w:val="none" w:sz="0" w:space="0" w:color="auto"/>
          </w:divBdr>
        </w:div>
        <w:div w:id="1027757786">
          <w:marLeft w:val="0"/>
          <w:marRight w:val="0"/>
          <w:marTop w:val="0"/>
          <w:marBottom w:val="0"/>
          <w:divBdr>
            <w:top w:val="none" w:sz="0" w:space="0" w:color="auto"/>
            <w:left w:val="none" w:sz="0" w:space="0" w:color="auto"/>
            <w:bottom w:val="none" w:sz="0" w:space="0" w:color="auto"/>
            <w:right w:val="none" w:sz="0" w:space="0" w:color="auto"/>
          </w:divBdr>
        </w:div>
        <w:div w:id="2140687088">
          <w:marLeft w:val="0"/>
          <w:marRight w:val="0"/>
          <w:marTop w:val="0"/>
          <w:marBottom w:val="0"/>
          <w:divBdr>
            <w:top w:val="none" w:sz="0" w:space="0" w:color="auto"/>
            <w:left w:val="none" w:sz="0" w:space="0" w:color="auto"/>
            <w:bottom w:val="none" w:sz="0" w:space="0" w:color="auto"/>
            <w:right w:val="none" w:sz="0" w:space="0" w:color="auto"/>
          </w:divBdr>
        </w:div>
        <w:div w:id="2119906628">
          <w:marLeft w:val="0"/>
          <w:marRight w:val="0"/>
          <w:marTop w:val="0"/>
          <w:marBottom w:val="0"/>
          <w:divBdr>
            <w:top w:val="none" w:sz="0" w:space="0" w:color="auto"/>
            <w:left w:val="none" w:sz="0" w:space="0" w:color="auto"/>
            <w:bottom w:val="none" w:sz="0" w:space="0" w:color="auto"/>
            <w:right w:val="none" w:sz="0" w:space="0" w:color="auto"/>
          </w:divBdr>
        </w:div>
        <w:div w:id="100341590">
          <w:marLeft w:val="0"/>
          <w:marRight w:val="0"/>
          <w:marTop w:val="0"/>
          <w:marBottom w:val="0"/>
          <w:divBdr>
            <w:top w:val="none" w:sz="0" w:space="0" w:color="auto"/>
            <w:left w:val="none" w:sz="0" w:space="0" w:color="auto"/>
            <w:bottom w:val="none" w:sz="0" w:space="0" w:color="auto"/>
            <w:right w:val="none" w:sz="0" w:space="0" w:color="auto"/>
          </w:divBdr>
        </w:div>
      </w:divsChild>
    </w:div>
    <w:div w:id="1238981226">
      <w:bodyDiv w:val="1"/>
      <w:marLeft w:val="0"/>
      <w:marRight w:val="0"/>
      <w:marTop w:val="0"/>
      <w:marBottom w:val="0"/>
      <w:divBdr>
        <w:top w:val="none" w:sz="0" w:space="0" w:color="auto"/>
        <w:left w:val="none" w:sz="0" w:space="0" w:color="auto"/>
        <w:bottom w:val="none" w:sz="0" w:space="0" w:color="auto"/>
        <w:right w:val="none" w:sz="0" w:space="0" w:color="auto"/>
      </w:divBdr>
      <w:divsChild>
        <w:div w:id="229779934">
          <w:marLeft w:val="0"/>
          <w:marRight w:val="0"/>
          <w:marTop w:val="0"/>
          <w:marBottom w:val="0"/>
          <w:divBdr>
            <w:top w:val="none" w:sz="0" w:space="0" w:color="auto"/>
            <w:left w:val="none" w:sz="0" w:space="0" w:color="auto"/>
            <w:bottom w:val="none" w:sz="0" w:space="0" w:color="auto"/>
            <w:right w:val="none" w:sz="0" w:space="0" w:color="auto"/>
          </w:divBdr>
          <w:divsChild>
            <w:div w:id="1746342240">
              <w:marLeft w:val="0"/>
              <w:marRight w:val="0"/>
              <w:marTop w:val="0"/>
              <w:marBottom w:val="0"/>
              <w:divBdr>
                <w:top w:val="none" w:sz="0" w:space="0" w:color="auto"/>
                <w:left w:val="none" w:sz="0" w:space="0" w:color="auto"/>
                <w:bottom w:val="none" w:sz="0" w:space="0" w:color="auto"/>
                <w:right w:val="none" w:sz="0" w:space="0" w:color="auto"/>
              </w:divBdr>
              <w:divsChild>
                <w:div w:id="1988630452">
                  <w:marLeft w:val="0"/>
                  <w:marRight w:val="0"/>
                  <w:marTop w:val="0"/>
                  <w:marBottom w:val="0"/>
                  <w:divBdr>
                    <w:top w:val="none" w:sz="0" w:space="0" w:color="auto"/>
                    <w:left w:val="none" w:sz="0" w:space="0" w:color="auto"/>
                    <w:bottom w:val="none" w:sz="0" w:space="0" w:color="auto"/>
                    <w:right w:val="none" w:sz="0" w:space="0" w:color="auto"/>
                  </w:divBdr>
                  <w:divsChild>
                    <w:div w:id="1924299234">
                      <w:marLeft w:val="0"/>
                      <w:marRight w:val="0"/>
                      <w:marTop w:val="0"/>
                      <w:marBottom w:val="0"/>
                      <w:divBdr>
                        <w:top w:val="none" w:sz="0" w:space="0" w:color="auto"/>
                        <w:left w:val="none" w:sz="0" w:space="0" w:color="auto"/>
                        <w:bottom w:val="none" w:sz="0" w:space="0" w:color="auto"/>
                        <w:right w:val="none" w:sz="0" w:space="0" w:color="auto"/>
                      </w:divBdr>
                    </w:div>
                    <w:div w:id="1936011128">
                      <w:marLeft w:val="0"/>
                      <w:marRight w:val="0"/>
                      <w:marTop w:val="0"/>
                      <w:marBottom w:val="0"/>
                      <w:divBdr>
                        <w:top w:val="none" w:sz="0" w:space="0" w:color="auto"/>
                        <w:left w:val="none" w:sz="0" w:space="0" w:color="auto"/>
                        <w:bottom w:val="none" w:sz="0" w:space="0" w:color="auto"/>
                        <w:right w:val="none" w:sz="0" w:space="0" w:color="auto"/>
                      </w:divBdr>
                    </w:div>
                    <w:div w:id="315912665">
                      <w:marLeft w:val="0"/>
                      <w:marRight w:val="0"/>
                      <w:marTop w:val="0"/>
                      <w:marBottom w:val="0"/>
                      <w:divBdr>
                        <w:top w:val="none" w:sz="0" w:space="0" w:color="auto"/>
                        <w:left w:val="none" w:sz="0" w:space="0" w:color="auto"/>
                        <w:bottom w:val="none" w:sz="0" w:space="0" w:color="auto"/>
                        <w:right w:val="none" w:sz="0" w:space="0" w:color="auto"/>
                      </w:divBdr>
                    </w:div>
                    <w:div w:id="1268729753">
                      <w:marLeft w:val="0"/>
                      <w:marRight w:val="0"/>
                      <w:marTop w:val="0"/>
                      <w:marBottom w:val="0"/>
                      <w:divBdr>
                        <w:top w:val="none" w:sz="0" w:space="0" w:color="auto"/>
                        <w:left w:val="none" w:sz="0" w:space="0" w:color="auto"/>
                        <w:bottom w:val="none" w:sz="0" w:space="0" w:color="auto"/>
                        <w:right w:val="none" w:sz="0" w:space="0" w:color="auto"/>
                      </w:divBdr>
                    </w:div>
                    <w:div w:id="1625692122">
                      <w:marLeft w:val="0"/>
                      <w:marRight w:val="0"/>
                      <w:marTop w:val="0"/>
                      <w:marBottom w:val="0"/>
                      <w:divBdr>
                        <w:top w:val="none" w:sz="0" w:space="0" w:color="auto"/>
                        <w:left w:val="none" w:sz="0" w:space="0" w:color="auto"/>
                        <w:bottom w:val="none" w:sz="0" w:space="0" w:color="auto"/>
                        <w:right w:val="none" w:sz="0" w:space="0" w:color="auto"/>
                      </w:divBdr>
                    </w:div>
                    <w:div w:id="12793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393854">
      <w:bodyDiv w:val="1"/>
      <w:marLeft w:val="0"/>
      <w:marRight w:val="0"/>
      <w:marTop w:val="0"/>
      <w:marBottom w:val="0"/>
      <w:divBdr>
        <w:top w:val="none" w:sz="0" w:space="0" w:color="auto"/>
        <w:left w:val="none" w:sz="0" w:space="0" w:color="auto"/>
        <w:bottom w:val="none" w:sz="0" w:space="0" w:color="auto"/>
        <w:right w:val="none" w:sz="0" w:space="0" w:color="auto"/>
      </w:divBdr>
    </w:div>
    <w:div w:id="1848709999">
      <w:bodyDiv w:val="1"/>
      <w:marLeft w:val="0"/>
      <w:marRight w:val="0"/>
      <w:marTop w:val="0"/>
      <w:marBottom w:val="0"/>
      <w:divBdr>
        <w:top w:val="none" w:sz="0" w:space="0" w:color="auto"/>
        <w:left w:val="none" w:sz="0" w:space="0" w:color="auto"/>
        <w:bottom w:val="none" w:sz="0" w:space="0" w:color="auto"/>
        <w:right w:val="none" w:sz="0" w:space="0" w:color="auto"/>
      </w:divBdr>
    </w:div>
    <w:div w:id="1953130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0293X.2013.788314" TargetMode="External"/><Relationship Id="rId13" Type="http://schemas.openxmlformats.org/officeDocument/2006/relationships/hyperlink" Target="https://journals.sagepub.com/doi/pdf/10.1177/0265659020974426" TargetMode="External"/><Relationship Id="rId18" Type="http://schemas.openxmlformats.org/officeDocument/2006/relationships/hyperlink" Target="https://www.youtube.com/watch?v=-gzQbhyEsr4&amp;t=513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gov.wales/sites/default/files/publications/2019-10/substance-misuse-delivery-plan-2019-22.pdf" TargetMode="External"/><Relationship Id="rId7" Type="http://schemas.openxmlformats.org/officeDocument/2006/relationships/hyperlink" Target="https://www.mdpi.com/2227-7102/11/12/815/pdf?version=1639702827" TargetMode="External"/><Relationship Id="rId12" Type="http://schemas.openxmlformats.org/officeDocument/2006/relationships/hyperlink" Target="https://doi.org/10.1080/02650533.2020.1834371" TargetMode="External"/><Relationship Id="rId17" Type="http://schemas.openxmlformats.org/officeDocument/2006/relationships/hyperlink" Target="https://www.mcser.org/journal/index.php/mjss/article/viewFile/525/550"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learning.nspcc.org.uk/child-protection-system/multi-agency-working-child-protection" TargetMode="External"/><Relationship Id="rId20" Type="http://schemas.openxmlformats.org/officeDocument/2006/relationships/hyperlink" Target="https://gov.wales/sites/default/files/publications/2018-03/education-in-wales-our-national-mission.pdf" TargetMode="External"/><Relationship Id="rId1" Type="http://schemas.openxmlformats.org/officeDocument/2006/relationships/styles" Target="styles.xml"/><Relationship Id="rId6" Type="http://schemas.openxmlformats.org/officeDocument/2006/relationships/hyperlink" Target="https://scholarworks.waldenu.edu/cgi/viewcontent.cgi?article=1547&amp;context=jerap" TargetMode="External"/><Relationship Id="rId11" Type="http://schemas.openxmlformats.org/officeDocument/2006/relationships/hyperlink" Target="https://onlinelibrary-wiley-com.ezproxy.uwtsd.ac.uk/doi/book/10.1002/9781118764282" TargetMode="External"/><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naeyc.org/resources/topics/equity" TargetMode="External"/><Relationship Id="rId23" Type="http://schemas.openxmlformats.org/officeDocument/2006/relationships/header" Target="header1.xml"/><Relationship Id="rId10" Type="http://schemas.openxmlformats.org/officeDocument/2006/relationships/hyperlink" Target="https://www.earlychildhoodaustralia.org.au/our-publications/every-child-magazine/every-child-index/every-child-vol-24-4-2018/inclusion-in-early-childhood-education/" TargetMode="External"/><Relationship Id="rId19" Type="http://schemas.openxmlformats.org/officeDocument/2006/relationships/hyperlink" Target="https://repository.lboro.ac.uk/articles/report/Assessing_parental_capacity_to_change_when_children_are_on_the_edge_of_care_an_overview_of_current_research_evidence/9580151" TargetMode="External"/><Relationship Id="rId4" Type="http://schemas.openxmlformats.org/officeDocument/2006/relationships/footnotes" Target="footnotes.xml"/><Relationship Id="rId9" Type="http://schemas.openxmlformats.org/officeDocument/2006/relationships/hyperlink" Target="https://www.gov.uk/government/publications/early-years-foundation-stage-framework--2" TargetMode="External"/><Relationship Id="rId14" Type="http://schemas.openxmlformats.org/officeDocument/2006/relationships/hyperlink" Target="https://ojs.elte.hu/gyermekneveles/article/download/4185/3489" TargetMode="External"/><Relationship Id="rId22" Type="http://schemas.openxmlformats.org/officeDocument/2006/relationships/hyperlink" Target="https://gov.wales/sites/default/files/publications/2020-10/education-in-Wales-our-national-mission-update-october-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2047</TotalTime>
  <Pages>12</Pages>
  <Words>3764</Words>
  <Characters>21457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Siobhan Roper</dc:creator>
  <cp:lastModifiedBy>ROP09093478 (Siobhan Louise Roper)</cp:lastModifiedBy>
  <cp:revision>24</cp:revision>
  <cp:lastPrinted>2023-06-12T10:03:00Z</cp:lastPrinted>
  <dcterms:created xsi:type="dcterms:W3CDTF">2023-06-12T11:24:00Z</dcterms:created>
  <dcterms:modified xsi:type="dcterms:W3CDTF">2023-06-25T22:09:00Z</dcterms:modified>
</cp:coreProperties>
</file>