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2C11D3" w14:textId="77777777" w:rsidR="00B67E48" w:rsidRPr="00F118A5" w:rsidRDefault="00B67E48" w:rsidP="00B67E48">
      <w:pPr>
        <w:spacing w:line="360" w:lineRule="auto"/>
        <w:jc w:val="center"/>
        <w:rPr>
          <w:rFonts w:ascii="Arial" w:hAnsi="Arial" w:cs="Arial"/>
          <w:b/>
          <w:bCs/>
          <w:sz w:val="24"/>
          <w:szCs w:val="24"/>
        </w:rPr>
      </w:pPr>
      <w:r>
        <w:rPr>
          <w:rFonts w:ascii="Arial" w:hAnsi="Arial" w:cs="Arial"/>
          <w:b/>
          <w:bCs/>
          <w:sz w:val="24"/>
          <w:szCs w:val="24"/>
        </w:rPr>
        <w:t xml:space="preserve">Chapter 1: </w:t>
      </w:r>
      <w:r w:rsidRPr="00F118A5">
        <w:rPr>
          <w:rFonts w:ascii="Arial" w:hAnsi="Arial" w:cs="Arial"/>
          <w:b/>
          <w:bCs/>
          <w:sz w:val="24"/>
          <w:szCs w:val="24"/>
        </w:rPr>
        <w:t>Introduction</w:t>
      </w:r>
    </w:p>
    <w:p w14:paraId="2FB4A87D" w14:textId="77777777" w:rsidR="00B67E48" w:rsidRPr="008A5364" w:rsidRDefault="00B67E48" w:rsidP="00B67E48">
      <w:pPr>
        <w:spacing w:line="360" w:lineRule="auto"/>
        <w:jc w:val="both"/>
        <w:rPr>
          <w:rFonts w:ascii="Arial" w:hAnsi="Arial" w:cs="Arial"/>
          <w:b/>
          <w:bCs/>
          <w:sz w:val="24"/>
          <w:szCs w:val="24"/>
        </w:rPr>
      </w:pPr>
      <w:r>
        <w:rPr>
          <w:rFonts w:ascii="Arial" w:hAnsi="Arial" w:cs="Arial"/>
          <w:b/>
          <w:bCs/>
          <w:sz w:val="24"/>
          <w:szCs w:val="24"/>
        </w:rPr>
        <w:t>1.1 Background</w:t>
      </w:r>
    </w:p>
    <w:p w14:paraId="40B09F46" w14:textId="77777777" w:rsidR="00B67E48" w:rsidRPr="00F118A5" w:rsidRDefault="00B67E48" w:rsidP="00B67E48">
      <w:pPr>
        <w:spacing w:line="360" w:lineRule="auto"/>
        <w:jc w:val="both"/>
        <w:rPr>
          <w:rFonts w:ascii="Arial" w:hAnsi="Arial" w:cs="Arial"/>
          <w:sz w:val="24"/>
          <w:szCs w:val="24"/>
        </w:rPr>
      </w:pPr>
      <w:r w:rsidRPr="00F118A5">
        <w:rPr>
          <w:rFonts w:ascii="Arial" w:hAnsi="Arial" w:cs="Arial"/>
          <w:sz w:val="24"/>
          <w:szCs w:val="24"/>
        </w:rPr>
        <w:t xml:space="preserve">The </w:t>
      </w:r>
      <w:r>
        <w:rPr>
          <w:rFonts w:ascii="Arial" w:hAnsi="Arial" w:cs="Arial"/>
          <w:sz w:val="24"/>
          <w:szCs w:val="24"/>
        </w:rPr>
        <w:t>primary</w:t>
      </w:r>
      <w:r w:rsidRPr="00F118A5">
        <w:rPr>
          <w:rFonts w:ascii="Arial" w:hAnsi="Arial" w:cs="Arial"/>
          <w:sz w:val="24"/>
          <w:szCs w:val="24"/>
        </w:rPr>
        <w:t xml:space="preserve"> purpose of school leadership is to ensure effective teaching and learning </w:t>
      </w:r>
      <w:r>
        <w:rPr>
          <w:rFonts w:ascii="Arial" w:hAnsi="Arial" w:cs="Arial"/>
          <w:sz w:val="24"/>
          <w:szCs w:val="24"/>
        </w:rPr>
        <w:t>occur in the</w:t>
      </w:r>
      <w:r w:rsidRPr="00F118A5">
        <w:rPr>
          <w:rFonts w:ascii="Arial" w:hAnsi="Arial" w:cs="Arial"/>
          <w:sz w:val="24"/>
          <w:szCs w:val="24"/>
        </w:rPr>
        <w:t xml:space="preserve"> school</w:t>
      </w:r>
      <w:r>
        <w:rPr>
          <w:rFonts w:ascii="Arial" w:hAnsi="Arial" w:cs="Arial"/>
          <w:sz w:val="24"/>
          <w:szCs w:val="24"/>
        </w:rPr>
        <w:t xml:space="preserve"> </w:t>
      </w:r>
      <w:r w:rsidRPr="00F118A5">
        <w:rPr>
          <w:rFonts w:ascii="Arial" w:hAnsi="Arial" w:cs="Arial"/>
          <w:noProof/>
          <w:sz w:val="24"/>
          <w:szCs w:val="24"/>
        </w:rPr>
        <w:t>(Rees, 2020)</w:t>
      </w:r>
      <w:r w:rsidRPr="00F118A5">
        <w:rPr>
          <w:rFonts w:ascii="Arial" w:hAnsi="Arial" w:cs="Arial"/>
          <w:sz w:val="24"/>
          <w:szCs w:val="24"/>
        </w:rPr>
        <w:t>. However, in my professional experience</w:t>
      </w:r>
      <w:r>
        <w:rPr>
          <w:rFonts w:ascii="Arial" w:hAnsi="Arial" w:cs="Arial"/>
          <w:sz w:val="24"/>
          <w:szCs w:val="24"/>
        </w:rPr>
        <w:t>,</w:t>
      </w:r>
      <w:r w:rsidRPr="00F118A5">
        <w:rPr>
          <w:rFonts w:ascii="Arial" w:hAnsi="Arial" w:cs="Arial"/>
          <w:sz w:val="24"/>
          <w:szCs w:val="24"/>
        </w:rPr>
        <w:t xml:space="preserve"> that may be easier said than done. As Hawkins and James (2018) discuss, schools are considered complex human systems due to the organisational characteristics and components that interact within </w:t>
      </w:r>
      <w:r>
        <w:rPr>
          <w:rFonts w:ascii="Arial" w:hAnsi="Arial" w:cs="Arial"/>
          <w:sz w:val="24"/>
          <w:szCs w:val="24"/>
        </w:rPr>
        <w:t>them</w:t>
      </w:r>
      <w:r w:rsidRPr="00F118A5">
        <w:rPr>
          <w:rFonts w:ascii="Arial" w:hAnsi="Arial" w:cs="Arial"/>
          <w:sz w:val="24"/>
          <w:szCs w:val="24"/>
        </w:rPr>
        <w:t xml:space="preserve"> at a micro, </w:t>
      </w:r>
      <w:proofErr w:type="spellStart"/>
      <w:r w:rsidRPr="00F118A5">
        <w:rPr>
          <w:rFonts w:ascii="Arial" w:hAnsi="Arial" w:cs="Arial"/>
          <w:sz w:val="24"/>
          <w:szCs w:val="24"/>
        </w:rPr>
        <w:t>meso</w:t>
      </w:r>
      <w:proofErr w:type="spellEnd"/>
      <w:r w:rsidRPr="00F118A5">
        <w:rPr>
          <w:rFonts w:ascii="Arial" w:hAnsi="Arial" w:cs="Arial"/>
          <w:sz w:val="24"/>
          <w:szCs w:val="24"/>
        </w:rPr>
        <w:t xml:space="preserve"> and macro level. Within any school, especially a large secondary school, there are many complex systems within the </w:t>
      </w:r>
      <w:r>
        <w:rPr>
          <w:rFonts w:ascii="Arial" w:hAnsi="Arial" w:cs="Arial"/>
          <w:sz w:val="24"/>
          <w:szCs w:val="24"/>
        </w:rPr>
        <w:t>more extensive</w:t>
      </w:r>
      <w:r w:rsidRPr="00F118A5">
        <w:rPr>
          <w:rFonts w:ascii="Arial" w:hAnsi="Arial" w:cs="Arial"/>
          <w:sz w:val="24"/>
          <w:szCs w:val="24"/>
        </w:rPr>
        <w:t xml:space="preserve"> system. These are the teaching staff system, ancillary staff system, student system, parent</w:t>
      </w:r>
      <w:r>
        <w:rPr>
          <w:rFonts w:ascii="Arial" w:hAnsi="Arial" w:cs="Arial"/>
          <w:sz w:val="24"/>
          <w:szCs w:val="24"/>
        </w:rPr>
        <w:t xml:space="preserve"> system, and broader system, which includes the government, examination bodies,</w:t>
      </w:r>
      <w:r w:rsidRPr="00F118A5">
        <w:rPr>
          <w:rFonts w:ascii="Arial" w:hAnsi="Arial" w:cs="Arial"/>
          <w:sz w:val="24"/>
          <w:szCs w:val="24"/>
        </w:rPr>
        <w:t xml:space="preserve"> and</w:t>
      </w:r>
      <w:r>
        <w:rPr>
          <w:rFonts w:ascii="Arial" w:hAnsi="Arial" w:cs="Arial"/>
          <w:sz w:val="24"/>
          <w:szCs w:val="24"/>
        </w:rPr>
        <w:t xml:space="preserve"> school</w:t>
      </w:r>
      <w:r w:rsidRPr="00F118A5">
        <w:rPr>
          <w:rFonts w:ascii="Arial" w:hAnsi="Arial" w:cs="Arial"/>
          <w:sz w:val="24"/>
          <w:szCs w:val="24"/>
        </w:rPr>
        <w:t xml:space="preserve"> inspectorate (Hawkins and James, 2018). Hence, school leadership is a role that must address problems and challenges </w:t>
      </w:r>
      <w:r w:rsidRPr="00F118A5">
        <w:rPr>
          <w:rFonts w:ascii="Arial" w:hAnsi="Arial" w:cs="Arial"/>
          <w:noProof/>
          <w:sz w:val="24"/>
          <w:szCs w:val="24"/>
        </w:rPr>
        <w:t xml:space="preserve">(Barker </w:t>
      </w:r>
      <w:r>
        <w:rPr>
          <w:rFonts w:ascii="Arial" w:hAnsi="Arial" w:cs="Arial"/>
          <w:noProof/>
          <w:sz w:val="24"/>
          <w:szCs w:val="24"/>
        </w:rPr>
        <w:t>and</w:t>
      </w:r>
      <w:r w:rsidRPr="00F118A5">
        <w:rPr>
          <w:rFonts w:ascii="Arial" w:hAnsi="Arial" w:cs="Arial"/>
          <w:noProof/>
          <w:sz w:val="24"/>
          <w:szCs w:val="24"/>
        </w:rPr>
        <w:t xml:space="preserve"> Rees, 2020)</w:t>
      </w:r>
      <w:r w:rsidRPr="00F118A5">
        <w:rPr>
          <w:rFonts w:ascii="Arial" w:hAnsi="Arial" w:cs="Arial"/>
          <w:sz w:val="24"/>
          <w:szCs w:val="24"/>
        </w:rPr>
        <w:t xml:space="preserve"> </w:t>
      </w:r>
      <w:r>
        <w:rPr>
          <w:rFonts w:ascii="Arial" w:hAnsi="Arial" w:cs="Arial"/>
          <w:sz w:val="24"/>
          <w:szCs w:val="24"/>
        </w:rPr>
        <w:t>which arise because of the interactions within and across these different parts of the school</w:t>
      </w:r>
      <w:r w:rsidRPr="00F118A5">
        <w:rPr>
          <w:rFonts w:ascii="Arial" w:hAnsi="Arial" w:cs="Arial"/>
          <w:sz w:val="24"/>
          <w:szCs w:val="24"/>
        </w:rPr>
        <w:t xml:space="preserve"> system. These interactions are variable, culturally shaped, motivated, intentional</w:t>
      </w:r>
      <w:r>
        <w:rPr>
          <w:rFonts w:ascii="Arial" w:hAnsi="Arial" w:cs="Arial"/>
          <w:sz w:val="24"/>
          <w:szCs w:val="24"/>
        </w:rPr>
        <w:t>, and influenced by the quality of feedback that they receive because of them</w:t>
      </w:r>
      <w:r w:rsidRPr="00F118A5">
        <w:rPr>
          <w:rFonts w:ascii="Arial" w:hAnsi="Arial" w:cs="Arial"/>
          <w:sz w:val="24"/>
          <w:szCs w:val="24"/>
        </w:rPr>
        <w:t xml:space="preserve">. Hence, this determines the ‘how and what’ members of the organisation do, not only </w:t>
      </w:r>
      <w:r>
        <w:rPr>
          <w:rFonts w:ascii="Arial" w:hAnsi="Arial" w:cs="Arial"/>
          <w:sz w:val="24"/>
          <w:szCs w:val="24"/>
        </w:rPr>
        <w:t>‘</w:t>
      </w:r>
      <w:r w:rsidRPr="00F118A5">
        <w:rPr>
          <w:rFonts w:ascii="Arial" w:hAnsi="Arial" w:cs="Arial"/>
          <w:sz w:val="24"/>
          <w:szCs w:val="24"/>
        </w:rPr>
        <w:t xml:space="preserve">in the </w:t>
      </w:r>
      <w:r w:rsidRPr="008D3FE7">
        <w:rPr>
          <w:rFonts w:ascii="Arial" w:hAnsi="Arial" w:cs="Arial"/>
          <w:sz w:val="24"/>
          <w:szCs w:val="24"/>
        </w:rPr>
        <w:t>now</w:t>
      </w:r>
      <w:r>
        <w:rPr>
          <w:rFonts w:ascii="Arial" w:hAnsi="Arial" w:cs="Arial"/>
          <w:i/>
          <w:iCs/>
          <w:sz w:val="24"/>
          <w:szCs w:val="24"/>
        </w:rPr>
        <w:t>’</w:t>
      </w:r>
      <w:r w:rsidRPr="00F118A5">
        <w:rPr>
          <w:rFonts w:ascii="Arial" w:hAnsi="Arial" w:cs="Arial"/>
          <w:sz w:val="24"/>
          <w:szCs w:val="24"/>
        </w:rPr>
        <w:t xml:space="preserve"> but</w:t>
      </w:r>
      <w:r>
        <w:rPr>
          <w:rFonts w:ascii="Arial" w:hAnsi="Arial" w:cs="Arial"/>
          <w:sz w:val="24"/>
          <w:szCs w:val="24"/>
        </w:rPr>
        <w:t xml:space="preserve"> also</w:t>
      </w:r>
      <w:r w:rsidRPr="00F118A5">
        <w:rPr>
          <w:rFonts w:ascii="Arial" w:hAnsi="Arial" w:cs="Arial"/>
          <w:sz w:val="24"/>
          <w:szCs w:val="24"/>
        </w:rPr>
        <w:t xml:space="preserve"> </w:t>
      </w:r>
      <w:r>
        <w:rPr>
          <w:rFonts w:ascii="Arial" w:hAnsi="Arial" w:cs="Arial"/>
          <w:sz w:val="24"/>
          <w:szCs w:val="24"/>
        </w:rPr>
        <w:t>‘</w:t>
      </w:r>
      <w:r w:rsidRPr="00F118A5">
        <w:rPr>
          <w:rFonts w:ascii="Arial" w:hAnsi="Arial" w:cs="Arial"/>
          <w:sz w:val="24"/>
          <w:szCs w:val="24"/>
        </w:rPr>
        <w:t>in the future</w:t>
      </w:r>
      <w:r>
        <w:rPr>
          <w:rFonts w:ascii="Arial" w:hAnsi="Arial" w:cs="Arial"/>
          <w:sz w:val="24"/>
          <w:szCs w:val="24"/>
        </w:rPr>
        <w:t>’</w:t>
      </w:r>
      <w:r w:rsidRPr="00F118A5">
        <w:rPr>
          <w:rFonts w:ascii="Arial" w:hAnsi="Arial" w:cs="Arial"/>
          <w:sz w:val="24"/>
          <w:szCs w:val="24"/>
        </w:rPr>
        <w:t xml:space="preserve"> (Hawkins and James, 2018). </w:t>
      </w:r>
    </w:p>
    <w:p w14:paraId="52DB0E6E" w14:textId="77777777" w:rsidR="00B67E48" w:rsidRPr="00F118A5" w:rsidRDefault="00B67E48" w:rsidP="00B67E48">
      <w:pPr>
        <w:spacing w:line="360" w:lineRule="auto"/>
        <w:jc w:val="both"/>
        <w:rPr>
          <w:rFonts w:ascii="Arial" w:hAnsi="Arial" w:cs="Arial"/>
          <w:sz w:val="24"/>
          <w:szCs w:val="24"/>
        </w:rPr>
      </w:pPr>
      <w:r w:rsidRPr="00F118A5">
        <w:rPr>
          <w:rFonts w:ascii="Arial" w:hAnsi="Arial" w:cs="Arial"/>
          <w:sz w:val="24"/>
          <w:szCs w:val="24"/>
        </w:rPr>
        <w:t>This study will be located within the teaching staff system, focussing on teacher professional development. As such, it must be acknowledged that within the teaching staff system, there will be sub-systems in operation, formal and informal</w:t>
      </w:r>
      <w:r>
        <w:rPr>
          <w:rFonts w:ascii="Arial" w:hAnsi="Arial" w:cs="Arial"/>
          <w:sz w:val="24"/>
          <w:szCs w:val="24"/>
        </w:rPr>
        <w:t>, that</w:t>
      </w:r>
      <w:r w:rsidRPr="00F118A5">
        <w:rPr>
          <w:rFonts w:ascii="Arial" w:hAnsi="Arial" w:cs="Arial"/>
          <w:sz w:val="24"/>
          <w:szCs w:val="24"/>
        </w:rPr>
        <w:t xml:space="preserve"> influence what teachers do because of their interactions with other teachers. It will be these teachers who will be seeking to influence and change those in the student system. They will be seeking to address the problems and challenges presented to them from across the whole system. These are considered as ‘wicked’ problems. </w:t>
      </w:r>
    </w:p>
    <w:p w14:paraId="38C56F2C" w14:textId="77777777" w:rsidR="00B67E48" w:rsidRPr="00F118A5" w:rsidRDefault="00B67E48" w:rsidP="00B67E48">
      <w:pPr>
        <w:spacing w:line="360" w:lineRule="auto"/>
        <w:jc w:val="both"/>
        <w:rPr>
          <w:rFonts w:ascii="Arial" w:hAnsi="Arial" w:cs="Arial"/>
          <w:sz w:val="24"/>
          <w:szCs w:val="24"/>
        </w:rPr>
      </w:pPr>
      <w:r w:rsidRPr="00F118A5">
        <w:rPr>
          <w:rFonts w:ascii="Arial" w:hAnsi="Arial" w:cs="Arial"/>
          <w:sz w:val="24"/>
          <w:szCs w:val="24"/>
        </w:rPr>
        <w:t xml:space="preserve">Horn and Weber (2007) draw upon Rittel and Weber’s description of ‘wicked’ problems as being related to and composed of intractable problems and interconnected systems with systems. </w:t>
      </w:r>
      <w:proofErr w:type="spellStart"/>
      <w:r w:rsidRPr="00F118A5">
        <w:rPr>
          <w:rFonts w:ascii="Arial" w:hAnsi="Arial" w:cs="Arial"/>
          <w:sz w:val="24"/>
          <w:szCs w:val="24"/>
        </w:rPr>
        <w:t>Margelois</w:t>
      </w:r>
      <w:proofErr w:type="spellEnd"/>
      <w:r w:rsidRPr="00F118A5">
        <w:rPr>
          <w:rFonts w:ascii="Arial" w:hAnsi="Arial" w:cs="Arial"/>
          <w:sz w:val="24"/>
          <w:szCs w:val="24"/>
        </w:rPr>
        <w:t xml:space="preserve"> and Buchanan (1995) outline some defining features of wicked problems, </w:t>
      </w:r>
    </w:p>
    <w:p w14:paraId="0946C354" w14:textId="77777777" w:rsidR="00B67E48" w:rsidRPr="00F118A5" w:rsidRDefault="00B67E48" w:rsidP="00B67E48">
      <w:pPr>
        <w:pStyle w:val="ListParagraph"/>
        <w:numPr>
          <w:ilvl w:val="1"/>
          <w:numId w:val="1"/>
        </w:numPr>
        <w:spacing w:line="360" w:lineRule="auto"/>
        <w:jc w:val="both"/>
        <w:rPr>
          <w:rFonts w:ascii="Arial" w:hAnsi="Arial" w:cs="Arial"/>
          <w:sz w:val="24"/>
          <w:szCs w:val="24"/>
        </w:rPr>
      </w:pPr>
      <w:r w:rsidRPr="00F118A5">
        <w:rPr>
          <w:rFonts w:ascii="Arial" w:hAnsi="Arial" w:cs="Arial"/>
          <w:sz w:val="24"/>
          <w:szCs w:val="24"/>
        </w:rPr>
        <w:t>Wicked problems have many interdependencies.</w:t>
      </w:r>
    </w:p>
    <w:p w14:paraId="7AC026E8" w14:textId="77777777" w:rsidR="00B67E48" w:rsidRPr="00F118A5" w:rsidRDefault="00B67E48" w:rsidP="00B67E48">
      <w:pPr>
        <w:pStyle w:val="ListParagraph"/>
        <w:numPr>
          <w:ilvl w:val="1"/>
          <w:numId w:val="1"/>
        </w:numPr>
        <w:spacing w:line="360" w:lineRule="auto"/>
        <w:jc w:val="both"/>
        <w:rPr>
          <w:rFonts w:ascii="Arial" w:hAnsi="Arial" w:cs="Arial"/>
          <w:sz w:val="24"/>
          <w:szCs w:val="24"/>
        </w:rPr>
      </w:pPr>
      <w:r w:rsidRPr="00F118A5">
        <w:rPr>
          <w:rFonts w:ascii="Arial" w:hAnsi="Arial" w:cs="Arial"/>
          <w:sz w:val="24"/>
          <w:szCs w:val="24"/>
        </w:rPr>
        <w:t xml:space="preserve">Wicked problems involve changing behaviour. </w:t>
      </w:r>
    </w:p>
    <w:p w14:paraId="38A197BB" w14:textId="77777777" w:rsidR="00B67E48" w:rsidRPr="00F118A5" w:rsidRDefault="00B67E48" w:rsidP="00B67E48">
      <w:pPr>
        <w:pStyle w:val="ListParagraph"/>
        <w:numPr>
          <w:ilvl w:val="1"/>
          <w:numId w:val="1"/>
        </w:numPr>
        <w:spacing w:line="360" w:lineRule="auto"/>
        <w:jc w:val="both"/>
        <w:rPr>
          <w:rFonts w:ascii="Arial" w:hAnsi="Arial" w:cs="Arial"/>
          <w:sz w:val="24"/>
          <w:szCs w:val="24"/>
        </w:rPr>
      </w:pPr>
      <w:r w:rsidRPr="00F118A5">
        <w:rPr>
          <w:rFonts w:ascii="Arial" w:hAnsi="Arial" w:cs="Arial"/>
          <w:sz w:val="24"/>
          <w:szCs w:val="24"/>
        </w:rPr>
        <w:t>Wicked problems are socially complex</w:t>
      </w:r>
      <w:r>
        <w:rPr>
          <w:rFonts w:ascii="Arial" w:hAnsi="Arial" w:cs="Arial"/>
          <w:sz w:val="24"/>
          <w:szCs w:val="24"/>
        </w:rPr>
        <w:t>.</w:t>
      </w:r>
    </w:p>
    <w:p w14:paraId="2A46A7BE" w14:textId="77777777" w:rsidR="00B67E48" w:rsidRPr="00F118A5" w:rsidRDefault="00B67E48" w:rsidP="00B67E48">
      <w:pPr>
        <w:pStyle w:val="ListParagraph"/>
        <w:numPr>
          <w:ilvl w:val="1"/>
          <w:numId w:val="1"/>
        </w:numPr>
        <w:spacing w:line="360" w:lineRule="auto"/>
        <w:jc w:val="both"/>
        <w:rPr>
          <w:rFonts w:ascii="Arial" w:hAnsi="Arial" w:cs="Arial"/>
          <w:sz w:val="24"/>
          <w:szCs w:val="24"/>
        </w:rPr>
      </w:pPr>
      <w:r w:rsidRPr="00F118A5">
        <w:rPr>
          <w:rFonts w:ascii="Arial" w:hAnsi="Arial" w:cs="Arial"/>
          <w:sz w:val="24"/>
          <w:szCs w:val="24"/>
        </w:rPr>
        <w:lastRenderedPageBreak/>
        <w:t>Wicked problems have more than one possible explanation</w:t>
      </w:r>
      <w:r>
        <w:rPr>
          <w:rFonts w:ascii="Arial" w:hAnsi="Arial" w:cs="Arial"/>
          <w:sz w:val="24"/>
          <w:szCs w:val="24"/>
        </w:rPr>
        <w:t>.</w:t>
      </w:r>
    </w:p>
    <w:p w14:paraId="739DF073" w14:textId="77777777" w:rsidR="00B67E48" w:rsidRPr="00F118A5" w:rsidRDefault="00B67E48" w:rsidP="00B67E48">
      <w:pPr>
        <w:pStyle w:val="ListParagraph"/>
        <w:numPr>
          <w:ilvl w:val="1"/>
          <w:numId w:val="1"/>
        </w:numPr>
        <w:spacing w:line="360" w:lineRule="auto"/>
        <w:jc w:val="both"/>
        <w:rPr>
          <w:rFonts w:ascii="Arial" w:hAnsi="Arial" w:cs="Arial"/>
          <w:sz w:val="24"/>
          <w:szCs w:val="24"/>
        </w:rPr>
      </w:pPr>
      <w:r w:rsidRPr="00F118A5">
        <w:rPr>
          <w:rFonts w:ascii="Arial" w:hAnsi="Arial" w:cs="Arial"/>
          <w:sz w:val="24"/>
          <w:szCs w:val="24"/>
        </w:rPr>
        <w:t>Every wicked problem is unique</w:t>
      </w:r>
      <w:r>
        <w:rPr>
          <w:rFonts w:ascii="Arial" w:hAnsi="Arial" w:cs="Arial"/>
          <w:sz w:val="24"/>
          <w:szCs w:val="24"/>
        </w:rPr>
        <w:t>.</w:t>
      </w:r>
    </w:p>
    <w:p w14:paraId="0D1E501C" w14:textId="77777777" w:rsidR="00B67E48" w:rsidRPr="00F118A5" w:rsidRDefault="00B67E48" w:rsidP="00B67E48">
      <w:pPr>
        <w:spacing w:line="360" w:lineRule="auto"/>
        <w:jc w:val="both"/>
        <w:rPr>
          <w:rFonts w:ascii="Arial" w:hAnsi="Arial" w:cs="Arial"/>
          <w:sz w:val="24"/>
          <w:szCs w:val="24"/>
        </w:rPr>
      </w:pPr>
      <w:r w:rsidRPr="00F118A5">
        <w:rPr>
          <w:rFonts w:ascii="Arial" w:hAnsi="Arial" w:cs="Arial"/>
          <w:sz w:val="24"/>
          <w:szCs w:val="24"/>
        </w:rPr>
        <w:t>Wright (2011) developed this further in describing schools as Complex Adaptive Systems according to Plsek and Greenhalgh (2001)</w:t>
      </w:r>
      <w:r>
        <w:rPr>
          <w:rFonts w:ascii="Arial" w:hAnsi="Arial" w:cs="Arial"/>
          <w:sz w:val="24"/>
          <w:szCs w:val="24"/>
        </w:rPr>
        <w:t>,</w:t>
      </w:r>
      <w:r w:rsidRPr="00F118A5">
        <w:rPr>
          <w:rFonts w:ascii="Arial" w:hAnsi="Arial" w:cs="Arial"/>
          <w:sz w:val="24"/>
          <w:szCs w:val="24"/>
        </w:rPr>
        <w:t xml:space="preserve"> who define a complex adaptive system as </w:t>
      </w:r>
      <w:r>
        <w:rPr>
          <w:rFonts w:ascii="Arial" w:hAnsi="Arial" w:cs="Arial"/>
          <w:sz w:val="24"/>
          <w:szCs w:val="24"/>
        </w:rPr>
        <w:tab/>
      </w:r>
      <w:r w:rsidRPr="00F118A5">
        <w:rPr>
          <w:rFonts w:ascii="Arial" w:hAnsi="Arial" w:cs="Arial"/>
          <w:sz w:val="24"/>
          <w:szCs w:val="24"/>
        </w:rPr>
        <w:br/>
      </w:r>
    </w:p>
    <w:p w14:paraId="5EF3FE0A" w14:textId="77777777" w:rsidR="00B67E48" w:rsidRPr="00F118A5" w:rsidRDefault="00B67E48" w:rsidP="00B67E48">
      <w:pPr>
        <w:spacing w:line="360" w:lineRule="auto"/>
        <w:ind w:left="720"/>
        <w:jc w:val="both"/>
        <w:rPr>
          <w:rFonts w:ascii="Arial" w:hAnsi="Arial" w:cs="Arial"/>
          <w:b/>
          <w:bCs/>
          <w:sz w:val="24"/>
          <w:szCs w:val="24"/>
        </w:rPr>
      </w:pPr>
      <w:r w:rsidRPr="00F118A5">
        <w:rPr>
          <w:rFonts w:ascii="Arial" w:hAnsi="Arial" w:cs="Arial"/>
          <w:sz w:val="24"/>
          <w:szCs w:val="24"/>
        </w:rPr>
        <w:t>“… a collection of individual agents with freedom to act in ways that are not always totally predictable, and whose actions are interconnected so that one agent’s actions change the context for other agents.”</w:t>
      </w:r>
    </w:p>
    <w:p w14:paraId="5165A47E" w14:textId="77777777" w:rsidR="00B67E48" w:rsidRPr="00F118A5" w:rsidRDefault="00B67E48" w:rsidP="00B67E48">
      <w:pPr>
        <w:spacing w:line="360" w:lineRule="auto"/>
        <w:jc w:val="both"/>
        <w:rPr>
          <w:rFonts w:ascii="Arial" w:hAnsi="Arial" w:cs="Arial"/>
          <w:sz w:val="24"/>
          <w:szCs w:val="24"/>
        </w:rPr>
      </w:pPr>
      <w:r w:rsidRPr="00F118A5">
        <w:rPr>
          <w:rFonts w:ascii="Arial" w:hAnsi="Arial" w:cs="Arial"/>
          <w:sz w:val="24"/>
          <w:szCs w:val="24"/>
        </w:rPr>
        <w:t>A school leader seeking to improve teaching and learning can be considered a ‘wicked’ problem. Why? It is not easy to define, as there are multiple perspectives, and each classroom arena is unique due to the number and nature of the interactions within a complex human system (Hawkins and James, 2018). Shulman (2004, p.504) contests that classroom teaching “is perhaps the most complex, most challenging, most demanding, subtle, nuanced, and frightening activity our species has ever invented”.</w:t>
      </w:r>
      <w:r w:rsidRPr="00F118A5">
        <w:rPr>
          <w:rFonts w:ascii="Arial" w:hAnsi="Arial" w:cs="Arial"/>
          <w:noProof/>
          <w:sz w:val="24"/>
          <w:szCs w:val="24"/>
        </w:rPr>
        <w:t xml:space="preserve"> </w:t>
      </w:r>
    </w:p>
    <w:p w14:paraId="43644DF7" w14:textId="77777777" w:rsidR="00B67E48" w:rsidRDefault="00B67E48" w:rsidP="00B67E48">
      <w:pPr>
        <w:spacing w:line="360" w:lineRule="auto"/>
        <w:jc w:val="both"/>
        <w:rPr>
          <w:rFonts w:ascii="Arial" w:hAnsi="Arial" w:cs="Arial"/>
          <w:sz w:val="24"/>
          <w:szCs w:val="24"/>
        </w:rPr>
      </w:pPr>
      <w:r w:rsidRPr="00F118A5">
        <w:rPr>
          <w:rFonts w:ascii="Arial" w:hAnsi="Arial" w:cs="Arial"/>
          <w:sz w:val="24"/>
          <w:szCs w:val="24"/>
        </w:rPr>
        <w:t xml:space="preserve">As a professional </w:t>
      </w:r>
      <w:r>
        <w:rPr>
          <w:rFonts w:ascii="Arial" w:hAnsi="Arial" w:cs="Arial"/>
          <w:sz w:val="24"/>
          <w:szCs w:val="24"/>
        </w:rPr>
        <w:t xml:space="preserve">with experience at the system's micro, </w:t>
      </w:r>
      <w:proofErr w:type="spellStart"/>
      <w:r>
        <w:rPr>
          <w:rFonts w:ascii="Arial" w:hAnsi="Arial" w:cs="Arial"/>
          <w:sz w:val="24"/>
          <w:szCs w:val="24"/>
        </w:rPr>
        <w:t>meso</w:t>
      </w:r>
      <w:proofErr w:type="spellEnd"/>
      <w:r>
        <w:rPr>
          <w:rFonts w:ascii="Arial" w:hAnsi="Arial" w:cs="Arial"/>
          <w:sz w:val="24"/>
          <w:szCs w:val="24"/>
        </w:rPr>
        <w:t>, and macro levels, I believe the problems and challenges I encountered in the various roles, could only have been solved by possessing large amounts of domain-specific knowledge of the environment in which I was working</w:t>
      </w:r>
      <w:r w:rsidRPr="00F118A5">
        <w:rPr>
          <w:rFonts w:ascii="Arial" w:hAnsi="Arial" w:cs="Arial"/>
          <w:sz w:val="24"/>
          <w:szCs w:val="24"/>
        </w:rPr>
        <w:t xml:space="preserve">. For example, </w:t>
      </w:r>
      <w:r>
        <w:rPr>
          <w:rFonts w:ascii="Arial" w:hAnsi="Arial" w:cs="Arial"/>
          <w:sz w:val="24"/>
          <w:szCs w:val="24"/>
        </w:rPr>
        <w:t>supporting novice teachers in improving the quality of their mathematics teaching required me, as the Head of Mathematics, to have knowledge and understanding of their issues; there</w:t>
      </w:r>
      <w:r w:rsidRPr="00F118A5">
        <w:rPr>
          <w:rFonts w:ascii="Arial" w:hAnsi="Arial" w:cs="Arial"/>
          <w:sz w:val="24"/>
          <w:szCs w:val="24"/>
        </w:rPr>
        <w:t xml:space="preserve"> was a need to create the space to promote an innovative culture underpinned by collaboration and reflection.  </w:t>
      </w:r>
      <w:r>
        <w:rPr>
          <w:rFonts w:ascii="Arial" w:hAnsi="Arial" w:cs="Arial"/>
          <w:sz w:val="24"/>
          <w:szCs w:val="24"/>
        </w:rPr>
        <w:t xml:space="preserve">Schon (1992) suggests that </w:t>
      </w:r>
      <w:proofErr w:type="gramStart"/>
      <w:r>
        <w:rPr>
          <w:rFonts w:ascii="Arial" w:hAnsi="Arial" w:cs="Arial"/>
          <w:sz w:val="24"/>
          <w:szCs w:val="24"/>
        </w:rPr>
        <w:t>in order to</w:t>
      </w:r>
      <w:proofErr w:type="gramEnd"/>
      <w:r>
        <w:rPr>
          <w:rFonts w:ascii="Arial" w:hAnsi="Arial" w:cs="Arial"/>
          <w:sz w:val="24"/>
          <w:szCs w:val="24"/>
        </w:rPr>
        <w:t xml:space="preserve"> make sense of uncertain situations, which may not initially make sense, teachers must manage uncertainty and challenges presented to them through reflective practice. They draw upon their domain-specific knowledge or process their new knowledge and experiences, which will, in turn, shape their current and future behaviour (Shulman, 2000). </w:t>
      </w:r>
      <w:r w:rsidRPr="00F118A5">
        <w:rPr>
          <w:rFonts w:ascii="Arial" w:hAnsi="Arial" w:cs="Arial"/>
          <w:sz w:val="24"/>
          <w:szCs w:val="24"/>
        </w:rPr>
        <w:t>Hawkins and James (2018, p.742) emphasise that developing reflective processes within the whole-school system is a ‘…powerful source of evolution’, especially within the teaching staff system. Through the reflective process</w:t>
      </w:r>
      <w:r>
        <w:rPr>
          <w:rFonts w:ascii="Arial" w:hAnsi="Arial" w:cs="Arial"/>
          <w:sz w:val="24"/>
          <w:szCs w:val="24"/>
        </w:rPr>
        <w:t xml:space="preserve">, one can explore new possibilities for solving complex problems, which enables them to develop agency and </w:t>
      </w:r>
      <w:r w:rsidRPr="004E1264">
        <w:rPr>
          <w:rFonts w:ascii="Arial" w:hAnsi="Arial" w:cs="Arial"/>
          <w:sz w:val="24"/>
          <w:szCs w:val="24"/>
          <w:highlight w:val="yellow"/>
        </w:rPr>
        <w:t>d</w:t>
      </w:r>
      <w:r w:rsidRPr="00F118A5">
        <w:rPr>
          <w:rFonts w:ascii="Arial" w:hAnsi="Arial" w:cs="Arial"/>
          <w:sz w:val="24"/>
          <w:szCs w:val="24"/>
        </w:rPr>
        <w:t xml:space="preserve"> to ‘…work at the edge of knowledge and experience’ (Plsek and Greenhalgh, 2001, p. 627).</w:t>
      </w:r>
      <w:r>
        <w:rPr>
          <w:rFonts w:ascii="Arial" w:hAnsi="Arial" w:cs="Arial"/>
          <w:sz w:val="24"/>
          <w:szCs w:val="24"/>
        </w:rPr>
        <w:t xml:space="preserve"> Di Stefano et al. (2023) revealed </w:t>
      </w:r>
      <w:r>
        <w:rPr>
          <w:rFonts w:ascii="Arial" w:hAnsi="Arial" w:cs="Arial"/>
          <w:sz w:val="24"/>
          <w:szCs w:val="24"/>
        </w:rPr>
        <w:lastRenderedPageBreak/>
        <w:t>that through this reflective process, teachers and leaders can subsequently increase teacher self-efficacy. Thus, ensuring long-term teacher effectiveness enhancement is pivotal for student progress (Karim et al., 2021).</w:t>
      </w:r>
    </w:p>
    <w:p w14:paraId="7A0FCE8D" w14:textId="77777777" w:rsidR="00B67E48" w:rsidRPr="009606F1" w:rsidRDefault="00B67E48" w:rsidP="00B67E48">
      <w:pPr>
        <w:spacing w:line="360" w:lineRule="auto"/>
        <w:jc w:val="both"/>
        <w:rPr>
          <w:rFonts w:ascii="Arial" w:hAnsi="Arial" w:cs="Arial"/>
          <w:b/>
          <w:bCs/>
          <w:sz w:val="24"/>
          <w:szCs w:val="24"/>
        </w:rPr>
      </w:pPr>
      <w:r>
        <w:rPr>
          <w:rFonts w:ascii="Arial" w:hAnsi="Arial" w:cs="Arial"/>
          <w:b/>
          <w:bCs/>
          <w:sz w:val="24"/>
          <w:szCs w:val="24"/>
        </w:rPr>
        <w:t xml:space="preserve">1.2 </w:t>
      </w:r>
      <w:r w:rsidRPr="009606F1">
        <w:rPr>
          <w:rFonts w:ascii="Arial" w:hAnsi="Arial" w:cs="Arial"/>
          <w:b/>
          <w:bCs/>
          <w:sz w:val="24"/>
          <w:szCs w:val="24"/>
        </w:rPr>
        <w:t>Research Significance</w:t>
      </w:r>
    </w:p>
    <w:p w14:paraId="4B73DE8C" w14:textId="77777777" w:rsidR="00B67E48" w:rsidRPr="00F118A5" w:rsidRDefault="00B67E48" w:rsidP="00B67E48">
      <w:pPr>
        <w:spacing w:line="360" w:lineRule="auto"/>
        <w:jc w:val="both"/>
        <w:rPr>
          <w:rFonts w:ascii="Arial" w:hAnsi="Arial" w:cs="Arial"/>
          <w:sz w:val="24"/>
          <w:szCs w:val="24"/>
        </w:rPr>
      </w:pPr>
      <w:r>
        <w:rPr>
          <w:rFonts w:ascii="Arial" w:hAnsi="Arial" w:cs="Arial"/>
          <w:sz w:val="24"/>
          <w:szCs w:val="24"/>
        </w:rPr>
        <w:t>Over the last 20 years, research</w:t>
      </w:r>
      <w:r w:rsidRPr="00F118A5">
        <w:rPr>
          <w:rFonts w:ascii="Arial" w:hAnsi="Arial" w:cs="Arial"/>
          <w:sz w:val="24"/>
          <w:szCs w:val="24"/>
        </w:rPr>
        <w:t xml:space="preserve"> suggests that the ‘teacher effect’ offsets the ‘school effect’ on student achievement </w:t>
      </w:r>
      <w:r w:rsidRPr="00F118A5">
        <w:rPr>
          <w:rFonts w:ascii="Arial" w:hAnsi="Arial" w:cs="Arial"/>
          <w:noProof/>
          <w:sz w:val="24"/>
          <w:szCs w:val="24"/>
        </w:rPr>
        <w:t xml:space="preserve">(Muijs </w:t>
      </w:r>
      <w:r>
        <w:rPr>
          <w:rFonts w:ascii="Arial" w:hAnsi="Arial" w:cs="Arial"/>
          <w:noProof/>
          <w:sz w:val="24"/>
          <w:szCs w:val="24"/>
        </w:rPr>
        <w:t>and</w:t>
      </w:r>
      <w:r w:rsidRPr="00F118A5">
        <w:rPr>
          <w:rFonts w:ascii="Arial" w:hAnsi="Arial" w:cs="Arial"/>
          <w:noProof/>
          <w:sz w:val="24"/>
          <w:szCs w:val="24"/>
        </w:rPr>
        <w:t xml:space="preserve"> Reynolds, 2003)</w:t>
      </w:r>
      <w:r w:rsidRPr="00F118A5">
        <w:rPr>
          <w:rFonts w:ascii="Arial" w:hAnsi="Arial" w:cs="Arial"/>
          <w:sz w:val="24"/>
          <w:szCs w:val="24"/>
        </w:rPr>
        <w:t xml:space="preserve">. This is more significant for students attending schools with higher proportions of students eligible for free school meals </w:t>
      </w:r>
      <w:r w:rsidRPr="00F118A5">
        <w:rPr>
          <w:rFonts w:ascii="Arial" w:hAnsi="Arial" w:cs="Arial"/>
          <w:noProof/>
          <w:sz w:val="24"/>
          <w:szCs w:val="24"/>
        </w:rPr>
        <w:t xml:space="preserve">(Nye, Konstantopoulos, </w:t>
      </w:r>
      <w:r>
        <w:rPr>
          <w:rFonts w:ascii="Arial" w:hAnsi="Arial" w:cs="Arial"/>
          <w:noProof/>
          <w:sz w:val="24"/>
          <w:szCs w:val="24"/>
        </w:rPr>
        <w:t>and</w:t>
      </w:r>
      <w:r w:rsidRPr="00F118A5">
        <w:rPr>
          <w:rFonts w:ascii="Arial" w:hAnsi="Arial" w:cs="Arial"/>
          <w:noProof/>
          <w:sz w:val="24"/>
          <w:szCs w:val="24"/>
        </w:rPr>
        <w:t xml:space="preserve"> Hedges, 2004</w:t>
      </w:r>
      <w:r>
        <w:rPr>
          <w:rFonts w:ascii="Arial" w:hAnsi="Arial" w:cs="Arial"/>
          <w:noProof/>
          <w:sz w:val="24"/>
          <w:szCs w:val="24"/>
        </w:rPr>
        <w:t xml:space="preserve">; </w:t>
      </w:r>
      <w:r w:rsidRPr="00F118A5">
        <w:rPr>
          <w:rFonts w:ascii="Arial" w:hAnsi="Arial" w:cs="Arial"/>
          <w:noProof/>
          <w:sz w:val="24"/>
          <w:szCs w:val="24"/>
        </w:rPr>
        <w:t>Heafner, 2017)</w:t>
      </w:r>
      <w:r w:rsidRPr="00F118A5">
        <w:rPr>
          <w:rFonts w:ascii="Arial" w:hAnsi="Arial" w:cs="Arial"/>
          <w:sz w:val="24"/>
          <w:szCs w:val="24"/>
        </w:rPr>
        <w:t>.</w:t>
      </w:r>
      <w:r>
        <w:rPr>
          <w:rFonts w:ascii="Arial" w:hAnsi="Arial" w:cs="Arial"/>
          <w:sz w:val="24"/>
          <w:szCs w:val="24"/>
        </w:rPr>
        <w:t xml:space="preserve"> Therefore, teacher effectiveness is of critical importance to supporting all students to ‘be the best that they can be’. </w:t>
      </w:r>
    </w:p>
    <w:p w14:paraId="372D8D48" w14:textId="77777777" w:rsidR="00B67E48" w:rsidRPr="00F118A5" w:rsidRDefault="00B67E48" w:rsidP="00B67E48">
      <w:pPr>
        <w:spacing w:line="360" w:lineRule="auto"/>
        <w:jc w:val="both"/>
        <w:rPr>
          <w:rFonts w:ascii="Arial" w:hAnsi="Arial" w:cs="Arial"/>
          <w:sz w:val="24"/>
          <w:szCs w:val="24"/>
        </w:rPr>
      </w:pPr>
      <w:r w:rsidRPr="00F118A5">
        <w:rPr>
          <w:rFonts w:ascii="Arial" w:hAnsi="Arial" w:cs="Arial"/>
          <w:sz w:val="24"/>
          <w:szCs w:val="24"/>
        </w:rPr>
        <w:t>As Lofthouse and Thomas (2017, p.36) state, “teachers are expected to make changes to their teaching practices at all stages of their career development”. Therefore, if we want to make teaching more impactful upon the students in the classroom</w:t>
      </w:r>
      <w:r>
        <w:rPr>
          <w:rFonts w:ascii="Arial" w:hAnsi="Arial" w:cs="Arial"/>
          <w:sz w:val="24"/>
          <w:szCs w:val="24"/>
        </w:rPr>
        <w:t>, we need to support teachers in improving and getting better through high-leverage teacher professional development that assists</w:t>
      </w:r>
      <w:r w:rsidRPr="00F118A5">
        <w:rPr>
          <w:rFonts w:ascii="Arial" w:hAnsi="Arial" w:cs="Arial"/>
          <w:sz w:val="24"/>
          <w:szCs w:val="24"/>
        </w:rPr>
        <w:t xml:space="preserve"> this. As Berliner (2004) says</w:t>
      </w:r>
      <w:r>
        <w:rPr>
          <w:rFonts w:ascii="Arial" w:hAnsi="Arial" w:cs="Arial"/>
          <w:sz w:val="24"/>
          <w:szCs w:val="24"/>
        </w:rPr>
        <w:t>,</w:t>
      </w:r>
      <w:r w:rsidRPr="00F118A5">
        <w:rPr>
          <w:rFonts w:ascii="Arial" w:hAnsi="Arial" w:cs="Arial"/>
          <w:sz w:val="24"/>
          <w:szCs w:val="24"/>
        </w:rPr>
        <w:t xml:space="preserve"> we need to develop expert teachers. “Expertise is specific to a domain, an</w:t>
      </w:r>
      <w:r>
        <w:rPr>
          <w:rFonts w:ascii="Arial" w:hAnsi="Arial" w:cs="Arial"/>
          <w:sz w:val="24"/>
          <w:szCs w:val="24"/>
        </w:rPr>
        <w:t>d</w:t>
      </w:r>
      <w:r w:rsidRPr="00F118A5">
        <w:rPr>
          <w:rFonts w:ascii="Arial" w:hAnsi="Arial" w:cs="Arial"/>
          <w:sz w:val="24"/>
          <w:szCs w:val="24"/>
        </w:rPr>
        <w:t xml:space="preserve"> particular contexts in domains, and is developed over hundreds and thousands of hours” (Berliner, 2004, p. 13). Hence, expert teachers</w:t>
      </w:r>
      <w:r>
        <w:rPr>
          <w:rFonts w:ascii="Arial" w:hAnsi="Arial" w:cs="Arial"/>
          <w:sz w:val="24"/>
          <w:szCs w:val="24"/>
        </w:rPr>
        <w:t xml:space="preserve">, </w:t>
      </w:r>
      <w:r w:rsidRPr="00F118A5">
        <w:rPr>
          <w:rFonts w:ascii="Arial" w:hAnsi="Arial" w:cs="Arial"/>
          <w:sz w:val="24"/>
          <w:szCs w:val="24"/>
        </w:rPr>
        <w:t>in comparison to novice teachers, have an extensive and accessible depth of domain-specific knowledge, which includes subject content and pedagogical content knowledge. Furthermore, Berliner (2004, p. 13) outlines other characteristics of expert teachers</w:t>
      </w:r>
      <w:r>
        <w:rPr>
          <w:rFonts w:ascii="Arial" w:hAnsi="Arial" w:cs="Arial"/>
          <w:sz w:val="24"/>
          <w:szCs w:val="24"/>
        </w:rPr>
        <w:t>,</w:t>
      </w:r>
      <w:r w:rsidRPr="00F118A5">
        <w:rPr>
          <w:rFonts w:ascii="Arial" w:hAnsi="Arial" w:cs="Arial"/>
          <w:sz w:val="24"/>
          <w:szCs w:val="24"/>
        </w:rPr>
        <w:t xml:space="preserve"> which include, but</w:t>
      </w:r>
      <w:r>
        <w:rPr>
          <w:rFonts w:ascii="Arial" w:hAnsi="Arial" w:cs="Arial"/>
          <w:sz w:val="24"/>
          <w:szCs w:val="24"/>
        </w:rPr>
        <w:t xml:space="preserve"> are </w:t>
      </w:r>
      <w:r w:rsidRPr="00F118A5">
        <w:rPr>
          <w:rFonts w:ascii="Arial" w:hAnsi="Arial" w:cs="Arial"/>
          <w:sz w:val="24"/>
          <w:szCs w:val="24"/>
        </w:rPr>
        <w:t>not limited to</w:t>
      </w:r>
      <w:r>
        <w:rPr>
          <w:rFonts w:ascii="Arial" w:hAnsi="Arial" w:cs="Arial"/>
          <w:sz w:val="24"/>
          <w:szCs w:val="24"/>
        </w:rPr>
        <w:t>,</w:t>
      </w:r>
      <w:r w:rsidRPr="00F118A5">
        <w:rPr>
          <w:rFonts w:ascii="Arial" w:hAnsi="Arial" w:cs="Arial"/>
          <w:sz w:val="24"/>
          <w:szCs w:val="24"/>
        </w:rPr>
        <w:t xml:space="preserve"> the following:</w:t>
      </w:r>
    </w:p>
    <w:p w14:paraId="6991D6A0" w14:textId="77777777" w:rsidR="00B67E48" w:rsidRPr="00F118A5" w:rsidRDefault="00B67E48" w:rsidP="00B67E48">
      <w:pPr>
        <w:pStyle w:val="ListParagraph"/>
        <w:numPr>
          <w:ilvl w:val="1"/>
          <w:numId w:val="1"/>
        </w:numPr>
        <w:spacing w:line="360" w:lineRule="auto"/>
        <w:jc w:val="both"/>
        <w:rPr>
          <w:rFonts w:ascii="Arial" w:hAnsi="Arial" w:cs="Arial"/>
          <w:sz w:val="24"/>
          <w:szCs w:val="24"/>
        </w:rPr>
      </w:pPr>
      <w:r w:rsidRPr="00F118A5">
        <w:rPr>
          <w:rFonts w:ascii="Arial" w:hAnsi="Arial" w:cs="Arial"/>
          <w:sz w:val="24"/>
          <w:szCs w:val="24"/>
        </w:rPr>
        <w:t>Ability to develop automaticity and routinisation for repetitive actions</w:t>
      </w:r>
      <w:r>
        <w:rPr>
          <w:rFonts w:ascii="Arial" w:hAnsi="Arial" w:cs="Arial"/>
          <w:sz w:val="24"/>
          <w:szCs w:val="24"/>
        </w:rPr>
        <w:t>.</w:t>
      </w:r>
    </w:p>
    <w:p w14:paraId="1AE39F4E" w14:textId="77777777" w:rsidR="00B67E48" w:rsidRPr="00F118A5" w:rsidRDefault="00B67E48" w:rsidP="00B67E48">
      <w:pPr>
        <w:pStyle w:val="ListParagraph"/>
        <w:numPr>
          <w:ilvl w:val="1"/>
          <w:numId w:val="1"/>
        </w:numPr>
        <w:spacing w:line="360" w:lineRule="auto"/>
        <w:jc w:val="both"/>
        <w:rPr>
          <w:rFonts w:ascii="Arial" w:hAnsi="Arial" w:cs="Arial"/>
          <w:sz w:val="24"/>
          <w:szCs w:val="24"/>
        </w:rPr>
      </w:pPr>
      <w:r w:rsidRPr="00F118A5">
        <w:rPr>
          <w:rFonts w:ascii="Arial" w:hAnsi="Arial" w:cs="Arial"/>
          <w:sz w:val="24"/>
          <w:szCs w:val="24"/>
        </w:rPr>
        <w:t>Flexibility in pedagogical approaches when solving problems</w:t>
      </w:r>
      <w:r>
        <w:rPr>
          <w:rFonts w:ascii="Arial" w:hAnsi="Arial" w:cs="Arial"/>
          <w:sz w:val="24"/>
          <w:szCs w:val="24"/>
        </w:rPr>
        <w:t>.</w:t>
      </w:r>
    </w:p>
    <w:p w14:paraId="29632B62" w14:textId="77777777" w:rsidR="00B67E48" w:rsidRPr="00F118A5" w:rsidRDefault="00B67E48" w:rsidP="00B67E48">
      <w:pPr>
        <w:pStyle w:val="ListParagraph"/>
        <w:numPr>
          <w:ilvl w:val="1"/>
          <w:numId w:val="1"/>
        </w:numPr>
        <w:spacing w:line="360" w:lineRule="auto"/>
        <w:jc w:val="both"/>
        <w:rPr>
          <w:rFonts w:ascii="Arial" w:hAnsi="Arial" w:cs="Arial"/>
          <w:sz w:val="24"/>
          <w:szCs w:val="24"/>
        </w:rPr>
      </w:pPr>
      <w:r w:rsidRPr="00F118A5">
        <w:rPr>
          <w:rFonts w:ascii="Arial" w:hAnsi="Arial" w:cs="Arial"/>
          <w:sz w:val="24"/>
          <w:szCs w:val="24"/>
        </w:rPr>
        <w:t xml:space="preserve">Capability and speed at </w:t>
      </w:r>
      <w:r>
        <w:rPr>
          <w:rFonts w:ascii="Arial" w:hAnsi="Arial" w:cs="Arial"/>
          <w:sz w:val="24"/>
          <w:szCs w:val="24"/>
        </w:rPr>
        <w:t>recognising and responding</w:t>
      </w:r>
      <w:r w:rsidRPr="00F118A5">
        <w:rPr>
          <w:rFonts w:ascii="Arial" w:hAnsi="Arial" w:cs="Arial"/>
          <w:sz w:val="24"/>
          <w:szCs w:val="24"/>
        </w:rPr>
        <w:t xml:space="preserve"> to familiar and unfamiliar situations</w:t>
      </w:r>
      <w:r>
        <w:rPr>
          <w:rFonts w:ascii="Arial" w:hAnsi="Arial" w:cs="Arial"/>
          <w:sz w:val="24"/>
          <w:szCs w:val="24"/>
        </w:rPr>
        <w:t>.</w:t>
      </w:r>
      <w:r w:rsidRPr="00F118A5">
        <w:rPr>
          <w:rFonts w:ascii="Arial" w:hAnsi="Arial" w:cs="Arial"/>
          <w:sz w:val="24"/>
          <w:szCs w:val="24"/>
        </w:rPr>
        <w:t xml:space="preserve"> </w:t>
      </w:r>
    </w:p>
    <w:p w14:paraId="5C842358" w14:textId="77777777" w:rsidR="00B67E48" w:rsidRDefault="00B67E48" w:rsidP="00B67E48">
      <w:pPr>
        <w:spacing w:line="360" w:lineRule="auto"/>
        <w:jc w:val="both"/>
        <w:rPr>
          <w:rFonts w:ascii="Arial" w:hAnsi="Arial" w:cs="Arial"/>
          <w:sz w:val="24"/>
          <w:szCs w:val="24"/>
        </w:rPr>
      </w:pPr>
      <w:r w:rsidRPr="00F118A5">
        <w:rPr>
          <w:rFonts w:ascii="Arial" w:hAnsi="Arial" w:cs="Arial"/>
          <w:sz w:val="24"/>
          <w:szCs w:val="24"/>
        </w:rPr>
        <w:t xml:space="preserve">We need to develop not just their teaching expertise but </w:t>
      </w:r>
      <w:r>
        <w:rPr>
          <w:rFonts w:ascii="Arial" w:hAnsi="Arial" w:cs="Arial"/>
          <w:sz w:val="24"/>
          <w:szCs w:val="24"/>
        </w:rPr>
        <w:t xml:space="preserve">an </w:t>
      </w:r>
      <w:r w:rsidRPr="00F118A5">
        <w:rPr>
          <w:rFonts w:ascii="Arial" w:hAnsi="Arial" w:cs="Arial"/>
          <w:sz w:val="24"/>
          <w:szCs w:val="24"/>
        </w:rPr>
        <w:t>understanding of the context in which they teach</w:t>
      </w:r>
      <w:r>
        <w:rPr>
          <w:rFonts w:ascii="Arial" w:hAnsi="Arial" w:cs="Arial"/>
          <w:sz w:val="24"/>
          <w:szCs w:val="24"/>
        </w:rPr>
        <w:t xml:space="preserve"> (Berry, Daughtrey and Wieder, 2010)</w:t>
      </w:r>
      <w:r w:rsidRPr="00F118A5">
        <w:rPr>
          <w:rFonts w:ascii="Arial" w:hAnsi="Arial" w:cs="Arial"/>
          <w:sz w:val="24"/>
          <w:szCs w:val="24"/>
        </w:rPr>
        <w:t xml:space="preserve">. This requires teachers to become what Hatano and Inagaki (1986) </w:t>
      </w:r>
      <w:r>
        <w:rPr>
          <w:rFonts w:ascii="Arial" w:hAnsi="Arial" w:cs="Arial"/>
          <w:sz w:val="24"/>
          <w:szCs w:val="24"/>
        </w:rPr>
        <w:t>call</w:t>
      </w:r>
      <w:r w:rsidRPr="00F118A5">
        <w:rPr>
          <w:rFonts w:ascii="Arial" w:hAnsi="Arial" w:cs="Arial"/>
          <w:sz w:val="24"/>
          <w:szCs w:val="24"/>
        </w:rPr>
        <w:t xml:space="preserve"> adaptive experts. </w:t>
      </w:r>
      <w:r>
        <w:rPr>
          <w:rFonts w:ascii="Arial" w:hAnsi="Arial" w:cs="Arial"/>
          <w:sz w:val="24"/>
          <w:szCs w:val="24"/>
        </w:rPr>
        <w:t xml:space="preserve">Individuals </w:t>
      </w:r>
      <w:r w:rsidRPr="00F118A5">
        <w:rPr>
          <w:rFonts w:ascii="Arial" w:hAnsi="Arial" w:cs="Arial"/>
          <w:sz w:val="24"/>
          <w:szCs w:val="24"/>
        </w:rPr>
        <w:t xml:space="preserve">who can revise, innovate, and broaden their knowledge by internalising their experiences and new learning (Bransford et al., 2005). </w:t>
      </w:r>
      <w:r>
        <w:rPr>
          <w:rFonts w:ascii="Arial" w:hAnsi="Arial" w:cs="Arial"/>
          <w:sz w:val="24"/>
          <w:szCs w:val="24"/>
        </w:rPr>
        <w:t xml:space="preserve">Teacher expertise and teacher self-efficacy positively correlate and influence student learning and achievement </w:t>
      </w:r>
      <w:r>
        <w:rPr>
          <w:rFonts w:ascii="Arial" w:hAnsi="Arial" w:cs="Arial"/>
          <w:sz w:val="24"/>
          <w:szCs w:val="24"/>
        </w:rPr>
        <w:lastRenderedPageBreak/>
        <w:t>(Tschannen-Moran and Hoy, 2001).</w:t>
      </w:r>
      <w:r w:rsidRPr="00F118A5">
        <w:rPr>
          <w:rFonts w:ascii="Arial" w:hAnsi="Arial" w:cs="Arial"/>
          <w:sz w:val="24"/>
          <w:szCs w:val="24"/>
        </w:rPr>
        <w:t xml:space="preserve"> </w:t>
      </w:r>
      <w:r>
        <w:rPr>
          <w:rFonts w:ascii="Arial" w:hAnsi="Arial" w:cs="Arial"/>
          <w:sz w:val="24"/>
          <w:szCs w:val="24"/>
        </w:rPr>
        <w:t>Through collaboration and opportunities for reflection with knowledgeable others, teachers can develop towards adaptive experts by examining what Hayden, Moore-Russo, and Marino (2013) refer to as ‘critical incidents’ from one’s classroom. This is because expert teachers engage in a continuous cycle of reflection which helps refine their practice and build self-efficacy through professional growth (Wolters and Daugherty, 2007)</w:t>
      </w:r>
    </w:p>
    <w:p w14:paraId="544CD184" w14:textId="77777777" w:rsidR="00B67E48" w:rsidRDefault="00B67E48" w:rsidP="00B67E48">
      <w:pPr>
        <w:spacing w:line="360" w:lineRule="auto"/>
        <w:jc w:val="both"/>
        <w:rPr>
          <w:rFonts w:ascii="Arial" w:hAnsi="Arial" w:cs="Arial"/>
          <w:sz w:val="24"/>
          <w:szCs w:val="24"/>
        </w:rPr>
      </w:pPr>
      <w:r w:rsidRPr="002C61BA">
        <w:rPr>
          <w:rFonts w:ascii="Arial" w:hAnsi="Arial" w:cs="Arial"/>
          <w:sz w:val="24"/>
          <w:szCs w:val="24"/>
        </w:rPr>
        <w:t xml:space="preserve">The context in which one teaches has a powerful effect on a teacher’s sense of efficacy, teaching practice, and level of agency </w:t>
      </w:r>
      <w:r w:rsidRPr="002C61BA">
        <w:rPr>
          <w:rFonts w:ascii="Arial" w:hAnsi="Arial" w:cs="Arial"/>
          <w:noProof/>
          <w:sz w:val="24"/>
          <w:szCs w:val="24"/>
        </w:rPr>
        <w:t>(Berliner, 2001).</w:t>
      </w:r>
      <w:r w:rsidRPr="00F118A5">
        <w:rPr>
          <w:rFonts w:ascii="Arial" w:hAnsi="Arial" w:cs="Arial"/>
          <w:sz w:val="24"/>
          <w:szCs w:val="24"/>
        </w:rPr>
        <w:t xml:space="preserve"> This is cognisant of previous research. </w:t>
      </w:r>
      <w:r>
        <w:rPr>
          <w:rFonts w:ascii="Arial" w:hAnsi="Arial" w:cs="Arial"/>
          <w:sz w:val="24"/>
          <w:szCs w:val="24"/>
        </w:rPr>
        <w:t xml:space="preserve">As Thompson and Pascal (2012) contend, it is necessary to consider the social context within this process. This will influence the degree to which the status quo is challenged and the influence of power within an organisation. </w:t>
      </w:r>
    </w:p>
    <w:p w14:paraId="220E9A09" w14:textId="77777777" w:rsidR="00B67E48" w:rsidRPr="00F118A5" w:rsidRDefault="00B67E48" w:rsidP="00B67E48">
      <w:pPr>
        <w:spacing w:line="360" w:lineRule="auto"/>
        <w:jc w:val="both"/>
        <w:rPr>
          <w:rFonts w:ascii="Arial" w:hAnsi="Arial" w:cs="Arial"/>
          <w:sz w:val="24"/>
          <w:szCs w:val="24"/>
        </w:rPr>
      </w:pPr>
      <w:r w:rsidRPr="00F118A5">
        <w:rPr>
          <w:rFonts w:ascii="Arial" w:hAnsi="Arial" w:cs="Arial"/>
          <w:sz w:val="24"/>
          <w:szCs w:val="24"/>
        </w:rPr>
        <w:t xml:space="preserve">Experience alone will not necessarily develop expertise (Redman, 2008), although it will contribute to the development of pedagogical </w:t>
      </w:r>
      <w:r>
        <w:rPr>
          <w:rFonts w:ascii="Arial" w:hAnsi="Arial" w:cs="Arial"/>
          <w:sz w:val="24"/>
          <w:szCs w:val="24"/>
        </w:rPr>
        <w:t xml:space="preserve">knowledge </w:t>
      </w:r>
      <w:r w:rsidRPr="00F118A5">
        <w:rPr>
          <w:rFonts w:ascii="Arial" w:hAnsi="Arial" w:cs="Arial"/>
          <w:sz w:val="24"/>
          <w:szCs w:val="24"/>
        </w:rPr>
        <w:t xml:space="preserve">(Tsui, 2005), providing participants deliberately engage and reflect on classroom experiences (Farrell, 2013). Hence, if we want </w:t>
      </w:r>
      <w:r>
        <w:rPr>
          <w:rFonts w:ascii="Arial" w:hAnsi="Arial" w:cs="Arial"/>
          <w:sz w:val="24"/>
          <w:szCs w:val="24"/>
        </w:rPr>
        <w:t>teacher behaviours to change in the classroom for the better, we must make a concerted effort to support teachers through high-quality teacher professional development rather than sort teachers, as h</w:t>
      </w:r>
      <w:r w:rsidRPr="00F118A5">
        <w:rPr>
          <w:rFonts w:ascii="Arial" w:hAnsi="Arial" w:cs="Arial"/>
          <w:sz w:val="24"/>
          <w:szCs w:val="24"/>
        </w:rPr>
        <w:t>igh</w:t>
      </w:r>
      <w:r>
        <w:rPr>
          <w:rFonts w:ascii="Arial" w:hAnsi="Arial" w:cs="Arial"/>
          <w:sz w:val="24"/>
          <w:szCs w:val="24"/>
        </w:rPr>
        <w:t>ligh</w:t>
      </w:r>
      <w:r w:rsidRPr="00F118A5">
        <w:rPr>
          <w:rFonts w:ascii="Arial" w:hAnsi="Arial" w:cs="Arial"/>
          <w:sz w:val="24"/>
          <w:szCs w:val="24"/>
        </w:rPr>
        <w:t>ted by O’Leary (20</w:t>
      </w:r>
      <w:r>
        <w:rPr>
          <w:rFonts w:ascii="Arial" w:hAnsi="Arial" w:cs="Arial"/>
          <w:sz w:val="24"/>
          <w:szCs w:val="24"/>
        </w:rPr>
        <w:t>20</w:t>
      </w:r>
      <w:r w:rsidRPr="00F118A5">
        <w:rPr>
          <w:rFonts w:ascii="Arial" w:hAnsi="Arial" w:cs="Arial"/>
          <w:sz w:val="24"/>
          <w:szCs w:val="24"/>
        </w:rPr>
        <w:t>)</w:t>
      </w:r>
      <w:r>
        <w:rPr>
          <w:rFonts w:ascii="Arial" w:hAnsi="Arial" w:cs="Arial"/>
          <w:sz w:val="24"/>
          <w:szCs w:val="24"/>
        </w:rPr>
        <w:t>, through performance management systems</w:t>
      </w:r>
      <w:r w:rsidRPr="00F118A5">
        <w:rPr>
          <w:rFonts w:ascii="Arial" w:hAnsi="Arial" w:cs="Arial"/>
          <w:sz w:val="24"/>
          <w:szCs w:val="24"/>
        </w:rPr>
        <w:t>.</w:t>
      </w:r>
    </w:p>
    <w:p w14:paraId="25380005" w14:textId="77777777" w:rsidR="00B67E48" w:rsidRPr="00F118A5" w:rsidRDefault="00B67E48" w:rsidP="00B67E48">
      <w:pPr>
        <w:spacing w:line="360" w:lineRule="auto"/>
        <w:jc w:val="both"/>
        <w:rPr>
          <w:rFonts w:ascii="Arial" w:hAnsi="Arial" w:cs="Arial"/>
          <w:sz w:val="24"/>
          <w:szCs w:val="24"/>
        </w:rPr>
      </w:pPr>
      <w:r w:rsidRPr="00F118A5">
        <w:rPr>
          <w:rFonts w:ascii="Arial" w:hAnsi="Arial" w:cs="Arial"/>
          <w:sz w:val="24"/>
          <w:szCs w:val="24"/>
        </w:rPr>
        <w:t>For many years</w:t>
      </w:r>
      <w:r>
        <w:rPr>
          <w:rFonts w:ascii="Arial" w:hAnsi="Arial" w:cs="Arial"/>
          <w:sz w:val="24"/>
          <w:szCs w:val="24"/>
        </w:rPr>
        <w:t>, there have been discussions about raising achievement standards in schools and improving</w:t>
      </w:r>
      <w:r w:rsidRPr="00F118A5">
        <w:rPr>
          <w:rFonts w:ascii="Arial" w:hAnsi="Arial" w:cs="Arial"/>
          <w:sz w:val="24"/>
          <w:szCs w:val="24"/>
        </w:rPr>
        <w:t xml:space="preserve"> teaching and learning. (Mulford, 2003; Hoskins, 2012; ESTYN, 2018). Over the last decade, the performance management process has been the </w:t>
      </w:r>
      <w:r>
        <w:rPr>
          <w:rFonts w:ascii="Arial" w:hAnsi="Arial" w:cs="Arial"/>
          <w:sz w:val="24"/>
          <w:szCs w:val="24"/>
        </w:rPr>
        <w:t>essential</w:t>
      </w:r>
      <w:r w:rsidRPr="00F118A5">
        <w:rPr>
          <w:rFonts w:ascii="Arial" w:hAnsi="Arial" w:cs="Arial"/>
          <w:sz w:val="24"/>
          <w:szCs w:val="24"/>
        </w:rPr>
        <w:t xml:space="preserve"> vehicle to help schools raise standards by supporting and improving the work of teachers as individuals and in teams </w:t>
      </w:r>
      <w:r w:rsidRPr="00F118A5">
        <w:rPr>
          <w:rFonts w:ascii="Arial" w:hAnsi="Arial" w:cs="Arial"/>
          <w:noProof/>
          <w:sz w:val="24"/>
          <w:szCs w:val="24"/>
        </w:rPr>
        <w:t>(Welsh Government, 2012)</w:t>
      </w:r>
      <w:r w:rsidRPr="00F118A5">
        <w:rPr>
          <w:rFonts w:ascii="Arial" w:hAnsi="Arial" w:cs="Arial"/>
          <w:sz w:val="24"/>
          <w:szCs w:val="24"/>
        </w:rPr>
        <w:t xml:space="preserve">. </w:t>
      </w:r>
      <w:r>
        <w:rPr>
          <w:rFonts w:ascii="Arial" w:hAnsi="Arial" w:cs="Arial"/>
          <w:sz w:val="24"/>
          <w:szCs w:val="24"/>
        </w:rPr>
        <w:t>Unfortunately</w:t>
      </w:r>
      <w:r w:rsidRPr="00F118A5">
        <w:rPr>
          <w:rFonts w:ascii="Arial" w:hAnsi="Arial" w:cs="Arial"/>
          <w:sz w:val="24"/>
          <w:szCs w:val="24"/>
        </w:rPr>
        <w:t xml:space="preserve">, this process has narrowed what ‘success’ looks like and placed undue pressure on performance in English, Mathematics and Science. With the introduction of external performance tables and the pressures brought about by the education inspectorate, the performance management process created a culture of surveillance and performativity (Barker, 2010). The language of ‘manage’, ‘appraisal’, ‘teaching observation’, and ‘evaluation’ are contradictory to the concept of development. This process is akin to a culture of performativity, which can often prevent innovative approaches due to fear of being judged inadequate. It does not foster an improve, not prove culture </w:t>
      </w:r>
      <w:r w:rsidRPr="00F118A5">
        <w:rPr>
          <w:rFonts w:ascii="Arial" w:hAnsi="Arial" w:cs="Arial"/>
          <w:noProof/>
          <w:sz w:val="24"/>
          <w:szCs w:val="24"/>
        </w:rPr>
        <w:t xml:space="preserve">(Tomsett </w:t>
      </w:r>
      <w:r>
        <w:rPr>
          <w:rFonts w:ascii="Arial" w:hAnsi="Arial" w:cs="Arial"/>
          <w:noProof/>
          <w:sz w:val="24"/>
          <w:szCs w:val="24"/>
        </w:rPr>
        <w:t>and</w:t>
      </w:r>
      <w:r w:rsidRPr="00F118A5">
        <w:rPr>
          <w:rFonts w:ascii="Arial" w:hAnsi="Arial" w:cs="Arial"/>
          <w:noProof/>
          <w:sz w:val="24"/>
          <w:szCs w:val="24"/>
        </w:rPr>
        <w:t xml:space="preserve"> Uttley, 2020).</w:t>
      </w:r>
    </w:p>
    <w:p w14:paraId="706594DB" w14:textId="77777777" w:rsidR="00B67E48" w:rsidRPr="00F118A5" w:rsidRDefault="00B67E48" w:rsidP="00B67E48">
      <w:pPr>
        <w:spacing w:line="360" w:lineRule="auto"/>
        <w:jc w:val="both"/>
        <w:rPr>
          <w:rFonts w:ascii="Arial" w:hAnsi="Arial" w:cs="Arial"/>
          <w:sz w:val="24"/>
          <w:szCs w:val="24"/>
        </w:rPr>
      </w:pPr>
      <w:r w:rsidRPr="00F118A5">
        <w:rPr>
          <w:rFonts w:ascii="Arial" w:hAnsi="Arial" w:cs="Arial"/>
          <w:sz w:val="24"/>
          <w:szCs w:val="24"/>
        </w:rPr>
        <w:lastRenderedPageBreak/>
        <w:t>We know that teach</w:t>
      </w:r>
      <w:r>
        <w:rPr>
          <w:rFonts w:ascii="Arial" w:hAnsi="Arial" w:cs="Arial"/>
          <w:sz w:val="24"/>
          <w:szCs w:val="24"/>
        </w:rPr>
        <w:t>er</w:t>
      </w:r>
      <w:r w:rsidRPr="00F118A5">
        <w:rPr>
          <w:rFonts w:ascii="Arial" w:hAnsi="Arial" w:cs="Arial"/>
          <w:sz w:val="24"/>
          <w:szCs w:val="24"/>
        </w:rPr>
        <w:t xml:space="preserve"> quality is </w:t>
      </w:r>
      <w:r>
        <w:rPr>
          <w:rFonts w:ascii="Arial" w:hAnsi="Arial" w:cs="Arial"/>
          <w:sz w:val="24"/>
          <w:szCs w:val="24"/>
        </w:rPr>
        <w:t>essential</w:t>
      </w:r>
      <w:r w:rsidRPr="00F118A5">
        <w:rPr>
          <w:rFonts w:ascii="Arial" w:hAnsi="Arial" w:cs="Arial"/>
          <w:sz w:val="24"/>
          <w:szCs w:val="24"/>
        </w:rPr>
        <w:t xml:space="preserve">. Teacher effectiveness has a significant effect on student outcomes.  Hence, school leaders must think differently about the teacher professional development programmes that are in place in their schools if they are to maximise outcomes for pupils (Burgess, 2019). It should seek to develop teacher expertise (Wetzel, De Arment and Reed, 2015). </w:t>
      </w:r>
      <w:proofErr w:type="spellStart"/>
      <w:r w:rsidRPr="00F118A5">
        <w:rPr>
          <w:rFonts w:ascii="Arial" w:hAnsi="Arial" w:cs="Arial"/>
          <w:sz w:val="24"/>
          <w:szCs w:val="24"/>
        </w:rPr>
        <w:t>Mccrea</w:t>
      </w:r>
      <w:proofErr w:type="spellEnd"/>
      <w:r w:rsidRPr="00F118A5">
        <w:rPr>
          <w:rFonts w:ascii="Arial" w:hAnsi="Arial" w:cs="Arial"/>
          <w:sz w:val="24"/>
          <w:szCs w:val="24"/>
        </w:rPr>
        <w:t xml:space="preserve"> (2018) states that as teachers </w:t>
      </w:r>
      <w:r>
        <w:rPr>
          <w:rFonts w:ascii="Arial" w:hAnsi="Arial" w:cs="Arial"/>
          <w:sz w:val="24"/>
          <w:szCs w:val="24"/>
        </w:rPr>
        <w:t>build t</w:t>
      </w:r>
      <w:r w:rsidRPr="00F118A5">
        <w:rPr>
          <w:rFonts w:ascii="Arial" w:hAnsi="Arial" w:cs="Arial"/>
          <w:sz w:val="24"/>
          <w:szCs w:val="24"/>
        </w:rPr>
        <w:t xml:space="preserve">heir expertise, the </w:t>
      </w:r>
      <w:r>
        <w:rPr>
          <w:rFonts w:ascii="Arial" w:hAnsi="Arial" w:cs="Arial"/>
          <w:sz w:val="24"/>
          <w:szCs w:val="24"/>
        </w:rPr>
        <w:t>needed support</w:t>
      </w:r>
      <w:r w:rsidRPr="00F118A5">
        <w:rPr>
          <w:rFonts w:ascii="Arial" w:hAnsi="Arial" w:cs="Arial"/>
          <w:sz w:val="24"/>
          <w:szCs w:val="24"/>
        </w:rPr>
        <w:t xml:space="preserve"> reduces as they can draw upon their mental models. Teacher development is a complex landscape. DiPaola and Hoy (201</w:t>
      </w:r>
      <w:r>
        <w:rPr>
          <w:rFonts w:ascii="Arial" w:hAnsi="Arial" w:cs="Arial"/>
          <w:sz w:val="24"/>
          <w:szCs w:val="24"/>
        </w:rPr>
        <w:t>3</w:t>
      </w:r>
      <w:r w:rsidRPr="00F118A5">
        <w:rPr>
          <w:rFonts w:ascii="Arial" w:hAnsi="Arial" w:cs="Arial"/>
          <w:sz w:val="24"/>
          <w:szCs w:val="24"/>
        </w:rPr>
        <w:t>) suggest that school leaders, especially headteachers</w:t>
      </w:r>
      <w:r>
        <w:rPr>
          <w:rFonts w:ascii="Arial" w:hAnsi="Arial" w:cs="Arial"/>
          <w:sz w:val="24"/>
          <w:szCs w:val="24"/>
        </w:rPr>
        <w:t>,</w:t>
      </w:r>
      <w:r w:rsidRPr="00F118A5">
        <w:rPr>
          <w:rFonts w:ascii="Arial" w:hAnsi="Arial" w:cs="Arial"/>
          <w:sz w:val="24"/>
          <w:szCs w:val="24"/>
        </w:rPr>
        <w:t xml:space="preserve"> have a vital role in crafting TPD programmes to satisfy all stakeholders. Whilst there is a growing agreement around effective teacher professional development, engagement in and enac</w:t>
      </w:r>
      <w:r>
        <w:rPr>
          <w:rFonts w:ascii="Arial" w:hAnsi="Arial" w:cs="Arial"/>
          <w:sz w:val="24"/>
          <w:szCs w:val="24"/>
        </w:rPr>
        <w:t xml:space="preserve">ting change </w:t>
      </w:r>
      <w:r w:rsidRPr="00F118A5">
        <w:rPr>
          <w:rFonts w:ascii="Arial" w:hAnsi="Arial" w:cs="Arial"/>
          <w:sz w:val="24"/>
          <w:szCs w:val="24"/>
        </w:rPr>
        <w:t xml:space="preserve">through participation in TPD is far more intricate. Korthagen (2017) revealed </w:t>
      </w:r>
      <w:r>
        <w:rPr>
          <w:rFonts w:ascii="Arial" w:hAnsi="Arial" w:cs="Arial"/>
          <w:sz w:val="24"/>
          <w:szCs w:val="24"/>
        </w:rPr>
        <w:t xml:space="preserve">a vast gap between theory and practice regarding </w:t>
      </w:r>
      <w:r w:rsidRPr="00F118A5">
        <w:rPr>
          <w:rFonts w:ascii="Arial" w:hAnsi="Arial" w:cs="Arial"/>
          <w:sz w:val="24"/>
          <w:szCs w:val="24"/>
        </w:rPr>
        <w:t>how best to support teacher development.</w:t>
      </w:r>
    </w:p>
    <w:p w14:paraId="040C9BFC" w14:textId="77777777" w:rsidR="00B67E48" w:rsidRPr="00F118A5" w:rsidRDefault="00B67E48" w:rsidP="00B67E48">
      <w:pPr>
        <w:spacing w:line="360" w:lineRule="auto"/>
        <w:jc w:val="both"/>
        <w:rPr>
          <w:rFonts w:ascii="Arial" w:hAnsi="Arial" w:cs="Arial"/>
          <w:sz w:val="24"/>
          <w:szCs w:val="24"/>
        </w:rPr>
      </w:pPr>
      <w:r w:rsidRPr="00F118A5">
        <w:rPr>
          <w:rFonts w:ascii="Arial" w:hAnsi="Arial" w:cs="Arial"/>
          <w:sz w:val="24"/>
          <w:szCs w:val="24"/>
        </w:rPr>
        <w:t>Research by Easton (2008) and more recently by Darling-Hammond et al.</w:t>
      </w:r>
      <w:r>
        <w:rPr>
          <w:rFonts w:ascii="Arial" w:hAnsi="Arial" w:cs="Arial"/>
          <w:sz w:val="24"/>
          <w:szCs w:val="24"/>
        </w:rPr>
        <w:t xml:space="preserve"> (2017, p.15) suggested that TPD has tended to be dominated</w:t>
      </w:r>
      <w:r w:rsidRPr="00F118A5">
        <w:rPr>
          <w:rFonts w:ascii="Arial" w:hAnsi="Arial" w:cs="Arial"/>
          <w:sz w:val="24"/>
          <w:szCs w:val="24"/>
        </w:rPr>
        <w:t xml:space="preserve"> by the “traditional episodic and fragmented approach”. Typically, these consisted of teachers being passive recipients of theories of teaching and learning, with the expectation that teachers would modify their future practice accordingly (Korthagen, 2017). </w:t>
      </w:r>
      <w:r>
        <w:rPr>
          <w:rFonts w:ascii="Arial" w:hAnsi="Arial" w:cs="Arial"/>
          <w:sz w:val="24"/>
          <w:szCs w:val="24"/>
        </w:rPr>
        <w:t>Limited research evidence supports</w:t>
      </w:r>
      <w:r w:rsidRPr="00F118A5">
        <w:rPr>
          <w:rFonts w:ascii="Arial" w:hAnsi="Arial" w:cs="Arial"/>
          <w:sz w:val="24"/>
          <w:szCs w:val="24"/>
        </w:rPr>
        <w:t xml:space="preserve"> this traditionalist, top-down, transmissive ‘one-off’ approach to teacher professional development, which could </w:t>
      </w:r>
      <w:r>
        <w:rPr>
          <w:rFonts w:ascii="Arial" w:hAnsi="Arial" w:cs="Arial"/>
          <w:sz w:val="24"/>
          <w:szCs w:val="24"/>
        </w:rPr>
        <w:t xml:space="preserve">be </w:t>
      </w:r>
      <w:r w:rsidRPr="00F118A5">
        <w:rPr>
          <w:rFonts w:ascii="Arial" w:hAnsi="Arial" w:cs="Arial"/>
          <w:sz w:val="24"/>
          <w:szCs w:val="24"/>
        </w:rPr>
        <w:t>of limited use to teachers (King, 2019; Bergmark, 2020).</w:t>
      </w:r>
      <w:r w:rsidRPr="00F118A5">
        <w:rPr>
          <w:rFonts w:ascii="Arial" w:hAnsi="Arial" w:cs="Arial"/>
          <w:noProof/>
          <w:sz w:val="24"/>
          <w:szCs w:val="24"/>
        </w:rPr>
        <w:t xml:space="preserve"> </w:t>
      </w:r>
      <w:r>
        <w:rPr>
          <w:rFonts w:ascii="Arial" w:hAnsi="Arial" w:cs="Arial"/>
          <w:noProof/>
          <w:sz w:val="24"/>
          <w:szCs w:val="24"/>
        </w:rPr>
        <w:t xml:space="preserve"> Henson (2001a) asserts that such an approach to TPD is insufficient to positively affect changes in beliefs and practices. T</w:t>
      </w:r>
      <w:r w:rsidRPr="00F118A5">
        <w:rPr>
          <w:rFonts w:ascii="Arial" w:hAnsi="Arial" w:cs="Arial"/>
          <w:sz w:val="24"/>
          <w:szCs w:val="24"/>
        </w:rPr>
        <w:t xml:space="preserve">o give ourselves the best chances of developing teacher expertise, teacher professional development should be frequent and sustained, incrementally sequenced, job-embedded, collaborative, and teacher-led (Desimone and Stuckey, 2014). The </w:t>
      </w:r>
      <w:r>
        <w:rPr>
          <w:rFonts w:ascii="Arial" w:hAnsi="Arial" w:cs="Arial"/>
          <w:sz w:val="24"/>
          <w:szCs w:val="24"/>
        </w:rPr>
        <w:t xml:space="preserve">focus should be on building content and pedagogical content knowledge (Garet et al., 2001), how students learn, and how they are </w:t>
      </w:r>
      <w:r w:rsidRPr="00F118A5">
        <w:rPr>
          <w:rFonts w:ascii="Arial" w:hAnsi="Arial" w:cs="Arial"/>
          <w:sz w:val="24"/>
          <w:szCs w:val="24"/>
        </w:rPr>
        <w:t xml:space="preserve">connected to </w:t>
      </w:r>
      <w:r>
        <w:rPr>
          <w:rFonts w:ascii="Arial" w:hAnsi="Arial" w:cs="Arial"/>
          <w:sz w:val="24"/>
          <w:szCs w:val="24"/>
        </w:rPr>
        <w:t>broader</w:t>
      </w:r>
      <w:r w:rsidRPr="00F118A5">
        <w:rPr>
          <w:rFonts w:ascii="Arial" w:hAnsi="Arial" w:cs="Arial"/>
          <w:sz w:val="24"/>
          <w:szCs w:val="24"/>
        </w:rPr>
        <w:t xml:space="preserve"> school and system policy </w:t>
      </w:r>
      <w:sdt>
        <w:sdtPr>
          <w:rPr>
            <w:rFonts w:ascii="Arial" w:hAnsi="Arial" w:cs="Arial"/>
            <w:sz w:val="24"/>
            <w:szCs w:val="24"/>
          </w:rPr>
          <w:id w:val="-1297132605"/>
          <w:citation/>
        </w:sdtPr>
        <w:sdtContent>
          <w:r w:rsidRPr="00F118A5">
            <w:rPr>
              <w:rFonts w:ascii="Arial" w:hAnsi="Arial" w:cs="Arial"/>
              <w:sz w:val="24"/>
              <w:szCs w:val="24"/>
            </w:rPr>
            <w:fldChar w:fldCharType="begin"/>
          </w:r>
          <w:r w:rsidRPr="00F118A5">
            <w:rPr>
              <w:rFonts w:ascii="Arial" w:hAnsi="Arial" w:cs="Arial"/>
              <w:sz w:val="24"/>
              <w:szCs w:val="24"/>
            </w:rPr>
            <w:instrText xml:space="preserve"> CITATION Net20 \l 2057 </w:instrText>
          </w:r>
          <w:r w:rsidRPr="00F118A5">
            <w:rPr>
              <w:rFonts w:ascii="Arial" w:hAnsi="Arial" w:cs="Arial"/>
              <w:sz w:val="24"/>
              <w:szCs w:val="24"/>
            </w:rPr>
            <w:fldChar w:fldCharType="separate"/>
          </w:r>
          <w:r w:rsidRPr="00F118A5">
            <w:rPr>
              <w:rFonts w:ascii="Arial" w:hAnsi="Arial" w:cs="Arial"/>
              <w:noProof/>
              <w:sz w:val="24"/>
              <w:szCs w:val="24"/>
            </w:rPr>
            <w:t>(Netloicky, 2020)</w:t>
          </w:r>
          <w:r w:rsidRPr="00F118A5">
            <w:rPr>
              <w:rFonts w:ascii="Arial" w:hAnsi="Arial" w:cs="Arial"/>
              <w:sz w:val="24"/>
              <w:szCs w:val="24"/>
            </w:rPr>
            <w:fldChar w:fldCharType="end"/>
          </w:r>
        </w:sdtContent>
      </w:sdt>
      <w:r w:rsidRPr="00F118A5">
        <w:rPr>
          <w:rFonts w:ascii="Arial" w:hAnsi="Arial" w:cs="Arial"/>
          <w:sz w:val="24"/>
          <w:szCs w:val="24"/>
        </w:rPr>
        <w:t>.</w:t>
      </w:r>
      <w:r>
        <w:rPr>
          <w:rFonts w:ascii="Arial" w:hAnsi="Arial" w:cs="Arial"/>
          <w:sz w:val="24"/>
          <w:szCs w:val="24"/>
        </w:rPr>
        <w:t xml:space="preserve"> As </w:t>
      </w:r>
      <w:proofErr w:type="spellStart"/>
      <w:r>
        <w:rPr>
          <w:rFonts w:ascii="Arial" w:hAnsi="Arial" w:cs="Arial"/>
          <w:sz w:val="24"/>
          <w:szCs w:val="24"/>
        </w:rPr>
        <w:t>Kayapinar</w:t>
      </w:r>
      <w:proofErr w:type="spellEnd"/>
      <w:r>
        <w:rPr>
          <w:rFonts w:ascii="Arial" w:hAnsi="Arial" w:cs="Arial"/>
          <w:sz w:val="24"/>
          <w:szCs w:val="24"/>
        </w:rPr>
        <w:t xml:space="preserve"> (2016) remarks, this can be achieved by employing a teacher professional development approach to nurture teachers’ reflective skills and self-efficacy beliefs. </w:t>
      </w:r>
      <w:r w:rsidRPr="009E0ABD">
        <w:rPr>
          <w:rFonts w:ascii="Arial" w:hAnsi="Arial" w:cs="Arial"/>
          <w:sz w:val="24"/>
          <w:szCs w:val="24"/>
        </w:rPr>
        <w:t xml:space="preserve">Overall, </w:t>
      </w:r>
      <w:r>
        <w:rPr>
          <w:rFonts w:ascii="Arial" w:hAnsi="Arial" w:cs="Arial"/>
          <w:sz w:val="24"/>
          <w:szCs w:val="24"/>
        </w:rPr>
        <w:t>successful experiences, strong pedagogical skills, reflective practice, and resilience create</w:t>
      </w:r>
      <w:r w:rsidRPr="009E0ABD">
        <w:rPr>
          <w:rFonts w:ascii="Arial" w:hAnsi="Arial" w:cs="Arial"/>
          <w:sz w:val="24"/>
          <w:szCs w:val="24"/>
        </w:rPr>
        <w:t xml:space="preserve"> a positive feedback loop, reinforcing both teaching expertise and high self-efficacy belief in expert teachers</w:t>
      </w:r>
      <w:r>
        <w:rPr>
          <w:rFonts w:ascii="Arial" w:hAnsi="Arial" w:cs="Arial"/>
          <w:sz w:val="24"/>
          <w:szCs w:val="24"/>
        </w:rPr>
        <w:t xml:space="preserve"> (Chestnut and Cullen, 2014)</w:t>
      </w:r>
      <w:r w:rsidRPr="009E0ABD">
        <w:rPr>
          <w:rFonts w:ascii="Arial" w:hAnsi="Arial" w:cs="Arial"/>
          <w:sz w:val="24"/>
          <w:szCs w:val="24"/>
        </w:rPr>
        <w:t>.</w:t>
      </w:r>
      <w:r>
        <w:rPr>
          <w:rFonts w:ascii="Arial" w:hAnsi="Arial" w:cs="Arial"/>
          <w:sz w:val="24"/>
          <w:szCs w:val="24"/>
        </w:rPr>
        <w:t xml:space="preserve"> </w:t>
      </w:r>
      <w:r>
        <w:rPr>
          <w:rFonts w:ascii="Arial" w:hAnsi="Arial" w:cs="Arial"/>
          <w:sz w:val="24"/>
          <w:szCs w:val="24"/>
        </w:rPr>
        <w:lastRenderedPageBreak/>
        <w:tab/>
      </w:r>
      <w:r w:rsidRPr="00F118A5">
        <w:rPr>
          <w:rFonts w:ascii="Arial" w:hAnsi="Arial" w:cs="Arial"/>
          <w:sz w:val="24"/>
          <w:szCs w:val="24"/>
        </w:rPr>
        <w:t xml:space="preserve"> </w:t>
      </w:r>
      <w:r w:rsidRPr="00F118A5">
        <w:rPr>
          <w:rFonts w:ascii="Arial" w:hAnsi="Arial" w:cs="Arial"/>
          <w:sz w:val="24"/>
          <w:szCs w:val="24"/>
        </w:rPr>
        <w:br/>
      </w:r>
    </w:p>
    <w:p w14:paraId="72C8C0ED" w14:textId="77777777" w:rsidR="00B67E48" w:rsidRPr="00F118A5" w:rsidRDefault="00B67E48" w:rsidP="00B67E48">
      <w:pPr>
        <w:pStyle w:val="ListParagraph"/>
        <w:spacing w:line="360" w:lineRule="auto"/>
        <w:rPr>
          <w:rFonts w:ascii="Arial" w:hAnsi="Arial" w:cs="Arial"/>
          <w:b/>
          <w:bCs/>
          <w:sz w:val="24"/>
          <w:szCs w:val="24"/>
        </w:rPr>
      </w:pPr>
    </w:p>
    <w:p w14:paraId="1A9E2EA6" w14:textId="77777777" w:rsidR="00B67E48" w:rsidRDefault="00B67E48" w:rsidP="00B67E48">
      <w:pPr>
        <w:rPr>
          <w:rFonts w:ascii="Arial" w:hAnsi="Arial" w:cs="Arial"/>
          <w:b/>
          <w:bCs/>
          <w:sz w:val="24"/>
          <w:szCs w:val="24"/>
        </w:rPr>
      </w:pPr>
      <w:r>
        <w:rPr>
          <w:rFonts w:ascii="Arial" w:hAnsi="Arial" w:cs="Arial"/>
          <w:b/>
          <w:bCs/>
          <w:sz w:val="24"/>
          <w:szCs w:val="24"/>
        </w:rPr>
        <w:br w:type="page"/>
      </w:r>
    </w:p>
    <w:p w14:paraId="4170552B" w14:textId="77777777" w:rsidR="00B67E48" w:rsidRPr="00F118A5" w:rsidRDefault="00B67E48" w:rsidP="00B67E48">
      <w:pPr>
        <w:spacing w:line="360" w:lineRule="auto"/>
        <w:rPr>
          <w:rFonts w:ascii="Arial" w:hAnsi="Arial" w:cs="Arial"/>
          <w:b/>
          <w:bCs/>
          <w:sz w:val="24"/>
          <w:szCs w:val="24"/>
        </w:rPr>
      </w:pPr>
      <w:r w:rsidRPr="00F118A5">
        <w:rPr>
          <w:rFonts w:ascii="Arial" w:hAnsi="Arial" w:cs="Arial"/>
          <w:b/>
          <w:bCs/>
          <w:sz w:val="24"/>
          <w:szCs w:val="24"/>
        </w:rPr>
        <w:lastRenderedPageBreak/>
        <w:t xml:space="preserve">Purpose of the Study </w:t>
      </w:r>
    </w:p>
    <w:p w14:paraId="0D803BAD" w14:textId="77777777" w:rsidR="00B67E48" w:rsidRDefault="00B67E48" w:rsidP="00B67E48">
      <w:pPr>
        <w:spacing w:line="360" w:lineRule="auto"/>
        <w:rPr>
          <w:rFonts w:ascii="Arial" w:hAnsi="Arial" w:cs="Arial"/>
          <w:sz w:val="24"/>
          <w:szCs w:val="24"/>
        </w:rPr>
      </w:pPr>
      <w:r>
        <w:rPr>
          <w:rFonts w:ascii="Arial" w:hAnsi="Arial" w:cs="Arial"/>
          <w:sz w:val="24"/>
          <w:szCs w:val="24"/>
        </w:rPr>
        <w:t xml:space="preserve">At present, the education system in Wales is in the process of undergoing significant reform on multiple levels. Central to the success of this reform are the education workforce, in particular leaders and teachers, who are required to operationalise the national reforms ‘on the ground’, day-in, day-out (Imants, Wubberls and </w:t>
      </w:r>
      <w:proofErr w:type="spellStart"/>
      <w:r>
        <w:rPr>
          <w:rFonts w:ascii="Arial" w:hAnsi="Arial" w:cs="Arial"/>
          <w:sz w:val="24"/>
          <w:szCs w:val="24"/>
        </w:rPr>
        <w:t>Vermunt</w:t>
      </w:r>
      <w:proofErr w:type="spellEnd"/>
      <w:r>
        <w:rPr>
          <w:rFonts w:ascii="Arial" w:hAnsi="Arial" w:cs="Arial"/>
          <w:sz w:val="24"/>
          <w:szCs w:val="24"/>
        </w:rPr>
        <w:t xml:space="preserve">, 2013). This cannot be achieved by chance. Leaders and teachers </w:t>
      </w:r>
      <w:proofErr w:type="gramStart"/>
      <w:r>
        <w:rPr>
          <w:rFonts w:ascii="Arial" w:hAnsi="Arial" w:cs="Arial"/>
          <w:sz w:val="24"/>
          <w:szCs w:val="24"/>
        </w:rPr>
        <w:t>have to</w:t>
      </w:r>
      <w:proofErr w:type="gramEnd"/>
      <w:r>
        <w:rPr>
          <w:rFonts w:ascii="Arial" w:hAnsi="Arial" w:cs="Arial"/>
          <w:sz w:val="24"/>
          <w:szCs w:val="24"/>
        </w:rPr>
        <w:t xml:space="preserve"> feel confident in their own knowledge and expertise to do this effectively (</w:t>
      </w:r>
      <w:proofErr w:type="spellStart"/>
      <w:r>
        <w:rPr>
          <w:rFonts w:ascii="Arial" w:hAnsi="Arial" w:cs="Arial"/>
          <w:sz w:val="24"/>
          <w:szCs w:val="24"/>
        </w:rPr>
        <w:t>Guskey</w:t>
      </w:r>
      <w:proofErr w:type="spellEnd"/>
      <w:r>
        <w:rPr>
          <w:rFonts w:ascii="Arial" w:hAnsi="Arial" w:cs="Arial"/>
          <w:sz w:val="24"/>
          <w:szCs w:val="24"/>
        </w:rPr>
        <w:t xml:space="preserve">, 2002). Teachers with higher self-efficacy are more likely to embrace and persist with reform initiatives (Tschannen-Moran and Woolfolk Hoy, 2001). </w:t>
      </w:r>
    </w:p>
    <w:p w14:paraId="0B7E024A" w14:textId="77777777" w:rsidR="00B67E48" w:rsidRDefault="00B67E48" w:rsidP="00B67E48">
      <w:pPr>
        <w:spacing w:line="360" w:lineRule="auto"/>
        <w:rPr>
          <w:rFonts w:ascii="Arial" w:hAnsi="Arial" w:cs="Arial"/>
          <w:sz w:val="24"/>
          <w:szCs w:val="24"/>
        </w:rPr>
      </w:pPr>
      <w:r>
        <w:rPr>
          <w:rFonts w:ascii="Arial" w:hAnsi="Arial" w:cs="Arial"/>
          <w:sz w:val="24"/>
          <w:szCs w:val="24"/>
        </w:rPr>
        <w:t xml:space="preserve">There is a clear desire at a national level to </w:t>
      </w:r>
      <w:r w:rsidRPr="00795050">
        <w:rPr>
          <w:rFonts w:ascii="Arial" w:hAnsi="Arial" w:cs="Arial"/>
          <w:sz w:val="24"/>
          <w:szCs w:val="24"/>
        </w:rPr>
        <w:t>“…develop reflective, enquiring and collaborative education professionals and a culture of mutual responsibility in relation to professional learning” (Welsh Government, 2022b) who embed reflection, self-evaluation, and improvement at the heart of their work (Welsh Government, 2022a). The principles</w:t>
      </w:r>
      <w:r>
        <w:rPr>
          <w:rFonts w:ascii="Arial" w:hAnsi="Arial" w:cs="Arial"/>
          <w:sz w:val="24"/>
          <w:szCs w:val="24"/>
        </w:rPr>
        <w:t xml:space="preserve"> of such ambition</w:t>
      </w:r>
      <w:r w:rsidRPr="00795050">
        <w:rPr>
          <w:rFonts w:ascii="Arial" w:hAnsi="Arial" w:cs="Arial"/>
          <w:sz w:val="24"/>
          <w:szCs w:val="24"/>
        </w:rPr>
        <w:t xml:space="preserve"> resonate with what international research considers to be features of the most effective approaches to teacher professional development (Stoll</w:t>
      </w:r>
      <w:r>
        <w:rPr>
          <w:rFonts w:ascii="Arial" w:hAnsi="Arial" w:cs="Arial"/>
          <w:sz w:val="24"/>
          <w:szCs w:val="24"/>
        </w:rPr>
        <w:t xml:space="preserve">, Harris and </w:t>
      </w:r>
      <w:proofErr w:type="spellStart"/>
      <w:r>
        <w:rPr>
          <w:rFonts w:ascii="Arial" w:hAnsi="Arial" w:cs="Arial"/>
          <w:sz w:val="24"/>
          <w:szCs w:val="24"/>
        </w:rPr>
        <w:t>Handscomb</w:t>
      </w:r>
      <w:proofErr w:type="spellEnd"/>
      <w:r>
        <w:rPr>
          <w:rFonts w:ascii="Arial" w:hAnsi="Arial" w:cs="Arial"/>
          <w:sz w:val="24"/>
          <w:szCs w:val="24"/>
        </w:rPr>
        <w:t xml:space="preserve">, </w:t>
      </w:r>
      <w:r w:rsidRPr="00795050">
        <w:rPr>
          <w:rFonts w:ascii="Arial" w:hAnsi="Arial" w:cs="Arial"/>
          <w:sz w:val="24"/>
          <w:szCs w:val="24"/>
        </w:rPr>
        <w:t xml:space="preserve">2012; Darling-Hammond et al., 2017; Sims, et al., 2021) </w:t>
      </w:r>
      <w:r>
        <w:rPr>
          <w:rFonts w:ascii="Arial" w:hAnsi="Arial" w:cs="Arial"/>
          <w:sz w:val="24"/>
          <w:szCs w:val="24"/>
        </w:rPr>
        <w:t xml:space="preserve">that builds teacher confidence and expertise through agency (Ingvarson, Meiers and Beavis, 2005) </w:t>
      </w:r>
    </w:p>
    <w:p w14:paraId="7C2A8B53" w14:textId="77777777" w:rsidR="00B67E48" w:rsidRPr="000B2F19" w:rsidRDefault="00B67E48" w:rsidP="00B67E48">
      <w:pPr>
        <w:spacing w:line="360" w:lineRule="auto"/>
        <w:rPr>
          <w:rFonts w:ascii="Arial" w:hAnsi="Arial" w:cs="Arial"/>
          <w:sz w:val="24"/>
          <w:szCs w:val="24"/>
        </w:rPr>
      </w:pPr>
      <w:r>
        <w:rPr>
          <w:rFonts w:ascii="Arial" w:hAnsi="Arial" w:cs="Arial"/>
          <w:sz w:val="24"/>
          <w:szCs w:val="24"/>
        </w:rPr>
        <w:t xml:space="preserve">The purpose of this research is to contribute to the knowledge base regarding teacher self-efficacy, reflective practice and the importance of teacher professional development that can support teacher growth. </w:t>
      </w:r>
    </w:p>
    <w:p w14:paraId="072FE312" w14:textId="77777777" w:rsidR="00B67E48" w:rsidRDefault="00B67E48" w:rsidP="00B67E48">
      <w:pPr>
        <w:spacing w:line="360" w:lineRule="auto"/>
        <w:rPr>
          <w:rFonts w:ascii="Arial" w:hAnsi="Arial" w:cs="Arial"/>
          <w:b/>
          <w:bCs/>
          <w:sz w:val="24"/>
          <w:szCs w:val="24"/>
        </w:rPr>
      </w:pPr>
      <w:r w:rsidRPr="00F118A5">
        <w:rPr>
          <w:rFonts w:ascii="Arial" w:hAnsi="Arial" w:cs="Arial"/>
          <w:b/>
          <w:bCs/>
          <w:sz w:val="24"/>
          <w:szCs w:val="24"/>
        </w:rPr>
        <w:t>Research Questions</w:t>
      </w:r>
    </w:p>
    <w:p w14:paraId="5326DD04" w14:textId="77777777" w:rsidR="00B67E48" w:rsidRPr="00670C24" w:rsidRDefault="00B67E48" w:rsidP="00B67E48">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How does teacher self-efficacy </w:t>
      </w:r>
      <w:r w:rsidRPr="00433BD2">
        <w:rPr>
          <w:rFonts w:ascii="Arial" w:hAnsi="Arial" w:cs="Arial"/>
          <w:sz w:val="24"/>
          <w:szCs w:val="24"/>
        </w:rPr>
        <w:t>differ</w:t>
      </w:r>
      <w:r>
        <w:rPr>
          <w:rFonts w:ascii="Arial" w:hAnsi="Arial" w:cs="Arial"/>
          <w:sz w:val="24"/>
          <w:szCs w:val="24"/>
        </w:rPr>
        <w:t xml:space="preserve"> when analysed according to </w:t>
      </w:r>
      <w:r w:rsidRPr="00670C24">
        <w:rPr>
          <w:rFonts w:ascii="Arial" w:hAnsi="Arial" w:cs="Arial"/>
          <w:sz w:val="24"/>
          <w:szCs w:val="24"/>
        </w:rPr>
        <w:t>gender, experience, and leadership status?</w:t>
      </w:r>
    </w:p>
    <w:p w14:paraId="14F9B421" w14:textId="77777777" w:rsidR="00B67E48" w:rsidRDefault="00B67E48" w:rsidP="00B67E48">
      <w:pPr>
        <w:pStyle w:val="ListParagraph"/>
        <w:numPr>
          <w:ilvl w:val="0"/>
          <w:numId w:val="2"/>
        </w:numPr>
        <w:spacing w:line="360" w:lineRule="auto"/>
        <w:rPr>
          <w:rFonts w:ascii="Arial" w:hAnsi="Arial" w:cs="Arial"/>
          <w:sz w:val="24"/>
          <w:szCs w:val="24"/>
        </w:rPr>
      </w:pPr>
      <w:r>
        <w:rPr>
          <w:rFonts w:ascii="Arial" w:hAnsi="Arial" w:cs="Arial"/>
          <w:sz w:val="24"/>
          <w:szCs w:val="24"/>
        </w:rPr>
        <w:t>How does reflective practice capacity differ when analysed according to gender, experience, and leadership status?</w:t>
      </w:r>
    </w:p>
    <w:p w14:paraId="4A800904" w14:textId="77777777" w:rsidR="00B67E48" w:rsidRDefault="00B67E48" w:rsidP="00B67E48">
      <w:pPr>
        <w:pStyle w:val="ListParagraph"/>
        <w:numPr>
          <w:ilvl w:val="0"/>
          <w:numId w:val="2"/>
        </w:numPr>
        <w:spacing w:line="360" w:lineRule="auto"/>
        <w:rPr>
          <w:rFonts w:ascii="Arial" w:hAnsi="Arial" w:cs="Arial"/>
          <w:sz w:val="24"/>
          <w:szCs w:val="24"/>
        </w:rPr>
      </w:pPr>
      <w:r w:rsidRPr="00273220">
        <w:rPr>
          <w:rFonts w:ascii="Arial" w:hAnsi="Arial" w:cs="Arial"/>
          <w:sz w:val="24"/>
          <w:szCs w:val="24"/>
        </w:rPr>
        <w:t xml:space="preserve">To what extent is there a relationship between teachers' self-efficacy (as measured by the Teachers’ Sense of Self-Efficacy Scale) and reflective practice (as measured by the Reflective Practice Questionnaire)? </w:t>
      </w:r>
    </w:p>
    <w:p w14:paraId="2CE6ACAE" w14:textId="77777777" w:rsidR="00B67E48" w:rsidRDefault="00B67E48" w:rsidP="00B67E48">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How do </w:t>
      </w:r>
      <w:r>
        <w:rPr>
          <w:rFonts w:ascii="Arial" w:eastAsia="Aptos" w:hAnsi="Arial" w:cs="Arial"/>
          <w:kern w:val="2"/>
          <w:sz w:val="24"/>
          <w:szCs w:val="24"/>
          <w14:ligatures w14:val="standardContextual"/>
        </w:rPr>
        <w:t>secondary school teachers in Wales</w:t>
      </w:r>
      <w:r>
        <w:rPr>
          <w:rFonts w:ascii="Arial" w:hAnsi="Arial" w:cs="Arial"/>
          <w:sz w:val="24"/>
          <w:szCs w:val="24"/>
        </w:rPr>
        <w:t xml:space="preserve"> perceive the concept of collaboration, reflection, and reflective practice? </w:t>
      </w:r>
    </w:p>
    <w:p w14:paraId="287B5AF7" w14:textId="77777777" w:rsidR="00B67E48" w:rsidRDefault="00B67E48" w:rsidP="00B67E48">
      <w:pPr>
        <w:pStyle w:val="ListParagraph"/>
        <w:numPr>
          <w:ilvl w:val="0"/>
          <w:numId w:val="2"/>
        </w:numPr>
        <w:spacing w:line="360" w:lineRule="auto"/>
        <w:rPr>
          <w:rFonts w:ascii="Arial" w:hAnsi="Arial" w:cs="Arial"/>
          <w:sz w:val="24"/>
          <w:szCs w:val="24"/>
        </w:rPr>
      </w:pPr>
      <w:r>
        <w:rPr>
          <w:rFonts w:ascii="Arial" w:hAnsi="Arial" w:cs="Arial"/>
          <w:sz w:val="24"/>
          <w:szCs w:val="24"/>
        </w:rPr>
        <w:lastRenderedPageBreak/>
        <w:t>To explore teachers’ perceptions of factors that affect their levels of self-efficacy.</w:t>
      </w:r>
    </w:p>
    <w:p w14:paraId="1F5D81B6" w14:textId="77777777" w:rsidR="00B67E48" w:rsidRDefault="00B67E48" w:rsidP="00B67E48">
      <w:pPr>
        <w:pStyle w:val="ListParagraph"/>
        <w:numPr>
          <w:ilvl w:val="0"/>
          <w:numId w:val="2"/>
        </w:numPr>
        <w:spacing w:line="360" w:lineRule="auto"/>
        <w:rPr>
          <w:rFonts w:ascii="Arial" w:hAnsi="Arial" w:cs="Arial"/>
          <w:sz w:val="24"/>
          <w:szCs w:val="24"/>
        </w:rPr>
      </w:pPr>
      <w:r w:rsidRPr="007D5432">
        <w:rPr>
          <w:rFonts w:ascii="Arial" w:hAnsi="Arial" w:cs="Arial"/>
          <w:sz w:val="24"/>
          <w:szCs w:val="24"/>
        </w:rPr>
        <w:t>How</w:t>
      </w:r>
      <w:r w:rsidRPr="00F37CFA">
        <w:rPr>
          <w:rFonts w:ascii="Arial" w:hAnsi="Arial" w:cs="Arial"/>
          <w:sz w:val="24"/>
          <w:szCs w:val="24"/>
        </w:rPr>
        <w:t xml:space="preserve"> does the unseen observation process</w:t>
      </w:r>
      <w:r>
        <w:rPr>
          <w:rFonts w:ascii="Arial" w:hAnsi="Arial" w:cs="Arial"/>
          <w:sz w:val="24"/>
          <w:szCs w:val="24"/>
        </w:rPr>
        <w:t xml:space="preserve"> i</w:t>
      </w:r>
      <w:r w:rsidRPr="00F37CFA">
        <w:rPr>
          <w:rFonts w:ascii="Arial" w:hAnsi="Arial" w:cs="Arial"/>
          <w:sz w:val="24"/>
          <w:szCs w:val="24"/>
        </w:rPr>
        <w:t>mpact teacher self-efficacy and reflective practice?</w:t>
      </w:r>
    </w:p>
    <w:p w14:paraId="6145DDA2" w14:textId="77777777" w:rsidR="00B67E48" w:rsidRDefault="00B67E48" w:rsidP="00B67E48">
      <w:pPr>
        <w:pStyle w:val="ListParagraph"/>
        <w:numPr>
          <w:ilvl w:val="0"/>
          <w:numId w:val="2"/>
        </w:numPr>
        <w:spacing w:line="360" w:lineRule="auto"/>
        <w:rPr>
          <w:rFonts w:ascii="Arial" w:hAnsi="Arial" w:cs="Arial"/>
          <w:sz w:val="24"/>
          <w:szCs w:val="24"/>
        </w:rPr>
      </w:pPr>
      <w:r>
        <w:rPr>
          <w:rFonts w:ascii="Arial" w:hAnsi="Arial" w:cs="Arial"/>
          <w:sz w:val="24"/>
          <w:szCs w:val="24"/>
        </w:rPr>
        <w:t>How does the unseen observation process contribute to teacher professional development?</w:t>
      </w:r>
    </w:p>
    <w:p w14:paraId="50548ABC" w14:textId="77777777" w:rsidR="00B67E48" w:rsidRPr="0019654F" w:rsidRDefault="00B67E48" w:rsidP="00B67E48">
      <w:pPr>
        <w:pStyle w:val="ListParagraph"/>
        <w:numPr>
          <w:ilvl w:val="0"/>
          <w:numId w:val="2"/>
        </w:numPr>
        <w:spacing w:line="360" w:lineRule="auto"/>
        <w:rPr>
          <w:rFonts w:ascii="Arial" w:hAnsi="Arial" w:cs="Arial"/>
          <w:b/>
          <w:bCs/>
          <w:sz w:val="24"/>
          <w:szCs w:val="24"/>
        </w:rPr>
      </w:pPr>
      <w:r w:rsidRPr="000347A6">
        <w:rPr>
          <w:rFonts w:ascii="Arial" w:hAnsi="Arial" w:cs="Arial"/>
          <w:sz w:val="24"/>
          <w:szCs w:val="24"/>
        </w:rPr>
        <w:t>What are the implications for constructing a teacher development model on policy development at the school and national levels?</w:t>
      </w:r>
    </w:p>
    <w:p w14:paraId="565B23F0" w14:textId="77777777" w:rsidR="00B67E48" w:rsidRDefault="00B67E48" w:rsidP="00B67E48">
      <w:pPr>
        <w:pStyle w:val="ListParagraph"/>
        <w:spacing w:line="360" w:lineRule="auto"/>
        <w:rPr>
          <w:rFonts w:ascii="Arial" w:hAnsi="Arial" w:cs="Arial"/>
          <w:sz w:val="24"/>
          <w:szCs w:val="24"/>
        </w:rPr>
      </w:pPr>
    </w:p>
    <w:p w14:paraId="017E9FA2" w14:textId="77777777" w:rsidR="00B67E48" w:rsidRDefault="00B67E48" w:rsidP="00B67E48">
      <w:pPr>
        <w:pStyle w:val="ListParagraph"/>
        <w:spacing w:line="360" w:lineRule="auto"/>
        <w:rPr>
          <w:rFonts w:ascii="Arial" w:hAnsi="Arial" w:cs="Arial"/>
          <w:sz w:val="24"/>
          <w:szCs w:val="24"/>
        </w:rPr>
      </w:pPr>
    </w:p>
    <w:p w14:paraId="71BEBD79" w14:textId="77777777" w:rsidR="00B67E48" w:rsidRDefault="00B67E48" w:rsidP="00B67E48">
      <w:pPr>
        <w:pStyle w:val="ListParagraph"/>
        <w:spacing w:line="360" w:lineRule="auto"/>
        <w:rPr>
          <w:rFonts w:ascii="Arial" w:hAnsi="Arial" w:cs="Arial"/>
          <w:sz w:val="24"/>
          <w:szCs w:val="24"/>
        </w:rPr>
      </w:pPr>
    </w:p>
    <w:p w14:paraId="3D77D0EE" w14:textId="77777777" w:rsidR="00B67E48" w:rsidRPr="00F118A5" w:rsidRDefault="00B67E48" w:rsidP="00B67E48">
      <w:pPr>
        <w:pStyle w:val="ListParagraph"/>
        <w:spacing w:line="360" w:lineRule="auto"/>
        <w:rPr>
          <w:rFonts w:ascii="Arial" w:hAnsi="Arial" w:cs="Arial"/>
          <w:b/>
          <w:bCs/>
          <w:sz w:val="24"/>
          <w:szCs w:val="24"/>
        </w:rPr>
      </w:pPr>
    </w:p>
    <w:p w14:paraId="38971726" w14:textId="77777777" w:rsidR="00B67E48" w:rsidRDefault="00B67E48" w:rsidP="00B67E48">
      <w:pPr>
        <w:rPr>
          <w:rFonts w:ascii="Arial" w:hAnsi="Arial" w:cs="Arial"/>
          <w:b/>
          <w:bCs/>
          <w:sz w:val="24"/>
          <w:szCs w:val="24"/>
        </w:rPr>
      </w:pPr>
      <w:r>
        <w:rPr>
          <w:rFonts w:ascii="Arial" w:hAnsi="Arial" w:cs="Arial"/>
          <w:b/>
          <w:bCs/>
          <w:sz w:val="24"/>
          <w:szCs w:val="24"/>
        </w:rPr>
        <w:br w:type="page"/>
      </w:r>
    </w:p>
    <w:p w14:paraId="175FDABC" w14:textId="77777777" w:rsidR="00B67E48" w:rsidRPr="00F118A5" w:rsidRDefault="00B67E48" w:rsidP="00B67E48">
      <w:pPr>
        <w:spacing w:line="360" w:lineRule="auto"/>
        <w:jc w:val="both"/>
        <w:rPr>
          <w:rFonts w:ascii="Arial" w:hAnsi="Arial" w:cs="Arial"/>
          <w:b/>
          <w:bCs/>
          <w:sz w:val="24"/>
          <w:szCs w:val="24"/>
        </w:rPr>
      </w:pPr>
      <w:r w:rsidRPr="00F118A5">
        <w:rPr>
          <w:rFonts w:ascii="Arial" w:hAnsi="Arial" w:cs="Arial"/>
          <w:b/>
          <w:bCs/>
          <w:sz w:val="24"/>
          <w:szCs w:val="24"/>
        </w:rPr>
        <w:lastRenderedPageBreak/>
        <w:t>Structure of the Study</w:t>
      </w:r>
    </w:p>
    <w:p w14:paraId="53570E2D" w14:textId="77777777" w:rsidR="00B67E48" w:rsidRPr="00F118A5" w:rsidRDefault="00B67E48" w:rsidP="00B67E48">
      <w:pPr>
        <w:spacing w:line="360" w:lineRule="auto"/>
        <w:jc w:val="both"/>
        <w:rPr>
          <w:rFonts w:ascii="Arial" w:hAnsi="Arial" w:cs="Arial"/>
          <w:sz w:val="24"/>
          <w:szCs w:val="24"/>
        </w:rPr>
      </w:pPr>
      <w:r w:rsidRPr="00F118A5">
        <w:rPr>
          <w:rFonts w:ascii="Arial" w:hAnsi="Arial" w:cs="Arial"/>
          <w:sz w:val="24"/>
          <w:szCs w:val="24"/>
        </w:rPr>
        <w:t xml:space="preserve">This current thesis is structured into </w:t>
      </w:r>
      <w:r>
        <w:rPr>
          <w:rFonts w:ascii="Arial" w:hAnsi="Arial" w:cs="Arial"/>
          <w:sz w:val="24"/>
          <w:szCs w:val="24"/>
        </w:rPr>
        <w:t>six</w:t>
      </w:r>
      <w:r w:rsidRPr="00F118A5">
        <w:rPr>
          <w:rFonts w:ascii="Arial" w:hAnsi="Arial" w:cs="Arial"/>
          <w:sz w:val="24"/>
          <w:szCs w:val="24"/>
        </w:rPr>
        <w:t xml:space="preserve"> chapters in addition to the present chapter, the introduction. The introduction commences with </w:t>
      </w:r>
      <w:r>
        <w:rPr>
          <w:rFonts w:ascii="Arial" w:hAnsi="Arial" w:cs="Arial"/>
          <w:sz w:val="24"/>
          <w:szCs w:val="24"/>
        </w:rPr>
        <w:t>concise contextual information</w:t>
      </w:r>
      <w:r w:rsidRPr="00F118A5">
        <w:rPr>
          <w:rFonts w:ascii="Arial" w:hAnsi="Arial" w:cs="Arial"/>
          <w:sz w:val="24"/>
          <w:szCs w:val="24"/>
        </w:rPr>
        <w:t xml:space="preserve">. </w:t>
      </w:r>
    </w:p>
    <w:p w14:paraId="4DC7B0CF" w14:textId="77777777" w:rsidR="00B67E48" w:rsidRPr="00F118A5" w:rsidRDefault="00B67E48" w:rsidP="00B67E48">
      <w:pPr>
        <w:spacing w:line="360" w:lineRule="auto"/>
        <w:jc w:val="both"/>
        <w:rPr>
          <w:rFonts w:ascii="Arial" w:hAnsi="Arial" w:cs="Arial"/>
          <w:sz w:val="24"/>
          <w:szCs w:val="24"/>
        </w:rPr>
      </w:pPr>
      <w:r w:rsidRPr="00F118A5">
        <w:rPr>
          <w:rFonts w:ascii="Arial" w:hAnsi="Arial" w:cs="Arial"/>
          <w:sz w:val="24"/>
          <w:szCs w:val="24"/>
        </w:rPr>
        <w:t xml:space="preserve">Chapter </w:t>
      </w:r>
      <w:r>
        <w:rPr>
          <w:rFonts w:ascii="Arial" w:hAnsi="Arial" w:cs="Arial"/>
          <w:sz w:val="24"/>
          <w:szCs w:val="24"/>
        </w:rPr>
        <w:t>1</w:t>
      </w:r>
      <w:r w:rsidRPr="00F118A5">
        <w:rPr>
          <w:rFonts w:ascii="Arial" w:hAnsi="Arial" w:cs="Arial"/>
          <w:sz w:val="24"/>
          <w:szCs w:val="24"/>
        </w:rPr>
        <w:t xml:space="preserve"> provides a detailed, critical </w:t>
      </w:r>
      <w:r>
        <w:rPr>
          <w:rFonts w:ascii="Arial" w:hAnsi="Arial" w:cs="Arial"/>
          <w:sz w:val="24"/>
          <w:szCs w:val="24"/>
        </w:rPr>
        <w:t xml:space="preserve">literature review regarding the </w:t>
      </w:r>
      <w:r w:rsidRPr="00F118A5">
        <w:rPr>
          <w:rFonts w:ascii="Arial" w:hAnsi="Arial" w:cs="Arial"/>
          <w:sz w:val="24"/>
          <w:szCs w:val="24"/>
        </w:rPr>
        <w:t xml:space="preserve">areas linked to this study. This relates to performance development and associated policies from the perspective of a Welsh context. It reviews teacher professional development and the impact of leadership on a macro, </w:t>
      </w:r>
      <w:proofErr w:type="spellStart"/>
      <w:r w:rsidRPr="00F118A5">
        <w:rPr>
          <w:rFonts w:ascii="Arial" w:hAnsi="Arial" w:cs="Arial"/>
          <w:sz w:val="24"/>
          <w:szCs w:val="24"/>
        </w:rPr>
        <w:t>meso</w:t>
      </w:r>
      <w:proofErr w:type="spellEnd"/>
      <w:r w:rsidRPr="00F118A5">
        <w:rPr>
          <w:rFonts w:ascii="Arial" w:hAnsi="Arial" w:cs="Arial"/>
          <w:sz w:val="24"/>
          <w:szCs w:val="24"/>
        </w:rPr>
        <w:t xml:space="preserve"> and micro level. Finally, it reviews definitions and models of self-efficacy and reflective practice.</w:t>
      </w:r>
    </w:p>
    <w:p w14:paraId="00D6D496" w14:textId="77777777" w:rsidR="00B67E48" w:rsidRPr="00F118A5" w:rsidRDefault="00B67E48" w:rsidP="00B67E48">
      <w:pPr>
        <w:spacing w:line="360" w:lineRule="auto"/>
        <w:jc w:val="both"/>
        <w:rPr>
          <w:rFonts w:ascii="Arial" w:hAnsi="Arial" w:cs="Arial"/>
          <w:sz w:val="24"/>
          <w:szCs w:val="24"/>
        </w:rPr>
      </w:pPr>
      <w:r w:rsidRPr="00F118A5">
        <w:rPr>
          <w:rFonts w:ascii="Arial" w:hAnsi="Arial" w:cs="Arial"/>
          <w:sz w:val="24"/>
          <w:szCs w:val="24"/>
        </w:rPr>
        <w:t xml:space="preserve">Chapter </w:t>
      </w:r>
      <w:r>
        <w:rPr>
          <w:rFonts w:ascii="Arial" w:hAnsi="Arial" w:cs="Arial"/>
          <w:sz w:val="24"/>
          <w:szCs w:val="24"/>
        </w:rPr>
        <w:t>2</w:t>
      </w:r>
      <w:r w:rsidRPr="00F118A5">
        <w:rPr>
          <w:rFonts w:ascii="Arial" w:hAnsi="Arial" w:cs="Arial"/>
          <w:sz w:val="24"/>
          <w:szCs w:val="24"/>
        </w:rPr>
        <w:t xml:space="preserve"> outlines the methodology and research tools </w:t>
      </w:r>
      <w:r>
        <w:rPr>
          <w:rFonts w:ascii="Arial" w:hAnsi="Arial" w:cs="Arial"/>
          <w:sz w:val="24"/>
          <w:szCs w:val="24"/>
        </w:rPr>
        <w:t>employed in the current study. It justifies the philosophical underpinnings adopted for this study, outlining my epistemological and ontological perspective and positionality as a researcher. It then explains the rationale for the research design, sampling technique,</w:t>
      </w:r>
      <w:r w:rsidRPr="00F118A5">
        <w:rPr>
          <w:rFonts w:ascii="Arial" w:hAnsi="Arial" w:cs="Arial"/>
          <w:sz w:val="24"/>
          <w:szCs w:val="24"/>
        </w:rPr>
        <w:t xml:space="preserve"> and chosen research instruments adopted for </w:t>
      </w:r>
      <w:r>
        <w:rPr>
          <w:rFonts w:ascii="Arial" w:hAnsi="Arial" w:cs="Arial"/>
          <w:sz w:val="24"/>
          <w:szCs w:val="24"/>
        </w:rPr>
        <w:t>the study's quantitative and qualitative phases</w:t>
      </w:r>
      <w:r w:rsidRPr="00F118A5">
        <w:rPr>
          <w:rFonts w:ascii="Arial" w:hAnsi="Arial" w:cs="Arial"/>
          <w:sz w:val="24"/>
          <w:szCs w:val="24"/>
        </w:rPr>
        <w:t xml:space="preserve">. This includes considering the </w:t>
      </w:r>
      <w:r>
        <w:rPr>
          <w:rFonts w:ascii="Arial" w:hAnsi="Arial" w:cs="Arial"/>
          <w:sz w:val="24"/>
          <w:szCs w:val="24"/>
        </w:rPr>
        <w:t>data collection's validity, reliability, and trustworthiness</w:t>
      </w:r>
      <w:r w:rsidRPr="00F118A5">
        <w:rPr>
          <w:rFonts w:ascii="Arial" w:hAnsi="Arial" w:cs="Arial"/>
          <w:sz w:val="24"/>
          <w:szCs w:val="24"/>
        </w:rPr>
        <w:t xml:space="preserve">. It concludes by outlining the data presentation and analysis process. </w:t>
      </w:r>
    </w:p>
    <w:p w14:paraId="4CA63ABC" w14:textId="77777777" w:rsidR="00B67E48" w:rsidRPr="00F118A5" w:rsidRDefault="00B67E48" w:rsidP="00B67E48">
      <w:pPr>
        <w:spacing w:line="360" w:lineRule="auto"/>
        <w:jc w:val="both"/>
        <w:rPr>
          <w:rFonts w:ascii="Arial" w:hAnsi="Arial" w:cs="Arial"/>
          <w:sz w:val="24"/>
          <w:szCs w:val="24"/>
        </w:rPr>
      </w:pPr>
      <w:r w:rsidRPr="00F118A5">
        <w:rPr>
          <w:rFonts w:ascii="Arial" w:hAnsi="Arial" w:cs="Arial"/>
          <w:sz w:val="24"/>
          <w:szCs w:val="24"/>
        </w:rPr>
        <w:t xml:space="preserve">Chapter </w:t>
      </w:r>
      <w:r>
        <w:rPr>
          <w:rFonts w:ascii="Arial" w:hAnsi="Arial" w:cs="Arial"/>
          <w:sz w:val="24"/>
          <w:szCs w:val="24"/>
        </w:rPr>
        <w:t>3</w:t>
      </w:r>
      <w:r w:rsidRPr="00F118A5">
        <w:rPr>
          <w:rFonts w:ascii="Arial" w:hAnsi="Arial" w:cs="Arial"/>
          <w:sz w:val="24"/>
          <w:szCs w:val="24"/>
        </w:rPr>
        <w:t xml:space="preserve"> </w:t>
      </w:r>
      <w:r>
        <w:rPr>
          <w:rFonts w:ascii="Arial" w:hAnsi="Arial" w:cs="Arial"/>
          <w:sz w:val="24"/>
          <w:szCs w:val="24"/>
        </w:rPr>
        <w:t>explains</w:t>
      </w:r>
      <w:r w:rsidRPr="00F118A5">
        <w:rPr>
          <w:rFonts w:ascii="Arial" w:hAnsi="Arial" w:cs="Arial"/>
          <w:sz w:val="24"/>
          <w:szCs w:val="24"/>
        </w:rPr>
        <w:t xml:space="preserve"> the </w:t>
      </w:r>
      <w:r>
        <w:rPr>
          <w:rFonts w:ascii="Arial" w:hAnsi="Arial" w:cs="Arial"/>
          <w:sz w:val="24"/>
          <w:szCs w:val="24"/>
        </w:rPr>
        <w:t>teacher professional development model adopted in this study and analyses its strengths and weaknesses</w:t>
      </w:r>
      <w:r w:rsidRPr="00F118A5">
        <w:rPr>
          <w:rFonts w:ascii="Arial" w:hAnsi="Arial" w:cs="Arial"/>
          <w:sz w:val="24"/>
          <w:szCs w:val="24"/>
        </w:rPr>
        <w:t xml:space="preserve">. </w:t>
      </w:r>
    </w:p>
    <w:p w14:paraId="202819A3" w14:textId="77777777" w:rsidR="00B67E48" w:rsidRPr="00F118A5" w:rsidRDefault="00B67E48" w:rsidP="00B67E48">
      <w:pPr>
        <w:spacing w:line="360" w:lineRule="auto"/>
        <w:jc w:val="both"/>
        <w:rPr>
          <w:rFonts w:ascii="Arial" w:hAnsi="Arial" w:cs="Arial"/>
          <w:sz w:val="24"/>
          <w:szCs w:val="24"/>
        </w:rPr>
      </w:pPr>
      <w:r w:rsidRPr="00F118A5">
        <w:rPr>
          <w:rFonts w:ascii="Arial" w:hAnsi="Arial" w:cs="Arial"/>
          <w:sz w:val="24"/>
          <w:szCs w:val="24"/>
        </w:rPr>
        <w:t xml:space="preserve">Chapter </w:t>
      </w:r>
      <w:r>
        <w:rPr>
          <w:rFonts w:ascii="Arial" w:hAnsi="Arial" w:cs="Arial"/>
          <w:sz w:val="24"/>
          <w:szCs w:val="24"/>
        </w:rPr>
        <w:t>4</w:t>
      </w:r>
      <w:r w:rsidRPr="00F118A5">
        <w:rPr>
          <w:rFonts w:ascii="Arial" w:hAnsi="Arial" w:cs="Arial"/>
          <w:sz w:val="24"/>
          <w:szCs w:val="24"/>
        </w:rPr>
        <w:t xml:space="preserve"> presents a comprehensive description of the data preparation methods and a detailed presentation of findings. It comprises </w:t>
      </w:r>
      <w:r>
        <w:rPr>
          <w:rFonts w:ascii="Arial" w:hAnsi="Arial" w:cs="Arial"/>
          <w:sz w:val="24"/>
          <w:szCs w:val="24"/>
        </w:rPr>
        <w:t>several subdivisions, including an introduction to</w:t>
      </w:r>
      <w:r w:rsidRPr="00F118A5">
        <w:rPr>
          <w:rFonts w:ascii="Arial" w:hAnsi="Arial" w:cs="Arial"/>
          <w:sz w:val="24"/>
          <w:szCs w:val="24"/>
        </w:rPr>
        <w:t xml:space="preserve"> the quantitative instruments used. </w:t>
      </w:r>
      <w:r>
        <w:rPr>
          <w:rFonts w:ascii="Arial" w:hAnsi="Arial" w:cs="Arial"/>
          <w:sz w:val="24"/>
          <w:szCs w:val="24"/>
        </w:rPr>
        <w:t>A description and interpretation of the findings are presented,</w:t>
      </w:r>
      <w:r w:rsidRPr="00F118A5">
        <w:rPr>
          <w:rFonts w:ascii="Arial" w:hAnsi="Arial" w:cs="Arial"/>
          <w:sz w:val="24"/>
          <w:szCs w:val="24"/>
        </w:rPr>
        <w:t xml:space="preserve"> </w:t>
      </w:r>
      <w:r>
        <w:rPr>
          <w:rFonts w:ascii="Arial" w:hAnsi="Arial" w:cs="Arial"/>
          <w:sz w:val="24"/>
          <w:szCs w:val="24"/>
        </w:rPr>
        <w:t>determining</w:t>
      </w:r>
      <w:r w:rsidRPr="00F118A5">
        <w:rPr>
          <w:rFonts w:ascii="Arial" w:hAnsi="Arial" w:cs="Arial"/>
          <w:sz w:val="24"/>
          <w:szCs w:val="24"/>
        </w:rPr>
        <w:t xml:space="preserve"> the relationship between teachers’ sense of self-efficacy and levels of reflective practice. This has been completed for the </w:t>
      </w:r>
      <w:r>
        <w:rPr>
          <w:rFonts w:ascii="Arial" w:hAnsi="Arial" w:cs="Arial"/>
          <w:sz w:val="24"/>
          <w:szCs w:val="24"/>
        </w:rPr>
        <w:t>pre- and</w:t>
      </w:r>
      <w:r w:rsidRPr="00F118A5">
        <w:rPr>
          <w:rFonts w:ascii="Arial" w:hAnsi="Arial" w:cs="Arial"/>
          <w:sz w:val="24"/>
          <w:szCs w:val="24"/>
        </w:rPr>
        <w:t xml:space="preserve"> post-completion of the questionnaire. It </w:t>
      </w:r>
      <w:r>
        <w:rPr>
          <w:rFonts w:ascii="Arial" w:hAnsi="Arial" w:cs="Arial"/>
          <w:sz w:val="24"/>
          <w:szCs w:val="24"/>
        </w:rPr>
        <w:t>examines</w:t>
      </w:r>
      <w:r w:rsidRPr="00F118A5">
        <w:rPr>
          <w:rFonts w:ascii="Arial" w:hAnsi="Arial" w:cs="Arial"/>
          <w:sz w:val="24"/>
          <w:szCs w:val="24"/>
        </w:rPr>
        <w:t xml:space="preserve"> the correlational analysis and associates between the two instruments and </w:t>
      </w:r>
      <w:r>
        <w:rPr>
          <w:rFonts w:ascii="Arial" w:hAnsi="Arial" w:cs="Arial"/>
          <w:sz w:val="24"/>
          <w:szCs w:val="24"/>
        </w:rPr>
        <w:t>critical</w:t>
      </w:r>
      <w:r w:rsidRPr="00F118A5">
        <w:rPr>
          <w:rFonts w:ascii="Arial" w:hAnsi="Arial" w:cs="Arial"/>
          <w:sz w:val="24"/>
          <w:szCs w:val="24"/>
        </w:rPr>
        <w:t xml:space="preserve"> variables.</w:t>
      </w:r>
    </w:p>
    <w:p w14:paraId="3D6C5144" w14:textId="77777777" w:rsidR="00B67E48" w:rsidRPr="00F118A5" w:rsidRDefault="00B67E48" w:rsidP="00B67E48">
      <w:pPr>
        <w:spacing w:line="360" w:lineRule="auto"/>
        <w:jc w:val="both"/>
        <w:rPr>
          <w:rFonts w:ascii="Arial" w:hAnsi="Arial" w:cs="Arial"/>
          <w:sz w:val="24"/>
          <w:szCs w:val="24"/>
        </w:rPr>
      </w:pPr>
      <w:r w:rsidRPr="00F118A5">
        <w:rPr>
          <w:rFonts w:ascii="Arial" w:hAnsi="Arial" w:cs="Arial"/>
          <w:sz w:val="24"/>
          <w:szCs w:val="24"/>
        </w:rPr>
        <w:t xml:space="preserve">Chapter </w:t>
      </w:r>
      <w:r>
        <w:rPr>
          <w:rFonts w:ascii="Arial" w:hAnsi="Arial" w:cs="Arial"/>
          <w:sz w:val="24"/>
          <w:szCs w:val="24"/>
        </w:rPr>
        <w:t>5</w:t>
      </w:r>
      <w:r w:rsidRPr="00F118A5">
        <w:rPr>
          <w:rFonts w:ascii="Arial" w:hAnsi="Arial" w:cs="Arial"/>
          <w:sz w:val="24"/>
          <w:szCs w:val="24"/>
        </w:rPr>
        <w:t xml:space="preserve"> discusses and explores the </w:t>
      </w:r>
      <w:r>
        <w:rPr>
          <w:rFonts w:ascii="Arial" w:hAnsi="Arial" w:cs="Arial"/>
          <w:sz w:val="24"/>
          <w:szCs w:val="24"/>
        </w:rPr>
        <w:t>study's key findings</w:t>
      </w:r>
      <w:r w:rsidRPr="00F118A5">
        <w:rPr>
          <w:rFonts w:ascii="Arial" w:hAnsi="Arial" w:cs="Arial"/>
          <w:sz w:val="24"/>
          <w:szCs w:val="24"/>
        </w:rPr>
        <w:t xml:space="preserve"> </w:t>
      </w:r>
      <w:r>
        <w:rPr>
          <w:rFonts w:ascii="Arial" w:hAnsi="Arial" w:cs="Arial"/>
          <w:sz w:val="24"/>
          <w:szCs w:val="24"/>
        </w:rPr>
        <w:t>about</w:t>
      </w:r>
      <w:r w:rsidRPr="00F118A5">
        <w:rPr>
          <w:rFonts w:ascii="Arial" w:hAnsi="Arial" w:cs="Arial"/>
          <w:sz w:val="24"/>
          <w:szCs w:val="24"/>
        </w:rPr>
        <w:t xml:space="preserve"> the research questions framed within the current literature review.</w:t>
      </w:r>
    </w:p>
    <w:p w14:paraId="1BD3F15C" w14:textId="7F766961" w:rsidR="00DA6543" w:rsidRDefault="00B67E48" w:rsidP="00B67E48">
      <w:r w:rsidRPr="00F118A5">
        <w:rPr>
          <w:rFonts w:ascii="Arial" w:hAnsi="Arial" w:cs="Arial"/>
          <w:sz w:val="24"/>
          <w:szCs w:val="24"/>
        </w:rPr>
        <w:t xml:space="preserve">Chapter </w:t>
      </w:r>
      <w:r>
        <w:rPr>
          <w:rFonts w:ascii="Arial" w:hAnsi="Arial" w:cs="Arial"/>
          <w:sz w:val="24"/>
          <w:szCs w:val="24"/>
        </w:rPr>
        <w:t>6</w:t>
      </w:r>
      <w:r w:rsidRPr="00F118A5">
        <w:rPr>
          <w:rFonts w:ascii="Arial" w:hAnsi="Arial" w:cs="Arial"/>
          <w:sz w:val="24"/>
          <w:szCs w:val="24"/>
        </w:rPr>
        <w:t xml:space="preserve"> summarises the </w:t>
      </w:r>
      <w:r>
        <w:rPr>
          <w:rFonts w:ascii="Arial" w:hAnsi="Arial" w:cs="Arial"/>
          <w:sz w:val="24"/>
          <w:szCs w:val="24"/>
        </w:rPr>
        <w:t xml:space="preserve">study's limitations and implications for future research. It also considers the contribution that this study makes </w:t>
      </w:r>
      <w:r w:rsidRPr="00F118A5">
        <w:rPr>
          <w:rFonts w:ascii="Arial" w:hAnsi="Arial" w:cs="Arial"/>
          <w:sz w:val="24"/>
          <w:szCs w:val="24"/>
        </w:rPr>
        <w:t>to policy and practice.</w:t>
      </w:r>
    </w:p>
    <w:sectPr w:rsidR="00DA65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C45190"/>
    <w:multiLevelType w:val="hybridMultilevel"/>
    <w:tmpl w:val="46DCF2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EF598F"/>
    <w:multiLevelType w:val="hybridMultilevel"/>
    <w:tmpl w:val="3AAC31CE"/>
    <w:lvl w:ilvl="0" w:tplc="8B1892C6">
      <w:start w:val="5"/>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2578863">
    <w:abstractNumId w:val="1"/>
  </w:num>
  <w:num w:numId="2" w16cid:durableId="1277327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E48"/>
    <w:rsid w:val="00350148"/>
    <w:rsid w:val="00935F0C"/>
    <w:rsid w:val="00B67E48"/>
    <w:rsid w:val="00DA65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CF06DE"/>
  <w15:chartTrackingRefBased/>
  <w15:docId w15:val="{50A673DB-1AB9-46ED-97DD-C946E4EFE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E48"/>
    <w:pPr>
      <w:spacing w:line="259" w:lineRule="auto"/>
    </w:pPr>
    <w:rPr>
      <w:kern w:val="0"/>
      <w:sz w:val="22"/>
      <w:szCs w:val="22"/>
      <w14:ligatures w14:val="none"/>
    </w:rPr>
  </w:style>
  <w:style w:type="paragraph" w:styleId="Heading1">
    <w:name w:val="heading 1"/>
    <w:basedOn w:val="Normal"/>
    <w:next w:val="Normal"/>
    <w:link w:val="Heading1Char"/>
    <w:uiPriority w:val="9"/>
    <w:qFormat/>
    <w:rsid w:val="00B67E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7E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7E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7E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7E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7E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7E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7E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7E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7E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7E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7E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7E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7E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7E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7E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7E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7E48"/>
    <w:rPr>
      <w:rFonts w:eastAsiaTheme="majorEastAsia" w:cstheme="majorBidi"/>
      <w:color w:val="272727" w:themeColor="text1" w:themeTint="D8"/>
    </w:rPr>
  </w:style>
  <w:style w:type="paragraph" w:styleId="Title">
    <w:name w:val="Title"/>
    <w:basedOn w:val="Normal"/>
    <w:next w:val="Normal"/>
    <w:link w:val="TitleChar"/>
    <w:uiPriority w:val="10"/>
    <w:qFormat/>
    <w:rsid w:val="00B67E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7E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7E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7E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7E48"/>
    <w:pPr>
      <w:spacing w:before="160"/>
      <w:jc w:val="center"/>
    </w:pPr>
    <w:rPr>
      <w:i/>
      <w:iCs/>
      <w:color w:val="404040" w:themeColor="text1" w:themeTint="BF"/>
    </w:rPr>
  </w:style>
  <w:style w:type="character" w:customStyle="1" w:styleId="QuoteChar">
    <w:name w:val="Quote Char"/>
    <w:basedOn w:val="DefaultParagraphFont"/>
    <w:link w:val="Quote"/>
    <w:uiPriority w:val="29"/>
    <w:rsid w:val="00B67E48"/>
    <w:rPr>
      <w:i/>
      <w:iCs/>
      <w:color w:val="404040" w:themeColor="text1" w:themeTint="BF"/>
    </w:rPr>
  </w:style>
  <w:style w:type="paragraph" w:styleId="ListParagraph">
    <w:name w:val="List Paragraph"/>
    <w:basedOn w:val="Normal"/>
    <w:uiPriority w:val="34"/>
    <w:qFormat/>
    <w:rsid w:val="00B67E48"/>
    <w:pPr>
      <w:ind w:left="720"/>
      <w:contextualSpacing/>
    </w:pPr>
  </w:style>
  <w:style w:type="character" w:styleId="IntenseEmphasis">
    <w:name w:val="Intense Emphasis"/>
    <w:basedOn w:val="DefaultParagraphFont"/>
    <w:uiPriority w:val="21"/>
    <w:qFormat/>
    <w:rsid w:val="00B67E48"/>
    <w:rPr>
      <w:i/>
      <w:iCs/>
      <w:color w:val="0F4761" w:themeColor="accent1" w:themeShade="BF"/>
    </w:rPr>
  </w:style>
  <w:style w:type="paragraph" w:styleId="IntenseQuote">
    <w:name w:val="Intense Quote"/>
    <w:basedOn w:val="Normal"/>
    <w:next w:val="Normal"/>
    <w:link w:val="IntenseQuoteChar"/>
    <w:uiPriority w:val="30"/>
    <w:qFormat/>
    <w:rsid w:val="00B67E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7E48"/>
    <w:rPr>
      <w:i/>
      <w:iCs/>
      <w:color w:val="0F4761" w:themeColor="accent1" w:themeShade="BF"/>
    </w:rPr>
  </w:style>
  <w:style w:type="character" w:styleId="IntenseReference">
    <w:name w:val="Intense Reference"/>
    <w:basedOn w:val="DefaultParagraphFont"/>
    <w:uiPriority w:val="32"/>
    <w:qFormat/>
    <w:rsid w:val="00B67E4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Net20</b:Tag>
    <b:SourceType>Book</b:SourceType>
    <b:Guid>{03B836F0-A63A-48CF-85A9-7F69FA8B4CFD}</b:Guid>
    <b:Title>Transformational Professional Learning </b:Title>
    <b:Year>2020</b:Year>
    <b:Publisher>Routledge</b:Publisher>
    <b:City>Oxon</b:City>
    <b:Author>
      <b:Author>
        <b:NameList>
          <b:Person>
            <b:Last>Netloicky</b:Last>
            <b:First>D</b:First>
          </b:Person>
        </b:NameList>
      </b:Author>
    </b:Author>
    <b:RefOrder>4</b:RefOrder>
  </b:Source>
</b:Sources>
</file>

<file path=customXml/itemProps1.xml><?xml version="1.0" encoding="utf-8"?>
<ds:datastoreItem xmlns:ds="http://schemas.openxmlformats.org/officeDocument/2006/customXml" ds:itemID="{9EC30D44-0F62-4FE9-ACB7-4483C9247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2418</Words>
  <Characters>14378</Characters>
  <Application>Microsoft Office Word</Application>
  <DocSecurity>0</DocSecurity>
  <Lines>239</Lines>
  <Paragraphs>54</Paragraphs>
  <ScaleCrop>false</ScaleCrop>
  <Company/>
  <LinksUpToDate>false</LinksUpToDate>
  <CharactersWithSpaces>16742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Goulding (Pentrehafod School)</dc:creator>
  <cp:keywords/>
  <dc:description/>
  <cp:lastModifiedBy>M Goulding (Pentrehafod School)</cp:lastModifiedBy>
  <cp:revision>1</cp:revision>
  <dcterms:created xsi:type="dcterms:W3CDTF">2024-06-29T09:26:00Z</dcterms:created>
  <dcterms:modified xsi:type="dcterms:W3CDTF">2024-06-29T09:27:00Z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3f08c67a-4793-4a76-a64c-22271b8bb810</vt:lpwstr>
  </property>
</Properties>
</file>