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2A76B" w14:textId="77777777" w:rsidR="004500D4" w:rsidRDefault="00873372">
      <w:pPr>
        <w:spacing w:before="900"/>
        <w:jc w:val="center"/>
      </w:pPr>
      <w:r>
        <w:rPr>
          <w:b/>
          <w:sz w:val="30"/>
        </w:rPr>
        <w:t>UNIVERSITY OF WALES TRINITY SAINT DAVID</w:t>
      </w:r>
    </w:p>
    <w:p w14:paraId="56DD8E4F" w14:textId="77777777" w:rsidR="004500D4" w:rsidRDefault="00873372">
      <w:pPr>
        <w:spacing w:before="560"/>
        <w:jc w:val="center"/>
      </w:pPr>
      <w:r>
        <w:t>BSc (Hons) Health and Social Care</w:t>
      </w:r>
    </w:p>
    <w:p w14:paraId="0CA94FC2" w14:textId="77777777" w:rsidR="004500D4" w:rsidRDefault="00873372">
      <w:pPr>
        <w:spacing w:before="240"/>
        <w:jc w:val="center"/>
      </w:pPr>
      <w:r>
        <w:t>BMHP6026 – Digital Transformation in the Health and Care Professions</w:t>
      </w:r>
    </w:p>
    <w:p w14:paraId="56657DE6" w14:textId="77777777" w:rsidR="004500D4" w:rsidRDefault="00873372">
      <w:pPr>
        <w:spacing w:before="240"/>
        <w:jc w:val="center"/>
      </w:pPr>
      <w:r>
        <w:t>Component 1 – Written Report</w:t>
      </w:r>
    </w:p>
    <w:p w14:paraId="0E9BB1C8" w14:textId="77777777" w:rsidR="004500D4" w:rsidRDefault="00873372">
      <w:pPr>
        <w:pStyle w:val="Title"/>
        <w:spacing w:before="700"/>
        <w:jc w:val="center"/>
      </w:pPr>
      <w:r>
        <w:t>Digital Transformation Through Technology-Enabled Virtual Wards: A Critical Evaluation of Remote Patient Monitoring in NHS England</w:t>
      </w:r>
    </w:p>
    <w:p w14:paraId="05FFF53D" w14:textId="77777777" w:rsidR="004500D4" w:rsidRDefault="00873372">
      <w:pPr>
        <w:spacing w:before="240"/>
        <w:jc w:val="center"/>
      </w:pPr>
      <w:r>
        <w:rPr>
          <w:b/>
        </w:rPr>
        <w:t xml:space="preserve">Student Name: </w:t>
      </w:r>
      <w:r>
        <w:t>Marie Andrews</w:t>
      </w:r>
    </w:p>
    <w:p w14:paraId="476FE5C0" w14:textId="77777777" w:rsidR="004500D4" w:rsidRDefault="00873372">
      <w:pPr>
        <w:spacing w:before="240"/>
        <w:jc w:val="center"/>
      </w:pPr>
      <w:r>
        <w:rPr>
          <w:b/>
        </w:rPr>
        <w:t xml:space="preserve">Student ID: </w:t>
      </w:r>
      <w:r>
        <w:t>2411716</w:t>
      </w:r>
    </w:p>
    <w:p w14:paraId="2ACDC042" w14:textId="532B1856" w:rsidR="004500D4" w:rsidRDefault="00873372">
      <w:pPr>
        <w:spacing w:before="240"/>
        <w:jc w:val="center"/>
      </w:pPr>
      <w:r>
        <w:rPr>
          <w:b/>
        </w:rPr>
        <w:t xml:space="preserve">Word Count: </w:t>
      </w:r>
      <w:r w:rsidR="00F42A47">
        <w:t>2008</w:t>
      </w:r>
    </w:p>
    <w:p w14:paraId="38B2D11E" w14:textId="3D6B892D" w:rsidR="00F42A47" w:rsidRDefault="00F42A47">
      <w:pPr>
        <w:spacing w:after="200" w:line="276" w:lineRule="auto"/>
      </w:pPr>
      <w:r>
        <w:br w:type="page"/>
      </w:r>
    </w:p>
    <w:sdt>
      <w:sdtPr>
        <w:rPr>
          <w:rFonts w:eastAsiaTheme="minorEastAsia" w:cstheme="minorBidi"/>
          <w:b w:val="0"/>
          <w:bCs w:val="0"/>
          <w:sz w:val="22"/>
          <w:szCs w:val="22"/>
        </w:rPr>
        <w:id w:val="-1590228669"/>
        <w:docPartObj>
          <w:docPartGallery w:val="Table of Contents"/>
          <w:docPartUnique/>
        </w:docPartObj>
      </w:sdtPr>
      <w:sdtEndPr>
        <w:rPr>
          <w:noProof/>
        </w:rPr>
      </w:sdtEndPr>
      <w:sdtContent>
        <w:p w14:paraId="6371202E" w14:textId="7ECE5E41" w:rsidR="00F42A47" w:rsidRDefault="00F42A47">
          <w:pPr>
            <w:pStyle w:val="TOCHeading"/>
          </w:pPr>
          <w:r>
            <w:t>Table of Contents</w:t>
          </w:r>
        </w:p>
        <w:p w14:paraId="222B19A5" w14:textId="3C3D8CF2" w:rsidR="00F42A47" w:rsidRDefault="00F42A47">
          <w:pPr>
            <w:pStyle w:val="TOC1"/>
            <w:tabs>
              <w:tab w:val="right" w:leader="dot" w:pos="9016"/>
            </w:tabs>
            <w:rPr>
              <w:noProof/>
            </w:rPr>
          </w:pPr>
          <w:r>
            <w:fldChar w:fldCharType="begin"/>
          </w:r>
          <w:r>
            <w:instrText xml:space="preserve"> TOC \o "1-3" \h \z \u </w:instrText>
          </w:r>
          <w:r>
            <w:fldChar w:fldCharType="separate"/>
          </w:r>
          <w:hyperlink w:anchor="_Toc243763558" w:history="1">
            <w:r w:rsidRPr="000B2EA4">
              <w:rPr>
                <w:rStyle w:val="Hyperlink"/>
                <w:noProof/>
              </w:rPr>
              <w:t>1. Introduction</w:t>
            </w:r>
            <w:r>
              <w:rPr>
                <w:noProof/>
                <w:webHidden/>
              </w:rPr>
              <w:tab/>
            </w:r>
            <w:r>
              <w:rPr>
                <w:noProof/>
                <w:webHidden/>
              </w:rPr>
              <w:fldChar w:fldCharType="begin"/>
            </w:r>
            <w:r>
              <w:rPr>
                <w:noProof/>
                <w:webHidden/>
              </w:rPr>
              <w:instrText xml:space="preserve"> PAGEREF _Toc243763558 \h </w:instrText>
            </w:r>
            <w:r>
              <w:rPr>
                <w:noProof/>
                <w:webHidden/>
              </w:rPr>
            </w:r>
            <w:r>
              <w:rPr>
                <w:noProof/>
                <w:webHidden/>
              </w:rPr>
              <w:fldChar w:fldCharType="separate"/>
            </w:r>
            <w:r>
              <w:rPr>
                <w:noProof/>
                <w:webHidden/>
              </w:rPr>
              <w:t>3</w:t>
            </w:r>
            <w:r>
              <w:rPr>
                <w:noProof/>
                <w:webHidden/>
              </w:rPr>
              <w:fldChar w:fldCharType="end"/>
            </w:r>
          </w:hyperlink>
        </w:p>
        <w:p w14:paraId="6A8390A7" w14:textId="76B09646" w:rsidR="00F42A47" w:rsidRDefault="00F42A47">
          <w:pPr>
            <w:pStyle w:val="TOC1"/>
            <w:tabs>
              <w:tab w:val="right" w:leader="dot" w:pos="9016"/>
            </w:tabs>
            <w:rPr>
              <w:noProof/>
            </w:rPr>
          </w:pPr>
          <w:hyperlink w:anchor="_Toc243763559" w:history="1">
            <w:r w:rsidRPr="000B2EA4">
              <w:rPr>
                <w:rStyle w:val="Hyperlink"/>
                <w:noProof/>
              </w:rPr>
              <w:t>2. Digital Innovation and Implementation in NHS England</w:t>
            </w:r>
            <w:r>
              <w:rPr>
                <w:noProof/>
                <w:webHidden/>
              </w:rPr>
              <w:tab/>
            </w:r>
            <w:r>
              <w:rPr>
                <w:noProof/>
                <w:webHidden/>
              </w:rPr>
              <w:fldChar w:fldCharType="begin"/>
            </w:r>
            <w:r>
              <w:rPr>
                <w:noProof/>
                <w:webHidden/>
              </w:rPr>
              <w:instrText xml:space="preserve"> PAGEREF _Toc243763559 \h </w:instrText>
            </w:r>
            <w:r>
              <w:rPr>
                <w:noProof/>
                <w:webHidden/>
              </w:rPr>
            </w:r>
            <w:r>
              <w:rPr>
                <w:noProof/>
                <w:webHidden/>
              </w:rPr>
              <w:fldChar w:fldCharType="separate"/>
            </w:r>
            <w:r>
              <w:rPr>
                <w:noProof/>
                <w:webHidden/>
              </w:rPr>
              <w:t>3</w:t>
            </w:r>
            <w:r>
              <w:rPr>
                <w:noProof/>
                <w:webHidden/>
              </w:rPr>
              <w:fldChar w:fldCharType="end"/>
            </w:r>
          </w:hyperlink>
        </w:p>
        <w:p w14:paraId="54513BF8" w14:textId="67FB6F0B" w:rsidR="00F42A47" w:rsidRDefault="00F42A47">
          <w:pPr>
            <w:pStyle w:val="TOC1"/>
            <w:tabs>
              <w:tab w:val="right" w:leader="dot" w:pos="9016"/>
            </w:tabs>
            <w:rPr>
              <w:noProof/>
            </w:rPr>
          </w:pPr>
          <w:hyperlink w:anchor="_Toc243763560" w:history="1">
            <w:r w:rsidRPr="000B2EA4">
              <w:rPr>
                <w:rStyle w:val="Hyperlink"/>
                <w:noProof/>
              </w:rPr>
              <w:t>3. Critical Evaluation of Workforce Implications</w:t>
            </w:r>
            <w:r>
              <w:rPr>
                <w:noProof/>
                <w:webHidden/>
              </w:rPr>
              <w:tab/>
            </w:r>
            <w:r>
              <w:rPr>
                <w:noProof/>
                <w:webHidden/>
              </w:rPr>
              <w:fldChar w:fldCharType="begin"/>
            </w:r>
            <w:r>
              <w:rPr>
                <w:noProof/>
                <w:webHidden/>
              </w:rPr>
              <w:instrText xml:space="preserve"> PAGEREF _Toc243763560 \h </w:instrText>
            </w:r>
            <w:r>
              <w:rPr>
                <w:noProof/>
                <w:webHidden/>
              </w:rPr>
            </w:r>
            <w:r>
              <w:rPr>
                <w:noProof/>
                <w:webHidden/>
              </w:rPr>
              <w:fldChar w:fldCharType="separate"/>
            </w:r>
            <w:r>
              <w:rPr>
                <w:noProof/>
                <w:webHidden/>
              </w:rPr>
              <w:t>3</w:t>
            </w:r>
            <w:r>
              <w:rPr>
                <w:noProof/>
                <w:webHidden/>
              </w:rPr>
              <w:fldChar w:fldCharType="end"/>
            </w:r>
          </w:hyperlink>
        </w:p>
        <w:p w14:paraId="4B76891C" w14:textId="2F658DDC" w:rsidR="00F42A47" w:rsidRDefault="00F42A47">
          <w:pPr>
            <w:pStyle w:val="TOC1"/>
            <w:tabs>
              <w:tab w:val="right" w:leader="dot" w:pos="9016"/>
            </w:tabs>
            <w:rPr>
              <w:noProof/>
            </w:rPr>
          </w:pPr>
          <w:hyperlink w:anchor="_Toc243763561" w:history="1">
            <w:r w:rsidRPr="000B2EA4">
              <w:rPr>
                <w:rStyle w:val="Hyperlink"/>
                <w:noProof/>
              </w:rPr>
              <w:t>4. Impact on Healthcare Service Delivery</w:t>
            </w:r>
            <w:r>
              <w:rPr>
                <w:noProof/>
                <w:webHidden/>
              </w:rPr>
              <w:tab/>
            </w:r>
            <w:r>
              <w:rPr>
                <w:noProof/>
                <w:webHidden/>
              </w:rPr>
              <w:fldChar w:fldCharType="begin"/>
            </w:r>
            <w:r>
              <w:rPr>
                <w:noProof/>
                <w:webHidden/>
              </w:rPr>
              <w:instrText xml:space="preserve"> PAGEREF _Toc243763561 \h </w:instrText>
            </w:r>
            <w:r>
              <w:rPr>
                <w:noProof/>
                <w:webHidden/>
              </w:rPr>
            </w:r>
            <w:r>
              <w:rPr>
                <w:noProof/>
                <w:webHidden/>
              </w:rPr>
              <w:fldChar w:fldCharType="separate"/>
            </w:r>
            <w:r>
              <w:rPr>
                <w:noProof/>
                <w:webHidden/>
              </w:rPr>
              <w:t>4</w:t>
            </w:r>
            <w:r>
              <w:rPr>
                <w:noProof/>
                <w:webHidden/>
              </w:rPr>
              <w:fldChar w:fldCharType="end"/>
            </w:r>
          </w:hyperlink>
        </w:p>
        <w:p w14:paraId="1D76E638" w14:textId="2961FB42" w:rsidR="00F42A47" w:rsidRDefault="00F42A47">
          <w:pPr>
            <w:pStyle w:val="TOC1"/>
            <w:tabs>
              <w:tab w:val="right" w:leader="dot" w:pos="9016"/>
            </w:tabs>
            <w:rPr>
              <w:noProof/>
            </w:rPr>
          </w:pPr>
          <w:hyperlink w:anchor="_Toc243763562" w:history="1">
            <w:r w:rsidRPr="000B2EA4">
              <w:rPr>
                <w:rStyle w:val="Hyperlink"/>
                <w:noProof/>
              </w:rPr>
              <w:t>5. Patient and Service-User Experiences</w:t>
            </w:r>
            <w:r>
              <w:rPr>
                <w:noProof/>
                <w:webHidden/>
              </w:rPr>
              <w:tab/>
            </w:r>
            <w:r>
              <w:rPr>
                <w:noProof/>
                <w:webHidden/>
              </w:rPr>
              <w:fldChar w:fldCharType="begin"/>
            </w:r>
            <w:r>
              <w:rPr>
                <w:noProof/>
                <w:webHidden/>
              </w:rPr>
              <w:instrText xml:space="preserve"> PAGEREF _Toc243763562 \h </w:instrText>
            </w:r>
            <w:r>
              <w:rPr>
                <w:noProof/>
                <w:webHidden/>
              </w:rPr>
            </w:r>
            <w:r>
              <w:rPr>
                <w:noProof/>
                <w:webHidden/>
              </w:rPr>
              <w:fldChar w:fldCharType="separate"/>
            </w:r>
            <w:r>
              <w:rPr>
                <w:noProof/>
                <w:webHidden/>
              </w:rPr>
              <w:t>5</w:t>
            </w:r>
            <w:r>
              <w:rPr>
                <w:noProof/>
                <w:webHidden/>
              </w:rPr>
              <w:fldChar w:fldCharType="end"/>
            </w:r>
          </w:hyperlink>
        </w:p>
        <w:p w14:paraId="756AAD29" w14:textId="6753124B" w:rsidR="00F42A47" w:rsidRDefault="00F42A47">
          <w:pPr>
            <w:pStyle w:val="TOC1"/>
            <w:tabs>
              <w:tab w:val="right" w:leader="dot" w:pos="9016"/>
            </w:tabs>
            <w:rPr>
              <w:noProof/>
            </w:rPr>
          </w:pPr>
          <w:hyperlink w:anchor="_Toc243763563" w:history="1">
            <w:r w:rsidRPr="000B2EA4">
              <w:rPr>
                <w:rStyle w:val="Hyperlink"/>
                <w:noProof/>
              </w:rPr>
              <w:t>6. Community, Family and Population-Level Implications</w:t>
            </w:r>
            <w:r>
              <w:rPr>
                <w:noProof/>
                <w:webHidden/>
              </w:rPr>
              <w:tab/>
            </w:r>
            <w:r>
              <w:rPr>
                <w:noProof/>
                <w:webHidden/>
              </w:rPr>
              <w:fldChar w:fldCharType="begin"/>
            </w:r>
            <w:r>
              <w:rPr>
                <w:noProof/>
                <w:webHidden/>
              </w:rPr>
              <w:instrText xml:space="preserve"> PAGEREF _Toc243763563 \h </w:instrText>
            </w:r>
            <w:r>
              <w:rPr>
                <w:noProof/>
                <w:webHidden/>
              </w:rPr>
            </w:r>
            <w:r>
              <w:rPr>
                <w:noProof/>
                <w:webHidden/>
              </w:rPr>
              <w:fldChar w:fldCharType="separate"/>
            </w:r>
            <w:r>
              <w:rPr>
                <w:noProof/>
                <w:webHidden/>
              </w:rPr>
              <w:t>6</w:t>
            </w:r>
            <w:r>
              <w:rPr>
                <w:noProof/>
                <w:webHidden/>
              </w:rPr>
              <w:fldChar w:fldCharType="end"/>
            </w:r>
          </w:hyperlink>
        </w:p>
        <w:p w14:paraId="1881EE4A" w14:textId="694D5432" w:rsidR="00F42A47" w:rsidRDefault="00F42A47">
          <w:pPr>
            <w:pStyle w:val="TOC1"/>
            <w:tabs>
              <w:tab w:val="right" w:leader="dot" w:pos="9016"/>
            </w:tabs>
            <w:rPr>
              <w:noProof/>
            </w:rPr>
          </w:pPr>
          <w:hyperlink w:anchor="_Toc243763564" w:history="1">
            <w:r w:rsidRPr="000B2EA4">
              <w:rPr>
                <w:rStyle w:val="Hyperlink"/>
                <w:noProof/>
              </w:rPr>
              <w:t>7. Integrated Critical Evaluation and Evidence-Based Recommendations</w:t>
            </w:r>
            <w:r>
              <w:rPr>
                <w:noProof/>
                <w:webHidden/>
              </w:rPr>
              <w:tab/>
            </w:r>
            <w:r>
              <w:rPr>
                <w:noProof/>
                <w:webHidden/>
              </w:rPr>
              <w:fldChar w:fldCharType="begin"/>
            </w:r>
            <w:r>
              <w:rPr>
                <w:noProof/>
                <w:webHidden/>
              </w:rPr>
              <w:instrText xml:space="preserve"> PAGEREF _Toc243763564 \h </w:instrText>
            </w:r>
            <w:r>
              <w:rPr>
                <w:noProof/>
                <w:webHidden/>
              </w:rPr>
            </w:r>
            <w:r>
              <w:rPr>
                <w:noProof/>
                <w:webHidden/>
              </w:rPr>
              <w:fldChar w:fldCharType="separate"/>
            </w:r>
            <w:r>
              <w:rPr>
                <w:noProof/>
                <w:webHidden/>
              </w:rPr>
              <w:t>7</w:t>
            </w:r>
            <w:r>
              <w:rPr>
                <w:noProof/>
                <w:webHidden/>
              </w:rPr>
              <w:fldChar w:fldCharType="end"/>
            </w:r>
          </w:hyperlink>
        </w:p>
        <w:p w14:paraId="4B9F520B" w14:textId="6AC83B2A" w:rsidR="00F42A47" w:rsidRDefault="00F42A47">
          <w:pPr>
            <w:pStyle w:val="TOC1"/>
            <w:tabs>
              <w:tab w:val="right" w:leader="dot" w:pos="9016"/>
            </w:tabs>
            <w:rPr>
              <w:noProof/>
            </w:rPr>
          </w:pPr>
          <w:hyperlink w:anchor="_Toc243763565" w:history="1">
            <w:r w:rsidRPr="000B2EA4">
              <w:rPr>
                <w:rStyle w:val="Hyperlink"/>
                <w:noProof/>
              </w:rPr>
              <w:t>8. Conclusion</w:t>
            </w:r>
            <w:r>
              <w:rPr>
                <w:noProof/>
                <w:webHidden/>
              </w:rPr>
              <w:tab/>
            </w:r>
            <w:r>
              <w:rPr>
                <w:noProof/>
                <w:webHidden/>
              </w:rPr>
              <w:fldChar w:fldCharType="begin"/>
            </w:r>
            <w:r>
              <w:rPr>
                <w:noProof/>
                <w:webHidden/>
              </w:rPr>
              <w:instrText xml:space="preserve"> PAGEREF _Toc243763565 \h </w:instrText>
            </w:r>
            <w:r>
              <w:rPr>
                <w:noProof/>
                <w:webHidden/>
              </w:rPr>
            </w:r>
            <w:r>
              <w:rPr>
                <w:noProof/>
                <w:webHidden/>
              </w:rPr>
              <w:fldChar w:fldCharType="separate"/>
            </w:r>
            <w:r>
              <w:rPr>
                <w:noProof/>
                <w:webHidden/>
              </w:rPr>
              <w:t>7</w:t>
            </w:r>
            <w:r>
              <w:rPr>
                <w:noProof/>
                <w:webHidden/>
              </w:rPr>
              <w:fldChar w:fldCharType="end"/>
            </w:r>
          </w:hyperlink>
        </w:p>
        <w:p w14:paraId="3A1B3C93" w14:textId="7E474FC4" w:rsidR="00F42A47" w:rsidRDefault="00F42A47">
          <w:pPr>
            <w:pStyle w:val="TOC1"/>
            <w:tabs>
              <w:tab w:val="right" w:leader="dot" w:pos="9016"/>
            </w:tabs>
            <w:rPr>
              <w:noProof/>
            </w:rPr>
          </w:pPr>
          <w:hyperlink w:anchor="_Toc243763566" w:history="1">
            <w:r w:rsidRPr="000B2EA4">
              <w:rPr>
                <w:rStyle w:val="Hyperlink"/>
                <w:noProof/>
              </w:rPr>
              <w:t>References</w:t>
            </w:r>
            <w:r>
              <w:rPr>
                <w:noProof/>
                <w:webHidden/>
              </w:rPr>
              <w:tab/>
            </w:r>
            <w:r>
              <w:rPr>
                <w:noProof/>
                <w:webHidden/>
              </w:rPr>
              <w:fldChar w:fldCharType="begin"/>
            </w:r>
            <w:r>
              <w:rPr>
                <w:noProof/>
                <w:webHidden/>
              </w:rPr>
              <w:instrText xml:space="preserve"> PAGEREF _Toc243763566 \h </w:instrText>
            </w:r>
            <w:r>
              <w:rPr>
                <w:noProof/>
                <w:webHidden/>
              </w:rPr>
            </w:r>
            <w:r>
              <w:rPr>
                <w:noProof/>
                <w:webHidden/>
              </w:rPr>
              <w:fldChar w:fldCharType="separate"/>
            </w:r>
            <w:r>
              <w:rPr>
                <w:noProof/>
                <w:webHidden/>
              </w:rPr>
              <w:t>9</w:t>
            </w:r>
            <w:r>
              <w:rPr>
                <w:noProof/>
                <w:webHidden/>
              </w:rPr>
              <w:fldChar w:fldCharType="end"/>
            </w:r>
          </w:hyperlink>
        </w:p>
        <w:p w14:paraId="05EC7C3A" w14:textId="10CC0AFE" w:rsidR="00F42A47" w:rsidRDefault="00F42A47">
          <w:r>
            <w:rPr>
              <w:b/>
              <w:bCs/>
              <w:noProof/>
            </w:rPr>
            <w:fldChar w:fldCharType="end"/>
          </w:r>
        </w:p>
      </w:sdtContent>
    </w:sdt>
    <w:p w14:paraId="617A4D60" w14:textId="77777777" w:rsidR="003A377B" w:rsidRDefault="003A377B" w:rsidP="003A377B">
      <w:pPr>
        <w:spacing w:before="240"/>
      </w:pPr>
    </w:p>
    <w:p w14:paraId="32555EB9" w14:textId="77777777" w:rsidR="004500D4" w:rsidRDefault="00873372">
      <w:r>
        <w:br w:type="page"/>
      </w:r>
    </w:p>
    <w:p w14:paraId="101FA245" w14:textId="77777777" w:rsidR="004500D4" w:rsidRDefault="00873372">
      <w:pPr>
        <w:pStyle w:val="Heading1"/>
      </w:pPr>
      <w:bookmarkStart w:id="0" w:name="_Toc243763558"/>
      <w:r>
        <w:t>1. Introduction</w:t>
      </w:r>
      <w:bookmarkEnd w:id="0"/>
    </w:p>
    <w:p w14:paraId="28A0FA59" w14:textId="7635FD17" w:rsidR="004500D4" w:rsidRDefault="00FB6EA0">
      <w:pPr>
        <w:jc w:val="both"/>
      </w:pPr>
      <w:r>
        <w:t>The virtual wards are part of a reconfiguration of NHS England's acute care. Remote patient monitoring is not the same as hospital-at-home, it's the digital way to review physiological observations and reported symptoms without having to be in the same room at the same time. Virtual wards were first introduced nationally in 2022 to help remove pressure from hospitals and introduce more care closer to home (Chappell et al, 2024). However, the number of virtual beds is not the defining factor of successful deployment – clinical selection, responsive services and patients' ability to engage are the keys to safe outcomes. The evaluation of implementation since 2021 will be critical, including the workforce, service delivery, patient experience and community perspectives. It also poses the question of whether efficiencies continue after the elimination of hidden work, patient choice and equity. The main idea is that remote monitoring can allow for the right treatment to be administered at the appropriate level of care in the home, while its further benefits and distributive justice are still uncertain, not definitive (Shi et al., 2024).</w:t>
      </w:r>
    </w:p>
    <w:p w14:paraId="42B0F489" w14:textId="77777777" w:rsidR="004500D4" w:rsidRDefault="00873372">
      <w:pPr>
        <w:pStyle w:val="Heading1"/>
      </w:pPr>
      <w:bookmarkStart w:id="1" w:name="_Toc243763559"/>
      <w:r>
        <w:t>2. Digital Innovation and Implementation in NHS England</w:t>
      </w:r>
      <w:bookmarkEnd w:id="1"/>
    </w:p>
    <w:p w14:paraId="16406111" w14:textId="77777777" w:rsidR="00FB6EA0" w:rsidRDefault="00FB6EA0" w:rsidP="00FB6EA0">
      <w:r>
        <w:t>Virtual ward is a multidisciplinary approach to treatment at a usual residential address that includes remote monitoring but does not replace diagnostics and treatment services or home visits and can be offered in a hospital setting for a limited period of time. Pulse oximeters, blood-pressure monitors or scales feed into clinicians' dashboards in addition to phone assessments and escalation thresholds, for technology-enabled pathways. Shared decisions and specialist oversight with escalation when deterioration occurs, as seen in NHS England's heart-failure pathway, 2023.</w:t>
      </w:r>
    </w:p>
    <w:p w14:paraId="762E7551" w14:textId="5D76B55B" w:rsidR="004500D4" w:rsidRDefault="00FB6EA0" w:rsidP="00FB6EA0">
      <w:pPr>
        <w:jc w:val="both"/>
      </w:pPr>
      <w:r>
        <w:t>The 2024 operational framework aimed for consistency of admissions, daily checking and governance and ambition of 80% or more (NHS England, 2024). Capacity measures are not, however, a definition of avoided admissions. It poses a contrast problem for England, where there are diverse local models, and one must first determine if it is monitoring technology, additional clinical staffing or speeding up discharge that leads to improvement before claiming the digital effectiveness without doubt (</w:t>
      </w:r>
      <w:proofErr w:type="spellStart"/>
      <w:r>
        <w:t>Cathers</w:t>
      </w:r>
      <w:proofErr w:type="spellEnd"/>
      <w:r>
        <w:t xml:space="preserve"> and </w:t>
      </w:r>
      <w:proofErr w:type="spellStart"/>
      <w:r>
        <w:t>Lally</w:t>
      </w:r>
      <w:proofErr w:type="spellEnd"/>
      <w:r>
        <w:t>, 2025).</w:t>
      </w:r>
    </w:p>
    <w:p w14:paraId="6F57A18E" w14:textId="77777777" w:rsidR="004500D4" w:rsidRDefault="00873372">
      <w:pPr>
        <w:pStyle w:val="Heading1"/>
      </w:pPr>
      <w:bookmarkStart w:id="2" w:name="_Toc243763560"/>
      <w:r>
        <w:t>3. Critical Evaluation of Workforce Implications</w:t>
      </w:r>
      <w:bookmarkEnd w:id="2"/>
    </w:p>
    <w:p w14:paraId="31AF45D9" w14:textId="77777777" w:rsidR="00FB6EA0" w:rsidRDefault="00FB6EA0" w:rsidP="00FB6EA0">
      <w:r>
        <w:t xml:space="preserve">Instead of observing at a patient's bedside, remote monitoring shifts nurses, advanced practitioners and doctors to decoding trends that are sent, performing telephone triage and managing escalation. These are other clinical skills that are not just tasks. Howells et al. (2026) reported that in 4 services in North-West England, clinicians used </w:t>
      </w:r>
      <w:proofErr w:type="spellStart"/>
      <w:r>
        <w:t>standardised</w:t>
      </w:r>
      <w:proofErr w:type="spellEnd"/>
      <w:r>
        <w:t xml:space="preserve"> scores in conjunction with contextual judgement and team discussions, and also maintained safety through relationships alongside dashboards. A measurement can be accurate but the clinical significance is not known without seeing the patient.</w:t>
      </w:r>
    </w:p>
    <w:p w14:paraId="2C176DA6" w14:textId="77777777" w:rsidR="00FB6EA0" w:rsidRDefault="00FB6EA0" w:rsidP="00FB6EA0">
      <w:r>
        <w:t xml:space="preserve">The model could free up time that would have been used for mundane travel and provide for multiple discipline oversight. However, alerts, multiple calls, device troubleshooting and documentation can be as much of a burden as they are a solution. A study of an English integrated care system, with interviews with 20 staff and leaders, found that there was not enough protected training time, and that responsibility and </w:t>
      </w:r>
      <w:proofErr w:type="spellStart"/>
      <w:r>
        <w:t>interprofessional</w:t>
      </w:r>
      <w:proofErr w:type="spellEnd"/>
      <w:r>
        <w:t xml:space="preserve"> collaboration was not consistent (Litchfield et al., 2025). Similarly, commissioners highlighted the interoperability issues and liability issues, pointing to the fact that </w:t>
      </w:r>
      <w:proofErr w:type="spellStart"/>
      <w:r>
        <w:t>digitisation</w:t>
      </w:r>
      <w:proofErr w:type="spellEnd"/>
      <w:r>
        <w:t xml:space="preserve"> can lead to productivity gains without being assumed (McGowan et al., 2024).</w:t>
      </w:r>
    </w:p>
    <w:p w14:paraId="0D8B1616" w14:textId="09C656AF" w:rsidR="004500D4" w:rsidRDefault="00FB6EA0" w:rsidP="00FB6EA0">
      <w:pPr>
        <w:jc w:val="both"/>
      </w:pPr>
      <w:r>
        <w:t xml:space="preserve">There is a need to </w:t>
      </w:r>
      <w:proofErr w:type="spellStart"/>
      <w:r>
        <w:t>recognise</w:t>
      </w:r>
      <w:proofErr w:type="spellEnd"/>
      <w:r>
        <w:t xml:space="preserve"> </w:t>
      </w:r>
      <w:proofErr w:type="spellStart"/>
      <w:r>
        <w:t>artefactual</w:t>
      </w:r>
      <w:proofErr w:type="spellEnd"/>
      <w:r>
        <w:t xml:space="preserve"> readings, detect deterioration in conversation and differentiate between technical failure and clinical stability in competence assessment. If there's no upload, it should be considered a red flag, not a stable sign. Professional accountability demands named clinical ownership, competency-based induction, supervision and inescapable escalation out of hours. Staffing levels should not be used as a proxy for risk, when staffing is stretched. In all services, there should be a balance between local flexibility and thresholds for review and missed readings/deterioration that are auditable. Importantly though, the selected sites do not provide evidence of the national scale of staffing issues, but do highlight potential safety mechanisms that need systematic measurement (Howells et al., 2026).</w:t>
      </w:r>
    </w:p>
    <w:p w14:paraId="2BDB094F" w14:textId="77777777" w:rsidR="004500D4" w:rsidRDefault="00873372">
      <w:pPr>
        <w:pStyle w:val="Heading1"/>
      </w:pPr>
      <w:bookmarkStart w:id="3" w:name="_Toc243763561"/>
      <w:r>
        <w:t>4. Impact on Healthcare Service Delivery</w:t>
      </w:r>
      <w:bookmarkEnd w:id="3"/>
    </w:p>
    <w:p w14:paraId="053CA90B" w14:textId="77777777" w:rsidR="00FB6EA0" w:rsidRDefault="00FB6EA0" w:rsidP="00FB6EA0">
      <w:r>
        <w:t>Virtual wards impact the acute pathway either by avoiding a step up admission or by an early supported discharge. Monitoring can detect alarming physiological trends between visits, and treatment, diagnostics and in-person re-evaluation are still possible. While further evidence was being gathered, selected respiratory virtual-ward platforms were supported for use by NICE (2023), with uncertainty noted regarding effectiveness, experience and costs. The term conditional adoption does not mean proof of superiority.</w:t>
      </w:r>
    </w:p>
    <w:p w14:paraId="032DACCB" w14:textId="77777777" w:rsidR="00FB6EA0" w:rsidRDefault="00FB6EA0" w:rsidP="00FB6EA0">
      <w:r>
        <w:t>The 'best' comparison and contrast is also undermining positive statements. In a review of 69 studies, Shi et al. (2024) found that the outcomes of readmission were generally similar in various hospital-level home-care setups, while the certainty of the evidence was often low and evidence concerning any added benefits of intensive care technology remained inconclusive. Traditional hospital-at-home interventions were combined with interventions involving digital technologies, so it is not possible to separate the effect of these interventions from the effects of the traditional ones.</w:t>
      </w:r>
    </w:p>
    <w:p w14:paraId="0A4A9827" w14:textId="77777777" w:rsidR="00FB6EA0" w:rsidRDefault="00FB6EA0" w:rsidP="00FB6EA0">
      <w:r>
        <w:t xml:space="preserve">There are mixed results for English evidence of operation, as well. A retrospective study in </w:t>
      </w:r>
      <w:proofErr w:type="spellStart"/>
      <w:r>
        <w:t>Wrightington</w:t>
      </w:r>
      <w:proofErr w:type="spellEnd"/>
      <w:r>
        <w:t xml:space="preserve">, </w:t>
      </w:r>
      <w:proofErr w:type="spellStart"/>
      <w:r>
        <w:t>Wigan</w:t>
      </w:r>
      <w:proofErr w:type="spellEnd"/>
      <w:r>
        <w:t xml:space="preserve"> and Leigh compared 318 patients in the virtual ward and 350 patients in hospital. Pre-transfer hospitalizations were significantly shorter, but post-transfer hospitalizations were more common while the cost of the hospital day freed was higher than the conventional bed-day cost (</w:t>
      </w:r>
      <w:proofErr w:type="spellStart"/>
      <w:r>
        <w:t>Jalilian</w:t>
      </w:r>
      <w:proofErr w:type="spellEnd"/>
      <w:r>
        <w:t xml:space="preserve"> et al., 2024). Causal interpretation is constrained by selection bias and different denominators and local cost assumptions, but savings cannot be assumed just from throughput.</w:t>
      </w:r>
    </w:p>
    <w:p w14:paraId="4C5D721E" w14:textId="5DC633ED" w:rsidR="004500D4" w:rsidRDefault="00FB6EA0" w:rsidP="00FB6EA0">
      <w:r>
        <w:t>In Cornwall, some clinicians mentioned that the systems were not compatible and that they did not trust digital monitoring, whereas patients were very enthusiastic about it (Lyndon et al., 2025). Interoperable records, secure data transfer, equipment reliability, and monitored alert response and rapid return to physical care are all critical components to service quality. Evaluation should also differentiate between a virtual bed available and an inpatient admission avoided, both of which are administrative capacity measures, but the latter implies a credible counterfactual. Risk-adjusted clinical outcomes, real net costs and unintended impacts of the capacity/occupancy data on emergency and community services should be added to capacity/occupancy dashboards.</w:t>
      </w:r>
    </w:p>
    <w:p w14:paraId="37EFC80F" w14:textId="77777777" w:rsidR="004500D4" w:rsidRDefault="00873372">
      <w:pPr>
        <w:pStyle w:val="Heading1"/>
      </w:pPr>
      <w:bookmarkStart w:id="4" w:name="_Toc243763562"/>
      <w:r>
        <w:t>5. Patient and Service-User Experiences</w:t>
      </w:r>
      <w:bookmarkEnd w:id="4"/>
    </w:p>
    <w:p w14:paraId="3C5AD70E" w14:textId="77777777" w:rsidR="00FB6EA0" w:rsidRDefault="00FB6EA0" w:rsidP="00FB6EA0">
      <w:r>
        <w:t xml:space="preserve">Staying at home can help maintain routine, sleep patterns, independence and a closer relationship with loved ones for appropriate patients and may help prevent some of the harms of </w:t>
      </w:r>
      <w:proofErr w:type="spellStart"/>
      <w:r>
        <w:t>hospitalisation</w:t>
      </w:r>
      <w:proofErr w:type="spellEnd"/>
      <w:r>
        <w:t xml:space="preserve">. The overall experience of patients was generally positive in a rapid evidence synthesis, but there was very limited evidence on </w:t>
      </w:r>
      <w:proofErr w:type="spellStart"/>
      <w:r>
        <w:t>carers</w:t>
      </w:r>
      <w:proofErr w:type="spellEnd"/>
      <w:r>
        <w:t xml:space="preserve"> and financial impacts (Norman et al., 2023). Therapeutic relationships are important factors in influencing reassurance, rather than connectivity and equipment challenges in Cornwall (Lyndon et al., 2025).</w:t>
      </w:r>
    </w:p>
    <w:p w14:paraId="03F9046A" w14:textId="77777777" w:rsidR="00FB6EA0" w:rsidRDefault="00FB6EA0" w:rsidP="00FB6EA0">
      <w:r>
        <w:t xml:space="preserve">But things go well for enrolled patients are subject to selection bias: those that refuse, are ineligible, or drop out are not seen. Ethnographic research with four services revealed that some participants chose home, influenced by negative experiences in hospital, but without reflecting on the additional duties that come with </w:t>
      </w:r>
      <w:proofErr w:type="spellStart"/>
      <w:r>
        <w:t>home.Four</w:t>
      </w:r>
      <w:proofErr w:type="spellEnd"/>
      <w:r>
        <w:t>-service ethnographic research showed that some participants opted to go home because they had poor experiences in hospital but did not sufficiently reflect on the new responsibilities that accompany home. Therefore, informed consent, clinical safety or equitable access cannot be replaced by satisfaction.</w:t>
      </w:r>
    </w:p>
    <w:p w14:paraId="05F0EFB1" w14:textId="290CBE7C" w:rsidR="004500D4" w:rsidRDefault="00FB6EA0" w:rsidP="00FB6EA0">
      <w:pPr>
        <w:jc w:val="both"/>
      </w:pPr>
      <w:r>
        <w:t xml:space="preserve">In frailty, the limitations of technology </w:t>
      </w:r>
      <w:proofErr w:type="spellStart"/>
      <w:r>
        <w:t>centred</w:t>
      </w:r>
      <w:proofErr w:type="spellEnd"/>
      <w:r>
        <w:t xml:space="preserve"> assumptions are exposed. A qualitative study of 42 UK stakeholders revealed that monitoring was appropriate for a sub-group of frail patients due to equipment and needed work not being well matched to complex needs (Lindsay et al., 2025). Cognitive impairment and sensory disability, language, low digital confidence and unreliable connectivity, can limit participation. There should be clear explanations, interpreters, accessible interfaces, loaned equipment and telephone and/or visits. Digital provision, on its own, is not necessarily empowering, if refusal is seen as non-compliance, or if participation relies on relatives who have limited time. The patients should have a true option for the type of care environment they receive, with clear discussion about who will monitor them, what will happen if they don't have readings or symptoms deteriorate and what will occur during an absence of readings or worsening of symptoms.</w:t>
      </w:r>
    </w:p>
    <w:p w14:paraId="07281133" w14:textId="77777777" w:rsidR="004500D4" w:rsidRDefault="00873372">
      <w:pPr>
        <w:pStyle w:val="Heading1"/>
      </w:pPr>
      <w:bookmarkStart w:id="5" w:name="_Toc243763563"/>
      <w:r>
        <w:t>6. Community, Family and Population-Level Implications</w:t>
      </w:r>
      <w:bookmarkEnd w:id="5"/>
    </w:p>
    <w:p w14:paraId="4D226E0A" w14:textId="77777777" w:rsidR="00FB6EA0" w:rsidRDefault="00FB6EA0" w:rsidP="00FB6EA0">
      <w:r>
        <w:t xml:space="preserve">Home care shifts the focus of clinical work from the clinic to the home and has implications for the patient beyond the home. Family members don't have to travel to and from the hospital or incur any out-of-pocket expenses, but they can end up being the unpaid device operator, symptom observer, or first responder. Howells et al. (2026) made the observation that </w:t>
      </w:r>
      <w:proofErr w:type="spellStart"/>
      <w:r>
        <w:t>carers</w:t>
      </w:r>
      <w:proofErr w:type="spellEnd"/>
      <w:r>
        <w:t xml:space="preserve"> found themselves unexpectedly reading frequently, not being based in the immediate vicinity. Potential efficiencies of the NHS might then be an indication of costs moving into the household; assessments should include metrics for </w:t>
      </w:r>
      <w:proofErr w:type="spellStart"/>
      <w:r>
        <w:t>carer</w:t>
      </w:r>
      <w:proofErr w:type="spellEnd"/>
      <w:r>
        <w:t xml:space="preserve"> time, confidence, job disruption and emotional burden.</w:t>
      </w:r>
    </w:p>
    <w:p w14:paraId="3CE4552B" w14:textId="77777777" w:rsidR="00FB6EA0" w:rsidRDefault="00FB6EA0" w:rsidP="00FB6EA0">
      <w:r>
        <w:t>There are competing effects from Geography. Reliable broadband and adequate housing and transport for deterioration and local visiting teams are not evenly distributed and there may be a benefit to remote reviews for those living far from acute hospitals. A Parliamentary evidence review revealed a risk of ICTs to people with limited digital skills, and to people with an accommodation or communication need that was not appropriate (</w:t>
      </w:r>
      <w:proofErr w:type="spellStart"/>
      <w:r>
        <w:t>Cathers</w:t>
      </w:r>
      <w:proofErr w:type="spellEnd"/>
      <w:r>
        <w:t xml:space="preserve"> and </w:t>
      </w:r>
      <w:proofErr w:type="spellStart"/>
      <w:r>
        <w:t>Lally</w:t>
      </w:r>
      <w:proofErr w:type="spellEnd"/>
      <w:r>
        <w:t>, 2025). Key factors other than rurality that influence exclusion: need and infrastructure/support.</w:t>
      </w:r>
    </w:p>
    <w:p w14:paraId="628C6F73" w14:textId="79916EA3" w:rsidR="004500D4" w:rsidRDefault="00FB6EA0" w:rsidP="00FB6EA0">
      <w:pPr>
        <w:jc w:val="both"/>
      </w:pPr>
      <w:r>
        <w:t xml:space="preserve">There is also a broad service network which comes into play. In some cases, GP or community nurses, pharmacists and social-care workers will need to arrange medicines, safeguarding and post-discharge care. Virtual wards can redistribute pressures where they are already thinly spread if they are not adequately resourced and funded. National estimates of capacity release is undermined by uncertainty over which patients would otherwise have been in hospital (Chappell et al., 2024). The conduct of an equity audit should involve consideration of who is admitted, who is accepted and who is not, rather than consideration of outcomes; analyses of outcomes may overlook unmet need and underestimate the disadvantage faced by those not included. The recruitment, accessible technologies and culturally appropriate communication should therefore be co-designed with a patient, disabled people and </w:t>
      </w:r>
      <w:proofErr w:type="spellStart"/>
      <w:r>
        <w:t>carers</w:t>
      </w:r>
      <w:proofErr w:type="spellEnd"/>
      <w:r>
        <w:t xml:space="preserve"> and evaluated by assessing uptake and outcomes by deprivation, disability and ethnicity, not aggregate occupancy.</w:t>
      </w:r>
    </w:p>
    <w:p w14:paraId="409C70EF" w14:textId="77777777" w:rsidR="004500D4" w:rsidRDefault="00873372">
      <w:pPr>
        <w:pStyle w:val="Heading1"/>
      </w:pPr>
      <w:bookmarkStart w:id="6" w:name="_Toc243763564"/>
      <w:r>
        <w:t>7. Integrated Critical Evaluation and Evidence-Based Recommendations</w:t>
      </w:r>
      <w:bookmarkEnd w:id="6"/>
    </w:p>
    <w:p w14:paraId="5617E77D" w14:textId="77777777" w:rsidR="00FB6EA0" w:rsidRDefault="00FB6EA0" w:rsidP="00FB6EA0">
      <w:r>
        <w:t xml:space="preserve">The NASSS framework considers if the complexity of both the illness and technology, as well as adopters, </w:t>
      </w:r>
      <w:proofErr w:type="spellStart"/>
      <w:r>
        <w:t>organisations</w:t>
      </w:r>
      <w:proofErr w:type="spellEnd"/>
      <w:r>
        <w:t xml:space="preserve"> and the wider system, will compromise adoption and sustainability (</w:t>
      </w:r>
      <w:proofErr w:type="spellStart"/>
      <w:r>
        <w:t>Greenhalgh</w:t>
      </w:r>
      <w:proofErr w:type="spellEnd"/>
      <w:r>
        <w:t xml:space="preserve"> et al., 2017). When applied here, a reliable sensor alone is not enough if frailty makes it difficult to monitor oneself, or if there isn't enough time for it, or if there isn't enough community provision to respond to it. Supporting this, a qualitative synthesis of 16 studies also found that training, leadership, resources, and </w:t>
      </w:r>
      <w:proofErr w:type="spellStart"/>
      <w:r>
        <w:t>standardised</w:t>
      </w:r>
      <w:proofErr w:type="spellEnd"/>
      <w:r>
        <w:t xml:space="preserve"> protocols were not just enhancements, but they were all prerequisites (</w:t>
      </w:r>
      <w:proofErr w:type="spellStart"/>
      <w:r>
        <w:t>Cucurachi</w:t>
      </w:r>
      <w:proofErr w:type="spellEnd"/>
      <w:r>
        <w:t xml:space="preserve"> et al., 2025).</w:t>
      </w:r>
    </w:p>
    <w:p w14:paraId="7E4940CA" w14:textId="45C2048F" w:rsidR="004500D4" w:rsidRDefault="00FB6EA0" w:rsidP="00FB6EA0">
      <w:pPr>
        <w:jc w:val="both"/>
      </w:pPr>
      <w:r>
        <w:t xml:space="preserve">Three priorities follow. First, assess eligibility in a multi-disciplinary manner and provide hybrid home visiting as opposed to only remote home visiting for higher need patients. Second, provide adequate resources for supervised workforce training and clearly agreed, supported escalation procedures, in place and documented with consent of the </w:t>
      </w:r>
      <w:proofErr w:type="spellStart"/>
      <w:r>
        <w:t>carer</w:t>
      </w:r>
      <w:proofErr w:type="spellEnd"/>
      <w:r>
        <w:t>. Third, third-party, risk-adjusted evaluations that isolate the contribution of the device from the broader care package and incorporate total costs, adverse events and inequalities. The application of targets, which is not aligned with local service realities, is reinforced by the research of the longitudinal commissioners (McGowan et al., 2026).</w:t>
      </w:r>
    </w:p>
    <w:p w14:paraId="5B477D31" w14:textId="77777777" w:rsidR="004500D4" w:rsidRDefault="00873372">
      <w:pPr>
        <w:pStyle w:val="Heading1"/>
      </w:pPr>
      <w:bookmarkStart w:id="7" w:name="_Toc243763565"/>
      <w:r>
        <w:t>8. Conclusion</w:t>
      </w:r>
      <w:bookmarkEnd w:id="7"/>
    </w:p>
    <w:p w14:paraId="609AABB9" w14:textId="4A442A34" w:rsidR="004500D4" w:rsidRDefault="00FB6EA0" w:rsidP="00FB6EA0">
      <w:r>
        <w:t xml:space="preserve">However, </w:t>
      </w:r>
      <w:proofErr w:type="spellStart"/>
      <w:r>
        <w:t>operationalisation</w:t>
      </w:r>
      <w:proofErr w:type="spellEnd"/>
      <w:r>
        <w:t xml:space="preserve"> of NHS England's move to care at home rather than in hospital has been aided by remote patient monitoring, but this does not necessarily translate into actual clinical or economic value. It is dependent on patients being suitable, and a responsive multidisciplinary review, reliable technology and adequately supported households. Recent research indicates that selected groups of children can be cared for safely, but it is unclear whether the benefits of high intensity monitoring are independent or whether they are limited to certain groups, or whether they have potential long-term costs. However, virtual wards should be used in addition to available physical and community services, not in place of them. Rigorous comparative assessment and co-design provide a more defendable basis for sustainable transformation than does expansion based primarily on virtual-bed numbers.</w:t>
      </w:r>
    </w:p>
    <w:p w14:paraId="28BAB9C4" w14:textId="77777777" w:rsidR="004500D4" w:rsidRDefault="00873372">
      <w:r>
        <w:br w:type="page"/>
      </w:r>
    </w:p>
    <w:p w14:paraId="1E755AB7" w14:textId="77777777" w:rsidR="004500D4" w:rsidRDefault="00873372">
      <w:pPr>
        <w:pStyle w:val="Heading1"/>
        <w:spacing w:before="0"/>
      </w:pPr>
      <w:bookmarkStart w:id="8" w:name="_Toc243763566"/>
      <w:r>
        <w:t>References</w:t>
      </w:r>
      <w:bookmarkEnd w:id="8"/>
    </w:p>
    <w:p w14:paraId="1725CF09" w14:textId="38C4B78B" w:rsidR="004500D4" w:rsidRDefault="00873372">
      <w:pPr>
        <w:pStyle w:val="Reference"/>
      </w:pPr>
      <w:proofErr w:type="spellStart"/>
      <w:r>
        <w:t>Cathers</w:t>
      </w:r>
      <w:proofErr w:type="spellEnd"/>
      <w:r>
        <w:t xml:space="preserve">, S. and </w:t>
      </w:r>
      <w:proofErr w:type="spellStart"/>
      <w:r>
        <w:t>Lally</w:t>
      </w:r>
      <w:proofErr w:type="spellEnd"/>
      <w:r>
        <w:t xml:space="preserve">, C. (2025) </w:t>
      </w:r>
      <w:r>
        <w:rPr>
          <w:i/>
        </w:rPr>
        <w:t>Virtual wards and hospital at home</w:t>
      </w:r>
      <w:r>
        <w:t xml:space="preserve">. </w:t>
      </w:r>
      <w:proofErr w:type="spellStart"/>
      <w:r>
        <w:t>POSTnote</w:t>
      </w:r>
      <w:proofErr w:type="spellEnd"/>
      <w:r>
        <w:t xml:space="preserve"> 744. London: Parliamentary Office of Science and Technology. Available at: </w:t>
      </w:r>
      <w:hyperlink r:id="rId8">
        <w:r w:rsidR="004500D4">
          <w:rPr>
            <w:color w:val="000000"/>
          </w:rPr>
          <w:t>https://researchbriefings.files.parliament.uk/documents/POST-PN-0744/POST-PN-0744.pdf</w:t>
        </w:r>
      </w:hyperlink>
      <w:r>
        <w:t xml:space="preserve"> (Accessed: 24 October 2026).</w:t>
      </w:r>
    </w:p>
    <w:p w14:paraId="20845AB9" w14:textId="77777777" w:rsidR="004500D4" w:rsidRDefault="00873372">
      <w:pPr>
        <w:pStyle w:val="Reference"/>
      </w:pPr>
      <w:r>
        <w:t xml:space="preserve">Chappell, P., Co, M., </w:t>
      </w:r>
      <w:proofErr w:type="spellStart"/>
      <w:r>
        <w:t>Hardie</w:t>
      </w:r>
      <w:proofErr w:type="spellEnd"/>
      <w:r>
        <w:t xml:space="preserve">, T., Lloyd, T., </w:t>
      </w:r>
      <w:proofErr w:type="spellStart"/>
      <w:r>
        <w:t>Tallack</w:t>
      </w:r>
      <w:proofErr w:type="spellEnd"/>
      <w:r>
        <w:t xml:space="preserve">, C., </w:t>
      </w:r>
      <w:proofErr w:type="spellStart"/>
      <w:r>
        <w:t>Gerhold</w:t>
      </w:r>
      <w:proofErr w:type="spellEnd"/>
      <w:r>
        <w:t xml:space="preserve">, M. and </w:t>
      </w:r>
      <w:proofErr w:type="spellStart"/>
      <w:r>
        <w:t>Mayers</w:t>
      </w:r>
      <w:proofErr w:type="spellEnd"/>
      <w:r>
        <w:t xml:space="preserve">, C. (2024) </w:t>
      </w:r>
      <w:r>
        <w:rPr>
          <w:i/>
        </w:rPr>
        <w:t>What do virtual wards look like in England?</w:t>
      </w:r>
      <w:r>
        <w:t xml:space="preserve"> Working paper. London: The Health Foundation. Available at: </w:t>
      </w:r>
      <w:hyperlink r:id="rId9">
        <w:r w:rsidR="004500D4">
          <w:rPr>
            <w:color w:val="000000"/>
          </w:rPr>
          <w:t>https://www.health.org.uk/reports-and-analysis/working-papers/what-do-virtual-wards-look-like-in-england</w:t>
        </w:r>
      </w:hyperlink>
      <w:r>
        <w:t xml:space="preserve"> (Accessed: 24 October 2026).</w:t>
      </w:r>
    </w:p>
    <w:p w14:paraId="10992581" w14:textId="77777777" w:rsidR="004500D4" w:rsidRDefault="00873372">
      <w:pPr>
        <w:pStyle w:val="Reference"/>
      </w:pPr>
      <w:proofErr w:type="spellStart"/>
      <w:r>
        <w:t>Cucurachi</w:t>
      </w:r>
      <w:proofErr w:type="spellEnd"/>
      <w:r>
        <w:t xml:space="preserve">, S., </w:t>
      </w:r>
      <w:proofErr w:type="spellStart"/>
      <w:r>
        <w:t>Lydon</w:t>
      </w:r>
      <w:proofErr w:type="spellEnd"/>
      <w:r>
        <w:t xml:space="preserve">, S., </w:t>
      </w:r>
      <w:proofErr w:type="spellStart"/>
      <w:r>
        <w:t>Moens</w:t>
      </w:r>
      <w:proofErr w:type="spellEnd"/>
      <w:r>
        <w:t xml:space="preserve">, L.L., </w:t>
      </w:r>
      <w:proofErr w:type="spellStart"/>
      <w:r>
        <w:t>Manser</w:t>
      </w:r>
      <w:proofErr w:type="spellEnd"/>
      <w:r>
        <w:t xml:space="preserve">, T. and O’Connor, P. (2025) ‘Barriers and facilitators to the use of virtual wards: a systematic review of the qualitative evidence’, </w:t>
      </w:r>
      <w:r>
        <w:rPr>
          <w:i/>
        </w:rPr>
        <w:t>International Journal for Quality in Health Care</w:t>
      </w:r>
      <w:r>
        <w:t xml:space="preserve">, 37(3), mzaf065. Available at: </w:t>
      </w:r>
      <w:hyperlink r:id="rId10">
        <w:r w:rsidR="004500D4">
          <w:rPr>
            <w:color w:val="000000"/>
          </w:rPr>
          <w:t>https://doi.org/10.1093/intqhc/mzaf065</w:t>
        </w:r>
      </w:hyperlink>
      <w:r>
        <w:t>.</w:t>
      </w:r>
    </w:p>
    <w:p w14:paraId="5E40857A" w14:textId="77777777" w:rsidR="004500D4" w:rsidRDefault="00873372">
      <w:pPr>
        <w:pStyle w:val="Reference"/>
      </w:pPr>
      <w:proofErr w:type="spellStart"/>
      <w:r>
        <w:t>Greenhalgh</w:t>
      </w:r>
      <w:proofErr w:type="spellEnd"/>
      <w:r>
        <w:t xml:space="preserve">, T., </w:t>
      </w:r>
      <w:proofErr w:type="spellStart"/>
      <w:r>
        <w:t>Wherton</w:t>
      </w:r>
      <w:proofErr w:type="spellEnd"/>
      <w:r>
        <w:t xml:space="preserve">, J., </w:t>
      </w:r>
      <w:proofErr w:type="spellStart"/>
      <w:r>
        <w:t>Papoutsi</w:t>
      </w:r>
      <w:proofErr w:type="spellEnd"/>
      <w:r>
        <w:t xml:space="preserve">, C., Lynch, J., Hughes, G., </w:t>
      </w:r>
      <w:proofErr w:type="spellStart"/>
      <w:r>
        <w:t>A’Court</w:t>
      </w:r>
      <w:proofErr w:type="spellEnd"/>
      <w:r>
        <w:t xml:space="preserve">, C., Hinder, S., </w:t>
      </w:r>
      <w:proofErr w:type="spellStart"/>
      <w:r>
        <w:t>Fahy</w:t>
      </w:r>
      <w:proofErr w:type="spellEnd"/>
      <w:r>
        <w:t xml:space="preserve">, N., Procter, R. and Shaw, S. (2017) ‘Beyond adoption: a new framework for theorizing and evaluating </w:t>
      </w:r>
      <w:proofErr w:type="spellStart"/>
      <w:r>
        <w:t>nonadoption</w:t>
      </w:r>
      <w:proofErr w:type="spellEnd"/>
      <w:r>
        <w:t xml:space="preserve">, abandonment, and challenges to the scale-up, spread, and sustainability of health and care technologies’, </w:t>
      </w:r>
      <w:r>
        <w:rPr>
          <w:i/>
        </w:rPr>
        <w:t>Journal of Medical Internet Research</w:t>
      </w:r>
      <w:r>
        <w:t xml:space="preserve">, 19(11), e367. Available at: </w:t>
      </w:r>
      <w:hyperlink r:id="rId11">
        <w:r w:rsidR="004500D4">
          <w:rPr>
            <w:color w:val="000000"/>
          </w:rPr>
          <w:t>https://doi.org/10.2196/jmir.8775</w:t>
        </w:r>
      </w:hyperlink>
      <w:r>
        <w:t>.</w:t>
      </w:r>
    </w:p>
    <w:p w14:paraId="6C4D7B53" w14:textId="77777777" w:rsidR="004500D4" w:rsidRDefault="00873372">
      <w:pPr>
        <w:pStyle w:val="Reference"/>
      </w:pPr>
      <w:r>
        <w:t xml:space="preserve">Howells, K., Bradley, F., </w:t>
      </w:r>
      <w:proofErr w:type="spellStart"/>
      <w:r>
        <w:t>Gasteiger</w:t>
      </w:r>
      <w:proofErr w:type="spellEnd"/>
      <w:r>
        <w:t xml:space="preserve">, N., Whittaker, W., Vardy, E., </w:t>
      </w:r>
      <w:proofErr w:type="spellStart"/>
      <w:r>
        <w:t>Dowding</w:t>
      </w:r>
      <w:proofErr w:type="spellEnd"/>
      <w:r>
        <w:t xml:space="preserve">, D., </w:t>
      </w:r>
      <w:proofErr w:type="spellStart"/>
      <w:r>
        <w:t>Blakeman</w:t>
      </w:r>
      <w:proofErr w:type="spellEnd"/>
      <w:r>
        <w:t xml:space="preserve">, T. and Sanders, C. (2026) ‘Shifting boundaries of risk-work in virtual wards in North-West England: a multisite qualitative evaluation’, </w:t>
      </w:r>
      <w:r>
        <w:rPr>
          <w:i/>
        </w:rPr>
        <w:t>BMJ Quality &amp; Safety</w:t>
      </w:r>
      <w:r>
        <w:t xml:space="preserve">, advance online publication. Available at: </w:t>
      </w:r>
      <w:hyperlink r:id="rId12">
        <w:r w:rsidR="004500D4">
          <w:rPr>
            <w:color w:val="000000"/>
          </w:rPr>
          <w:t>https://doi.org/10.1136/bmjqs-2025-020002</w:t>
        </w:r>
      </w:hyperlink>
      <w:r>
        <w:t>.</w:t>
      </w:r>
    </w:p>
    <w:p w14:paraId="73810F78" w14:textId="77777777" w:rsidR="004500D4" w:rsidRDefault="00873372">
      <w:pPr>
        <w:pStyle w:val="Reference"/>
      </w:pPr>
      <w:proofErr w:type="spellStart"/>
      <w:r>
        <w:t>Jalilian</w:t>
      </w:r>
      <w:proofErr w:type="spellEnd"/>
      <w:r>
        <w:t xml:space="preserve">, A., </w:t>
      </w:r>
      <w:proofErr w:type="spellStart"/>
      <w:r>
        <w:t>Sedda</w:t>
      </w:r>
      <w:proofErr w:type="spellEnd"/>
      <w:r>
        <w:t xml:space="preserve">, L., </w:t>
      </w:r>
      <w:proofErr w:type="spellStart"/>
      <w:r>
        <w:t>Unsworth</w:t>
      </w:r>
      <w:proofErr w:type="spellEnd"/>
      <w:r>
        <w:t xml:space="preserve">, A. and Farrier, M. (2024) ‘Length of stay and economic sustainability of virtual ward care in a medium-sized hospital of the UK: a retrospective longitudinal study’, </w:t>
      </w:r>
      <w:r>
        <w:rPr>
          <w:i/>
        </w:rPr>
        <w:t>BMJ Open</w:t>
      </w:r>
      <w:r>
        <w:t xml:space="preserve">, 14(1), e081378. Available at: </w:t>
      </w:r>
      <w:hyperlink r:id="rId13">
        <w:r w:rsidR="004500D4">
          <w:rPr>
            <w:color w:val="000000"/>
          </w:rPr>
          <w:t>https://doi.org/10.1136/bmjopen-2023-081378</w:t>
        </w:r>
      </w:hyperlink>
      <w:r>
        <w:t>.</w:t>
      </w:r>
    </w:p>
    <w:p w14:paraId="393B5339" w14:textId="77777777" w:rsidR="004500D4" w:rsidRDefault="00873372">
      <w:pPr>
        <w:pStyle w:val="Reference"/>
      </w:pPr>
      <w:r>
        <w:t xml:space="preserve">Lindsay, R.K., </w:t>
      </w:r>
      <w:proofErr w:type="spellStart"/>
      <w:r>
        <w:t>Cunnington</w:t>
      </w:r>
      <w:proofErr w:type="spellEnd"/>
      <w:r>
        <w:t xml:space="preserve">, P. and Dixon-Woods, M. (2025) ‘Why is implementing remote monitoring in virtual wards (Hospital at Home) for people living with frailty so hard? Qualitative interview study’, </w:t>
      </w:r>
      <w:r>
        <w:rPr>
          <w:i/>
        </w:rPr>
        <w:t>Age and Ageing</w:t>
      </w:r>
      <w:r>
        <w:t xml:space="preserve">, 54(1), afaf003. Available at: </w:t>
      </w:r>
      <w:hyperlink r:id="rId14">
        <w:r w:rsidR="004500D4">
          <w:rPr>
            <w:color w:val="000000"/>
          </w:rPr>
          <w:t>https://doi.org/10.1093/ageing/afaf003</w:t>
        </w:r>
      </w:hyperlink>
      <w:r>
        <w:t>.</w:t>
      </w:r>
    </w:p>
    <w:p w14:paraId="33F48973" w14:textId="77777777" w:rsidR="004500D4" w:rsidRDefault="00873372">
      <w:pPr>
        <w:pStyle w:val="Reference"/>
      </w:pPr>
      <w:r>
        <w:t xml:space="preserve">Litchfield, I., Lewis, R., </w:t>
      </w:r>
      <w:proofErr w:type="spellStart"/>
      <w:r>
        <w:t>Delanerolle</w:t>
      </w:r>
      <w:proofErr w:type="spellEnd"/>
      <w:r>
        <w:t xml:space="preserve">, G., </w:t>
      </w:r>
      <w:proofErr w:type="spellStart"/>
      <w:r>
        <w:t>Melyda</w:t>
      </w:r>
      <w:proofErr w:type="spellEnd"/>
      <w:r>
        <w:t xml:space="preserve">, M. and Harper, L. (2025) ‘Factors influencing the implementation of a multispecialty virtual ward program in the United Kingdom: qualitative exploration of staff experiences and perspectives’, </w:t>
      </w:r>
      <w:r>
        <w:rPr>
          <w:i/>
        </w:rPr>
        <w:t>Journal of Medical Internet Research</w:t>
      </w:r>
      <w:r>
        <w:t xml:space="preserve">, 27, e75406. Available at: </w:t>
      </w:r>
      <w:hyperlink r:id="rId15">
        <w:r w:rsidR="004500D4">
          <w:rPr>
            <w:color w:val="000000"/>
          </w:rPr>
          <w:t>https://doi.org/10.2196/75406</w:t>
        </w:r>
      </w:hyperlink>
      <w:r>
        <w:t>.</w:t>
      </w:r>
    </w:p>
    <w:p w14:paraId="4749CF27" w14:textId="77777777" w:rsidR="004500D4" w:rsidRDefault="00873372">
      <w:pPr>
        <w:pStyle w:val="Reference"/>
      </w:pPr>
      <w:r>
        <w:t xml:space="preserve">Lyndon, H., </w:t>
      </w:r>
      <w:proofErr w:type="spellStart"/>
      <w:r>
        <w:t>Viney</w:t>
      </w:r>
      <w:proofErr w:type="spellEnd"/>
      <w:r>
        <w:t xml:space="preserve">, T. and Slade, V. (2025) ‘A service evaluation of virtual wards in Cornwall, UK’, </w:t>
      </w:r>
      <w:r>
        <w:rPr>
          <w:i/>
        </w:rPr>
        <w:t>Oxford Open Digital Health</w:t>
      </w:r>
      <w:r>
        <w:t xml:space="preserve">, 3, oqaf008. Available at: </w:t>
      </w:r>
      <w:hyperlink r:id="rId16">
        <w:r w:rsidR="004500D4">
          <w:rPr>
            <w:color w:val="000000"/>
          </w:rPr>
          <w:t>https://doi.org/10.1093/oodh/oqaf008</w:t>
        </w:r>
      </w:hyperlink>
      <w:r>
        <w:t>.</w:t>
      </w:r>
    </w:p>
    <w:p w14:paraId="759CE4DB" w14:textId="77777777" w:rsidR="004500D4" w:rsidRDefault="00873372">
      <w:pPr>
        <w:pStyle w:val="Reference"/>
      </w:pPr>
      <w:r>
        <w:t xml:space="preserve">McGowan, L.J., Graham, F., </w:t>
      </w:r>
      <w:proofErr w:type="spellStart"/>
      <w:r>
        <w:t>Lecouturier</w:t>
      </w:r>
      <w:proofErr w:type="spellEnd"/>
      <w:r>
        <w:t xml:space="preserve">, J., </w:t>
      </w:r>
      <w:proofErr w:type="spellStart"/>
      <w:r>
        <w:t>Goffe</w:t>
      </w:r>
      <w:proofErr w:type="spellEnd"/>
      <w:r>
        <w:t xml:space="preserve">, L., </w:t>
      </w:r>
      <w:proofErr w:type="spellStart"/>
      <w:r>
        <w:t>Echevarria</w:t>
      </w:r>
      <w:proofErr w:type="spellEnd"/>
      <w:r>
        <w:t xml:space="preserve">, C., Kelly, M.P. and </w:t>
      </w:r>
      <w:proofErr w:type="spellStart"/>
      <w:r>
        <w:t>Sniehotta</w:t>
      </w:r>
      <w:proofErr w:type="spellEnd"/>
      <w:r>
        <w:t xml:space="preserve">, F.F. (2024) ‘The views and experiences of integrated care system commissioners about the adoption and implementation of virtual wards in England: qualitative exploration study’, </w:t>
      </w:r>
      <w:r>
        <w:rPr>
          <w:i/>
        </w:rPr>
        <w:t>Journal of Medical Internet Research</w:t>
      </w:r>
      <w:r>
        <w:t xml:space="preserve">, 26, e56494. Available at: </w:t>
      </w:r>
      <w:hyperlink r:id="rId17">
        <w:r w:rsidR="004500D4">
          <w:rPr>
            <w:color w:val="000000"/>
          </w:rPr>
          <w:t>https://doi.org/10.2196/56494</w:t>
        </w:r>
      </w:hyperlink>
      <w:r>
        <w:t>.</w:t>
      </w:r>
    </w:p>
    <w:p w14:paraId="1F048FA9" w14:textId="77777777" w:rsidR="004500D4" w:rsidRDefault="00873372">
      <w:pPr>
        <w:pStyle w:val="Reference"/>
      </w:pPr>
      <w:r>
        <w:t xml:space="preserve">McGowan, L.J., Nichol, B., </w:t>
      </w:r>
      <w:proofErr w:type="spellStart"/>
      <w:r>
        <w:t>Lecouturier</w:t>
      </w:r>
      <w:proofErr w:type="spellEnd"/>
      <w:r>
        <w:t xml:space="preserve">, J., Banks, H., </w:t>
      </w:r>
      <w:proofErr w:type="spellStart"/>
      <w:r>
        <w:t>Dhami</w:t>
      </w:r>
      <w:proofErr w:type="spellEnd"/>
      <w:r>
        <w:t xml:space="preserve">, R., Kelly, M.P., </w:t>
      </w:r>
      <w:proofErr w:type="spellStart"/>
      <w:r>
        <w:t>Sniehotta</w:t>
      </w:r>
      <w:proofErr w:type="spellEnd"/>
      <w:r>
        <w:t xml:space="preserve">, F.F. and Graham, F. (2026) ‘Commissioners’ views and experiences of implementing virtual wards in Integrated Care Systems in England: a longitudinal qualitative study using the Consolidated Framework for Implementation Research (CFIR)’, </w:t>
      </w:r>
      <w:r>
        <w:rPr>
          <w:i/>
        </w:rPr>
        <w:t>BMC Health Services Research</w:t>
      </w:r>
      <w:r>
        <w:t xml:space="preserve">, 26, article 1027. Available at: </w:t>
      </w:r>
      <w:hyperlink r:id="rId18">
        <w:r w:rsidR="004500D4">
          <w:rPr>
            <w:color w:val="000000"/>
          </w:rPr>
          <w:t>https://doi.org/10.1186/s12913-026-14740-7</w:t>
        </w:r>
      </w:hyperlink>
      <w:r>
        <w:t>.</w:t>
      </w:r>
    </w:p>
    <w:p w14:paraId="0D0801AB" w14:textId="77777777" w:rsidR="004500D4" w:rsidRDefault="00873372">
      <w:pPr>
        <w:pStyle w:val="Reference"/>
      </w:pPr>
      <w:r>
        <w:t xml:space="preserve">National Institute for Health and Care Excellence (NICE) (2023) </w:t>
      </w:r>
      <w:r>
        <w:rPr>
          <w:i/>
        </w:rPr>
        <w:t>Virtual ward platform technologies for acute respiratory infections: early value assessment</w:t>
      </w:r>
      <w:r>
        <w:t xml:space="preserve">. </w:t>
      </w:r>
      <w:proofErr w:type="spellStart"/>
      <w:r>
        <w:t>HealthTech</w:t>
      </w:r>
      <w:proofErr w:type="spellEnd"/>
      <w:r>
        <w:t xml:space="preserve"> guidance HTG697 (formerly HTE13). Available at: </w:t>
      </w:r>
      <w:hyperlink r:id="rId19">
        <w:r w:rsidR="004500D4">
          <w:rPr>
            <w:color w:val="000000"/>
          </w:rPr>
          <w:t>https://www.nice.org.uk/guidance/htg697</w:t>
        </w:r>
      </w:hyperlink>
      <w:r>
        <w:t xml:space="preserve"> (Accessed: 24 October 2026).</w:t>
      </w:r>
    </w:p>
    <w:p w14:paraId="0734A43D" w14:textId="77777777" w:rsidR="004500D4" w:rsidRDefault="00873372">
      <w:pPr>
        <w:pStyle w:val="Reference"/>
      </w:pPr>
      <w:r>
        <w:t xml:space="preserve">NHS England (2023) </w:t>
      </w:r>
      <w:r>
        <w:rPr>
          <w:i/>
        </w:rPr>
        <w:t>Guidance note: virtual ward care for people with heart failure</w:t>
      </w:r>
      <w:r>
        <w:t xml:space="preserve">. Available at: </w:t>
      </w:r>
      <w:hyperlink r:id="rId20">
        <w:r w:rsidR="004500D4">
          <w:rPr>
            <w:color w:val="000000"/>
          </w:rPr>
          <w:t>https://www.england.nhs.uk/long-read/guidance-note-virtual-ward-care-for-people-with-heart-failure/</w:t>
        </w:r>
      </w:hyperlink>
      <w:r>
        <w:t xml:space="preserve"> (Accessed: 24 October 2026).</w:t>
      </w:r>
    </w:p>
    <w:p w14:paraId="098D6499" w14:textId="77777777" w:rsidR="004500D4" w:rsidRDefault="00873372">
      <w:pPr>
        <w:pStyle w:val="Reference"/>
      </w:pPr>
      <w:r>
        <w:t xml:space="preserve">NHS England (2024) </w:t>
      </w:r>
      <w:r>
        <w:rPr>
          <w:i/>
        </w:rPr>
        <w:t>Virtual wards operational framework</w:t>
      </w:r>
      <w:r>
        <w:t xml:space="preserve">. Available at: </w:t>
      </w:r>
      <w:hyperlink r:id="rId21">
        <w:r w:rsidR="004500D4">
          <w:rPr>
            <w:color w:val="000000"/>
          </w:rPr>
          <w:t>https://www.england.nhs.uk/publication/virtual-wards-operational-framework/</w:t>
        </w:r>
      </w:hyperlink>
      <w:r>
        <w:t xml:space="preserve"> (Accessed: 24 October 2026).</w:t>
      </w:r>
    </w:p>
    <w:p w14:paraId="1058EA0C" w14:textId="77777777" w:rsidR="004500D4" w:rsidRDefault="00873372">
      <w:pPr>
        <w:pStyle w:val="Reference"/>
      </w:pPr>
      <w:r>
        <w:t xml:space="preserve">Norman, G., Bennett, P. and Vardy, E.R.L.C. (2023) ‘Virtual wards: a rapid evidence synthesis and implications for the care of older people’, </w:t>
      </w:r>
      <w:r>
        <w:rPr>
          <w:i/>
        </w:rPr>
        <w:t>Age and Ageing</w:t>
      </w:r>
      <w:r>
        <w:t xml:space="preserve">, 52(1), afac319. Available at: </w:t>
      </w:r>
      <w:hyperlink r:id="rId22">
        <w:r w:rsidR="004500D4">
          <w:rPr>
            <w:color w:val="000000"/>
          </w:rPr>
          <w:t>https://doi.org/10.1093/ageing/afac319</w:t>
        </w:r>
      </w:hyperlink>
      <w:r>
        <w:t>.</w:t>
      </w:r>
    </w:p>
    <w:p w14:paraId="3E178522" w14:textId="77777777" w:rsidR="004500D4" w:rsidRDefault="00873372">
      <w:pPr>
        <w:pStyle w:val="Reference"/>
      </w:pPr>
      <w:r>
        <w:t xml:space="preserve">Shi, C., </w:t>
      </w:r>
      <w:proofErr w:type="spellStart"/>
      <w:r>
        <w:t>Dumville</w:t>
      </w:r>
      <w:proofErr w:type="spellEnd"/>
      <w:r>
        <w:t xml:space="preserve">, J., Rubinstein, F., Norman, G., </w:t>
      </w:r>
      <w:proofErr w:type="spellStart"/>
      <w:r>
        <w:t>Ullah</w:t>
      </w:r>
      <w:proofErr w:type="spellEnd"/>
      <w:r>
        <w:t xml:space="preserve">, A., Bashir, S., Bower, P. and Vardy, E.R.L.C. (2024) ‘Inpatient-level care at home delivered by virtual wards and hospital at home: a systematic review and meta-analysis of complex interventions and their components’, </w:t>
      </w:r>
      <w:r>
        <w:rPr>
          <w:i/>
        </w:rPr>
        <w:t>BMC Medicine</w:t>
      </w:r>
      <w:r>
        <w:t xml:space="preserve">, 22, article 145. Available at: </w:t>
      </w:r>
      <w:hyperlink r:id="rId23">
        <w:r w:rsidR="004500D4">
          <w:rPr>
            <w:color w:val="000000"/>
          </w:rPr>
          <w:t>https://doi.org/10.1186/s12916-024-03312-3</w:t>
        </w:r>
      </w:hyperlink>
      <w:r>
        <w:t>.</w:t>
      </w:r>
    </w:p>
    <w:sectPr w:rsidR="004500D4" w:rsidSect="00034616">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DC761" w14:textId="77777777" w:rsidR="007232CB" w:rsidRDefault="007232CB">
      <w:pPr>
        <w:spacing w:after="0" w:line="240" w:lineRule="auto"/>
      </w:pPr>
      <w:r>
        <w:separator/>
      </w:r>
    </w:p>
  </w:endnote>
  <w:endnote w:type="continuationSeparator" w:id="0">
    <w:p w14:paraId="69113272" w14:textId="77777777" w:rsidR="007232CB" w:rsidRDefault="00723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68F9E1" w14:textId="77777777" w:rsidR="004500D4" w:rsidRDefault="00873372">
    <w:pPr>
      <w:pStyle w:val="Footer"/>
      <w:jc w:val="center"/>
    </w:pPr>
    <w:r>
      <w:fldChar w:fldCharType="begin"/>
    </w:r>
    <w:r>
      <w:instrText>PAGE</w:instrText>
    </w:r>
    <w:r>
      <w:fldChar w:fldCharType="separate"/>
    </w:r>
    <w:r w:rsidR="00FB6EA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9BA5A4" w14:textId="77777777" w:rsidR="007232CB" w:rsidRDefault="007232CB">
      <w:pPr>
        <w:spacing w:after="0" w:line="240" w:lineRule="auto"/>
      </w:pPr>
      <w:r>
        <w:separator/>
      </w:r>
    </w:p>
  </w:footnote>
  <w:footnote w:type="continuationSeparator" w:id="0">
    <w:p w14:paraId="79361A85" w14:textId="77777777" w:rsidR="007232CB" w:rsidRDefault="007232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81688942">
    <w:abstractNumId w:val="8"/>
  </w:num>
  <w:num w:numId="2" w16cid:durableId="1231578294">
    <w:abstractNumId w:val="6"/>
  </w:num>
  <w:num w:numId="3" w16cid:durableId="2144536400">
    <w:abstractNumId w:val="5"/>
  </w:num>
  <w:num w:numId="4" w16cid:durableId="1945844653">
    <w:abstractNumId w:val="4"/>
  </w:num>
  <w:num w:numId="5" w16cid:durableId="137959022">
    <w:abstractNumId w:val="7"/>
  </w:num>
  <w:num w:numId="6" w16cid:durableId="1112867027">
    <w:abstractNumId w:val="3"/>
  </w:num>
  <w:num w:numId="7" w16cid:durableId="1126507234">
    <w:abstractNumId w:val="2"/>
  </w:num>
  <w:num w:numId="8" w16cid:durableId="279725622">
    <w:abstractNumId w:val="1"/>
  </w:num>
  <w:num w:numId="9" w16cid:durableId="100493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532"/>
    <w:rsid w:val="00034616"/>
    <w:rsid w:val="0006063C"/>
    <w:rsid w:val="000824CF"/>
    <w:rsid w:val="0015074B"/>
    <w:rsid w:val="0029639D"/>
    <w:rsid w:val="00326F90"/>
    <w:rsid w:val="003A377B"/>
    <w:rsid w:val="004500D4"/>
    <w:rsid w:val="004923E3"/>
    <w:rsid w:val="00641681"/>
    <w:rsid w:val="007232CB"/>
    <w:rsid w:val="00867E63"/>
    <w:rsid w:val="00873372"/>
    <w:rsid w:val="00AA1D8D"/>
    <w:rsid w:val="00B47730"/>
    <w:rsid w:val="00CB0664"/>
    <w:rsid w:val="00F42A47"/>
    <w:rsid w:val="00FB6EA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7E5F81"/>
  <w14:defaultImageDpi w14:val="300"/>
  <w15:docId w15:val="{E2BB5677-278D-4CDF-A78F-0850CAD77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EA0"/>
    <w:pPr>
      <w:spacing w:after="120" w:line="360" w:lineRule="auto"/>
    </w:pPr>
    <w:rPr>
      <w:rFonts w:asciiTheme="minorBidi" w:hAnsiTheme="minorBidi"/>
    </w:rPr>
  </w:style>
  <w:style w:type="paragraph" w:styleId="Heading1">
    <w:name w:val="heading 1"/>
    <w:basedOn w:val="Normal"/>
    <w:next w:val="Normal"/>
    <w:link w:val="Heading1Char"/>
    <w:uiPriority w:val="9"/>
    <w:qFormat/>
    <w:rsid w:val="00FB6EA0"/>
    <w:pPr>
      <w:keepNext/>
      <w:keepLines/>
      <w:spacing w:before="200" w:after="8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FC693F"/>
    <w:pPr>
      <w:keepNext/>
      <w:keepLines/>
      <w:spacing w:before="160" w:after="80"/>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B6EA0"/>
    <w:rPr>
      <w:rFonts w:asciiTheme="minorBidi" w:eastAsiaTheme="majorEastAsia" w:hAnsiTheme="minorBidi" w:cstheme="majorBidi"/>
      <w:b/>
      <w:bCs/>
      <w:sz w:val="32"/>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spacing w:after="240"/>
      <w:contextualSpacing/>
    </w:pPr>
    <w:rPr>
      <w:rFonts w:asciiTheme="majorHAnsi" w:eastAsiaTheme="majorEastAsia" w:hAnsiTheme="majorHAnsi" w:cstheme="majorBidi"/>
      <w:b/>
      <w:color w:val="000000"/>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
    <w:name w:val="Reference"/>
    <w:basedOn w:val="Normal"/>
    <w:pPr>
      <w:ind w:left="397" w:hanging="397"/>
    </w:pPr>
  </w:style>
  <w:style w:type="paragraph" w:styleId="TOC1">
    <w:name w:val="toc 1"/>
    <w:basedOn w:val="Normal"/>
    <w:next w:val="Normal"/>
    <w:autoRedefine/>
    <w:uiPriority w:val="39"/>
    <w:unhideWhenUsed/>
    <w:rsid w:val="00F42A47"/>
    <w:pPr>
      <w:spacing w:after="100"/>
    </w:pPr>
  </w:style>
  <w:style w:type="character" w:styleId="Hyperlink">
    <w:name w:val="Hyperlink"/>
    <w:basedOn w:val="DefaultParagraphFont"/>
    <w:uiPriority w:val="99"/>
    <w:unhideWhenUsed/>
    <w:rsid w:val="00F42A4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POST-PN-0744/POST-PN-0744.pdf" TargetMode="External" /><Relationship Id="rId13" Type="http://schemas.openxmlformats.org/officeDocument/2006/relationships/hyperlink" Target="https://doi.org/10.1136/bmjopen-2023-081378" TargetMode="External" /><Relationship Id="rId18" Type="http://schemas.openxmlformats.org/officeDocument/2006/relationships/hyperlink" Target="https://doi.org/10.1186/s12913-026-14740-7"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www.england.nhs.uk/publication/virtual-wards-operational-framework/" TargetMode="External" /><Relationship Id="rId7" Type="http://schemas.openxmlformats.org/officeDocument/2006/relationships/endnotes" Target="endnotes.xml" /><Relationship Id="rId12" Type="http://schemas.openxmlformats.org/officeDocument/2006/relationships/hyperlink" Target="https://doi.org/10.1136/bmjqs-2025-020002" TargetMode="External" /><Relationship Id="rId17" Type="http://schemas.openxmlformats.org/officeDocument/2006/relationships/hyperlink" Target="https://doi.org/10.2196/56494"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doi.org/10.1093/oodh/oqaf008" TargetMode="External" /><Relationship Id="rId20" Type="http://schemas.openxmlformats.org/officeDocument/2006/relationships/hyperlink" Target="https://www.england.nhs.uk/long-read/guidance-note-virtual-ward-care-for-people-with-heart-failure/"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2196/jmir.8775" TargetMode="Externa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doi.org/10.2196/75406" TargetMode="External" /><Relationship Id="rId23" Type="http://schemas.openxmlformats.org/officeDocument/2006/relationships/hyperlink" Target="https://doi.org/10.1186/s12916-024-03312-3" TargetMode="External" /><Relationship Id="rId10" Type="http://schemas.openxmlformats.org/officeDocument/2006/relationships/hyperlink" Target="https://doi.org/10.1093/intqhc/mzaf065" TargetMode="External" /><Relationship Id="rId19" Type="http://schemas.openxmlformats.org/officeDocument/2006/relationships/hyperlink" Target="https://www.nice.org.uk/guidance/htg697" TargetMode="External" /><Relationship Id="rId4" Type="http://schemas.openxmlformats.org/officeDocument/2006/relationships/settings" Target="settings.xml" /><Relationship Id="rId9" Type="http://schemas.openxmlformats.org/officeDocument/2006/relationships/hyperlink" Target="https://www.health.org.uk/reports-and-analysis/working-papers/what-do-virtual-wards-look-like-in-england" TargetMode="External" /><Relationship Id="rId14" Type="http://schemas.openxmlformats.org/officeDocument/2006/relationships/hyperlink" Target="https://doi.org/10.1093/ageing/afaf003" TargetMode="External" /><Relationship Id="rId22" Type="http://schemas.openxmlformats.org/officeDocument/2006/relationships/hyperlink" Target="https://doi.org/10.1093/ageing/afac31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3157</Words>
  <Characters>17995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Digital Transformation Through Technology-Enabled Virtual Wards: A Critical Evaluation of Remote Patient Monitoring in NHS England</vt:lpstr>
    </vt:vector>
  </TitlesOfParts>
  <Manager/>
  <Company/>
  <LinksUpToDate>false</LinksUpToDate>
  <CharactersWithSpaces>21110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Transformation Through Technology-Enabled Virtual Wards: A Critical Evaluation of Remote Patient Monitoring in NHS England</dc:title>
  <dc:subject>BMHP6026 Component 1 Working Draft</dc:subject>
  <dc:creator>HP Laptop</dc:creator>
  <cp:keywords/>
  <dc:description/>
  <cp:lastModifiedBy>marie andrews</cp:lastModifiedBy>
  <cp:revision>2</cp:revision>
  <dcterms:created xsi:type="dcterms:W3CDTF">2026-10-25T14:52:00Z</dcterms:created>
  <dcterms:modified xsi:type="dcterms:W3CDTF">2026-10-25T14:52:00Z</dcterms:modified>
  <cp:category/>
</cp:coreProperties>
</file>