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3C444" w14:textId="77777777" w:rsidR="00463881" w:rsidRPr="00E37427" w:rsidRDefault="00463881" w:rsidP="00E37427">
      <w:pPr>
        <w:spacing w:before="100" w:beforeAutospacing="1" w:after="100" w:afterAutospacing="1" w:line="360" w:lineRule="auto"/>
        <w:jc w:val="both"/>
        <w:rPr>
          <w:rFonts w:ascii="Arial" w:eastAsia="Arial" w:hAnsi="Arial" w:cs="Arial"/>
          <w:kern w:val="0"/>
          <w:sz w:val="22"/>
          <w:szCs w:val="22"/>
          <w:lang w:eastAsia="en-IN"/>
          <w14:ligatures w14:val="none"/>
        </w:rPr>
      </w:pPr>
      <w:r w:rsidRPr="00E37427">
        <w:rPr>
          <w:rFonts w:ascii="Arial" w:eastAsia="Times New Roman" w:hAnsi="Arial" w:cs="Arial"/>
          <w:noProof/>
          <w:kern w:val="0"/>
          <w:sz w:val="22"/>
          <w:szCs w:val="22"/>
          <w:lang w:eastAsia="en-IN"/>
          <w14:ligatures w14:val="none"/>
        </w:rPr>
        <w:drawing>
          <wp:anchor distT="0" distB="0" distL="114300" distR="114300" simplePos="0" relativeHeight="251659264" behindDoc="0" locked="0" layoutInCell="1" hidden="0" allowOverlap="1" wp14:anchorId="7DEC08C2" wp14:editId="7BBE95F6">
            <wp:simplePos x="0" y="0"/>
            <wp:positionH relativeFrom="column">
              <wp:posOffset>-354187</wp:posOffset>
            </wp:positionH>
            <wp:positionV relativeFrom="paragraph">
              <wp:posOffset>-593213</wp:posOffset>
            </wp:positionV>
            <wp:extent cx="1809750" cy="723900"/>
            <wp:effectExtent l="0" t="0" r="0" b="0"/>
            <wp:wrapNone/>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8"/>
                    <a:srcRect/>
                    <a:stretch>
                      <a:fillRect/>
                    </a:stretch>
                  </pic:blipFill>
                  <pic:spPr>
                    <a:xfrm>
                      <a:off x="0" y="0"/>
                      <a:ext cx="1809750" cy="723900"/>
                    </a:xfrm>
                    <a:prstGeom prst="rect">
                      <a:avLst/>
                    </a:prstGeom>
                    <a:ln/>
                  </pic:spPr>
                </pic:pic>
              </a:graphicData>
            </a:graphic>
          </wp:anchor>
        </w:drawing>
      </w:r>
    </w:p>
    <w:p w14:paraId="7D7D181A"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p>
    <w:p w14:paraId="43128E83"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p>
    <w:p w14:paraId="39F2152D"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p>
    <w:p w14:paraId="1723342B" w14:textId="462D5029"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val="nl-NL" w:eastAsia="en-IN"/>
          <w14:ligatures w14:val="none"/>
        </w:rPr>
      </w:pPr>
      <w:r w:rsidRPr="00B37915">
        <w:rPr>
          <w:rFonts w:ascii="Arial" w:eastAsia="Arial" w:hAnsi="Arial" w:cs="Arial"/>
          <w:b/>
          <w:bCs/>
          <w:kern w:val="0"/>
          <w:sz w:val="32"/>
          <w:szCs w:val="32"/>
          <w:lang w:val="nl-NL" w:eastAsia="en-IN"/>
          <w14:ligatures w14:val="none"/>
        </w:rPr>
        <w:t>Student name</w:t>
      </w:r>
      <w:r w:rsidRPr="00B37915">
        <w:rPr>
          <w:rFonts w:ascii="Arial" w:eastAsia="Arial" w:hAnsi="Arial" w:cs="Arial"/>
          <w:kern w:val="0"/>
          <w:sz w:val="32"/>
          <w:szCs w:val="32"/>
          <w:lang w:val="nl-NL" w:eastAsia="en-IN"/>
          <w14:ligatures w14:val="none"/>
        </w:rPr>
        <w:t>:</w:t>
      </w:r>
      <w:r w:rsidR="00917F90" w:rsidRPr="00B37915">
        <w:rPr>
          <w:rFonts w:ascii="Arial" w:eastAsia="Arial" w:hAnsi="Arial" w:cs="Arial"/>
          <w:kern w:val="0"/>
          <w:sz w:val="32"/>
          <w:szCs w:val="32"/>
          <w:lang w:val="nl-NL" w:eastAsia="en-IN"/>
          <w14:ligatures w14:val="none"/>
        </w:rPr>
        <w:t xml:space="preserve"> </w:t>
      </w:r>
      <w:r w:rsidRPr="00B37915">
        <w:rPr>
          <w:rFonts w:ascii="Arial" w:eastAsia="Arial" w:hAnsi="Arial" w:cs="Arial"/>
          <w:kern w:val="0"/>
          <w:sz w:val="32"/>
          <w:szCs w:val="32"/>
          <w:lang w:val="nl-NL" w:eastAsia="en-IN"/>
          <w14:ligatures w14:val="none"/>
        </w:rPr>
        <w:t>Anna Poznanska</w:t>
      </w:r>
    </w:p>
    <w:p w14:paraId="3C9520C6" w14:textId="536921D7"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val="nl-NL" w:eastAsia="en-IN"/>
          <w14:ligatures w14:val="none"/>
        </w:rPr>
      </w:pPr>
      <w:r w:rsidRPr="00B37915">
        <w:rPr>
          <w:rFonts w:ascii="Arial" w:eastAsia="Arial" w:hAnsi="Arial" w:cs="Arial"/>
          <w:b/>
          <w:bCs/>
          <w:kern w:val="0"/>
          <w:sz w:val="32"/>
          <w:szCs w:val="32"/>
          <w:lang w:val="nl-NL" w:eastAsia="en-IN"/>
          <w14:ligatures w14:val="none"/>
        </w:rPr>
        <w:t>Student ID:</w:t>
      </w:r>
      <w:r w:rsidR="00917F90" w:rsidRPr="00B37915">
        <w:rPr>
          <w:rFonts w:ascii="Arial" w:eastAsia="Arial" w:hAnsi="Arial" w:cs="Arial"/>
          <w:b/>
          <w:bCs/>
          <w:kern w:val="0"/>
          <w:sz w:val="32"/>
          <w:szCs w:val="32"/>
          <w:lang w:val="nl-NL" w:eastAsia="en-IN"/>
          <w14:ligatures w14:val="none"/>
        </w:rPr>
        <w:t xml:space="preserve"> </w:t>
      </w:r>
      <w:r w:rsidRPr="00B37915">
        <w:rPr>
          <w:rFonts w:ascii="Arial" w:eastAsia="Arial" w:hAnsi="Arial" w:cs="Arial"/>
          <w:kern w:val="0"/>
          <w:sz w:val="32"/>
          <w:szCs w:val="32"/>
          <w:lang w:val="nl-NL" w:eastAsia="en-IN"/>
          <w14:ligatures w14:val="none"/>
        </w:rPr>
        <w:t>2442414</w:t>
      </w:r>
    </w:p>
    <w:p w14:paraId="40172CE3" w14:textId="605434B7"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Module name:</w:t>
      </w:r>
      <w:r w:rsidRPr="00B37915">
        <w:rPr>
          <w:rFonts w:ascii="Arial" w:eastAsia="Arial" w:hAnsi="Arial" w:cs="Arial"/>
          <w:kern w:val="0"/>
          <w:sz w:val="32"/>
          <w:szCs w:val="32"/>
          <w:lang w:eastAsia="en-IN"/>
          <w14:ligatures w14:val="none"/>
        </w:rPr>
        <w:t xml:space="preserve"> </w:t>
      </w:r>
      <w:r w:rsidR="00882ED3" w:rsidRPr="00882ED3">
        <w:rPr>
          <w:rFonts w:ascii="Arial" w:eastAsia="Arial" w:hAnsi="Arial" w:cs="Arial"/>
          <w:kern w:val="0"/>
          <w:sz w:val="32"/>
          <w:szCs w:val="32"/>
          <w:lang w:eastAsia="en-IN"/>
          <w14:ligatures w14:val="none"/>
        </w:rPr>
        <w:t>Introduction to Physiology</w:t>
      </w:r>
    </w:p>
    <w:p w14:paraId="5421DBF4" w14:textId="76F51F35" w:rsidR="00463881" w:rsidRPr="00B37915" w:rsidRDefault="00463881" w:rsidP="00882ED3">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Component</w:t>
      </w:r>
      <w:r w:rsidR="00882ED3">
        <w:rPr>
          <w:rFonts w:ascii="Arial" w:eastAsia="Arial" w:hAnsi="Arial" w:cs="Arial"/>
          <w:b/>
          <w:bCs/>
          <w:kern w:val="0"/>
          <w:sz w:val="32"/>
          <w:szCs w:val="32"/>
          <w:lang w:eastAsia="en-IN"/>
          <w14:ligatures w14:val="none"/>
        </w:rPr>
        <w:t xml:space="preserve"> 1</w:t>
      </w:r>
      <w:r w:rsidRPr="00B37915">
        <w:rPr>
          <w:rFonts w:ascii="Arial" w:eastAsia="Arial" w:hAnsi="Arial" w:cs="Arial"/>
          <w:b/>
          <w:bCs/>
          <w:kern w:val="0"/>
          <w:sz w:val="32"/>
          <w:szCs w:val="32"/>
          <w:lang w:eastAsia="en-IN"/>
          <w14:ligatures w14:val="none"/>
        </w:rPr>
        <w:t>:</w:t>
      </w:r>
      <w:r w:rsidRPr="00B37915">
        <w:rPr>
          <w:rFonts w:ascii="Arial" w:eastAsia="Arial" w:hAnsi="Arial" w:cs="Arial"/>
          <w:kern w:val="0"/>
          <w:sz w:val="32"/>
          <w:szCs w:val="32"/>
          <w:lang w:eastAsia="en-IN"/>
          <w14:ligatures w14:val="none"/>
        </w:rPr>
        <w:t xml:space="preserve"> </w:t>
      </w:r>
      <w:r w:rsidR="00882ED3" w:rsidRPr="00882ED3">
        <w:rPr>
          <w:rFonts w:ascii="Arial" w:eastAsia="Arial" w:hAnsi="Arial" w:cs="Arial"/>
          <w:kern w:val="0"/>
          <w:sz w:val="32"/>
          <w:szCs w:val="32"/>
          <w:lang w:eastAsia="en-IN"/>
          <w14:ligatures w14:val="none"/>
        </w:rPr>
        <w:t>Written Assignment (Case</w:t>
      </w:r>
      <w:r w:rsidR="00882ED3">
        <w:rPr>
          <w:rFonts w:ascii="Arial" w:eastAsia="Arial" w:hAnsi="Arial" w:cs="Arial"/>
          <w:kern w:val="0"/>
          <w:sz w:val="32"/>
          <w:szCs w:val="32"/>
          <w:lang w:eastAsia="en-IN"/>
          <w14:ligatures w14:val="none"/>
        </w:rPr>
        <w:t xml:space="preserve"> </w:t>
      </w:r>
      <w:r w:rsidR="00882ED3" w:rsidRPr="00882ED3">
        <w:rPr>
          <w:rFonts w:ascii="Arial" w:eastAsia="Arial" w:hAnsi="Arial" w:cs="Arial"/>
          <w:kern w:val="0"/>
          <w:sz w:val="32"/>
          <w:szCs w:val="32"/>
          <w:lang w:eastAsia="en-IN"/>
          <w14:ligatures w14:val="none"/>
        </w:rPr>
        <w:t>Study Report)</w:t>
      </w:r>
    </w:p>
    <w:p w14:paraId="31FFF12A" w14:textId="73E1A7BE"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Module code:</w:t>
      </w:r>
      <w:r w:rsidRPr="00B37915">
        <w:rPr>
          <w:rFonts w:ascii="Arial" w:eastAsia="Arial" w:hAnsi="Arial" w:cs="Arial"/>
          <w:kern w:val="0"/>
          <w:sz w:val="32"/>
          <w:szCs w:val="32"/>
          <w:lang w:eastAsia="en-IN"/>
          <w14:ligatures w14:val="none"/>
        </w:rPr>
        <w:t xml:space="preserve"> </w:t>
      </w:r>
      <w:r w:rsidR="00882ED3" w:rsidRPr="00882ED3">
        <w:rPr>
          <w:rFonts w:ascii="Arial" w:eastAsia="Arial" w:hAnsi="Arial" w:cs="Arial"/>
          <w:kern w:val="0"/>
          <w:sz w:val="32"/>
          <w:szCs w:val="32"/>
          <w:lang w:eastAsia="en-IN"/>
          <w14:ligatures w14:val="none"/>
        </w:rPr>
        <w:t>BMHP5023</w:t>
      </w:r>
      <w:r w:rsidRPr="00B37915">
        <w:rPr>
          <w:rFonts w:ascii="Arial" w:eastAsia="Arial" w:hAnsi="Arial" w:cs="Arial"/>
          <w:kern w:val="0"/>
          <w:sz w:val="32"/>
          <w:szCs w:val="32"/>
          <w:lang w:eastAsia="en-IN"/>
          <w14:ligatures w14:val="none"/>
        </w:rPr>
        <w:t xml:space="preserve"> </w:t>
      </w:r>
    </w:p>
    <w:p w14:paraId="42D3A3B6" w14:textId="6DE2A43B" w:rsidR="00463881" w:rsidRPr="00B37915" w:rsidRDefault="00463881" w:rsidP="00E37427">
      <w:pPr>
        <w:tabs>
          <w:tab w:val="left" w:pos="6540"/>
        </w:tabs>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Arial" w:hAnsi="Arial" w:cs="Arial"/>
          <w:b/>
          <w:bCs/>
          <w:kern w:val="0"/>
          <w:sz w:val="32"/>
          <w:szCs w:val="32"/>
          <w:lang w:eastAsia="en-IN"/>
          <w14:ligatures w14:val="none"/>
        </w:rPr>
        <w:t>Lecturer name:</w:t>
      </w:r>
      <w:r w:rsidRPr="00B37915">
        <w:rPr>
          <w:rFonts w:ascii="Arial" w:eastAsia="Arial" w:hAnsi="Arial" w:cs="Arial"/>
          <w:kern w:val="0"/>
          <w:sz w:val="32"/>
          <w:szCs w:val="32"/>
          <w:lang w:eastAsia="en-IN"/>
          <w14:ligatures w14:val="none"/>
        </w:rPr>
        <w:t xml:space="preserve"> </w:t>
      </w:r>
      <w:r w:rsidR="00882ED3" w:rsidRPr="00882ED3">
        <w:rPr>
          <w:rFonts w:ascii="Arial" w:eastAsia="Arial" w:hAnsi="Arial" w:cs="Arial"/>
          <w:kern w:val="0"/>
          <w:sz w:val="32"/>
          <w:szCs w:val="32"/>
          <w:lang w:eastAsia="en-IN"/>
          <w14:ligatures w14:val="none"/>
        </w:rPr>
        <w:t>Dr Soban Sadiq</w:t>
      </w:r>
    </w:p>
    <w:p w14:paraId="4C3C5396" w14:textId="77777777" w:rsidR="00463881" w:rsidRPr="00B37915" w:rsidRDefault="00463881" w:rsidP="00E37427">
      <w:pPr>
        <w:spacing w:before="100" w:beforeAutospacing="1" w:after="100" w:afterAutospacing="1" w:line="360" w:lineRule="auto"/>
        <w:jc w:val="both"/>
        <w:rPr>
          <w:rFonts w:ascii="Arial" w:eastAsia="Arial" w:hAnsi="Arial" w:cs="Arial"/>
          <w:kern w:val="0"/>
          <w:sz w:val="32"/>
          <w:szCs w:val="32"/>
          <w:lang w:eastAsia="en-IN"/>
          <w14:ligatures w14:val="none"/>
        </w:rPr>
      </w:pPr>
      <w:r w:rsidRPr="00B37915">
        <w:rPr>
          <w:rFonts w:ascii="Arial" w:eastAsia="Times New Roman" w:hAnsi="Arial" w:cs="Arial"/>
          <w:kern w:val="0"/>
          <w:sz w:val="32"/>
          <w:szCs w:val="32"/>
          <w:lang w:eastAsia="en-IN"/>
          <w14:ligatures w14:val="none"/>
        </w:rPr>
        <w:br w:type="page"/>
      </w:r>
    </w:p>
    <w:p w14:paraId="10EF3B82" w14:textId="77777777" w:rsidR="00A840F1" w:rsidRPr="00783E58" w:rsidRDefault="00463881" w:rsidP="002057AB">
      <w:pPr>
        <w:keepNext/>
        <w:keepLines/>
        <w:spacing w:before="100" w:beforeAutospacing="1" w:after="100" w:afterAutospacing="1" w:line="240" w:lineRule="auto"/>
        <w:rPr>
          <w:rFonts w:ascii="Arial" w:eastAsia="Arial" w:hAnsi="Arial" w:cs="Arial"/>
          <w:b/>
          <w:bCs/>
          <w:kern w:val="0"/>
          <w:sz w:val="28"/>
          <w:szCs w:val="28"/>
          <w:lang w:eastAsia="en-IN"/>
          <w14:ligatures w14:val="none"/>
        </w:rPr>
      </w:pPr>
      <w:r w:rsidRPr="00783E58">
        <w:rPr>
          <w:rFonts w:ascii="Arial" w:eastAsia="Arial" w:hAnsi="Arial" w:cs="Arial"/>
          <w:b/>
          <w:bCs/>
          <w:kern w:val="0"/>
          <w:sz w:val="28"/>
          <w:szCs w:val="28"/>
          <w:lang w:eastAsia="en-IN"/>
          <w14:ligatures w14:val="none"/>
        </w:rPr>
        <w:lastRenderedPageBreak/>
        <w:t>Table of contents</w:t>
      </w:r>
    </w:p>
    <w:sdt>
      <w:sdtPr>
        <w:rPr>
          <w:rFonts w:ascii="Arial" w:eastAsia="Times New Roman" w:hAnsi="Arial" w:cs="Arial"/>
          <w:kern w:val="0"/>
          <w:sz w:val="22"/>
          <w:szCs w:val="22"/>
          <w:lang w:eastAsia="en-IN"/>
          <w14:ligatures w14:val="none"/>
        </w:rPr>
        <w:id w:val="1949585871"/>
        <w:docPartObj>
          <w:docPartGallery w:val="Table of Contents"/>
          <w:docPartUnique/>
        </w:docPartObj>
      </w:sdtPr>
      <w:sdtEndPr>
        <w:rPr>
          <w:rFonts w:asciiTheme="minorHAnsi" w:eastAsiaTheme="minorHAnsi" w:hAnsiTheme="minorHAnsi" w:cstheme="minorBidi"/>
          <w:noProof/>
          <w:kern w:val="2"/>
          <w:sz w:val="24"/>
          <w:szCs w:val="24"/>
          <w14:ligatures w14:val="standardContextual"/>
        </w:rPr>
      </w:sdtEndPr>
      <w:sdtContent>
        <w:p w14:paraId="055F3303" w14:textId="1404A309" w:rsidR="00463881" w:rsidRPr="002057AB" w:rsidRDefault="00463881" w:rsidP="00A840F1">
          <w:pPr>
            <w:keepNext/>
            <w:keepLines/>
            <w:spacing w:before="100" w:beforeAutospacing="1" w:after="100" w:afterAutospacing="1" w:line="360" w:lineRule="auto"/>
            <w:rPr>
              <w:rFonts w:ascii="Arial" w:eastAsia="Arial" w:hAnsi="Arial" w:cs="Arial"/>
              <w:b/>
              <w:bCs/>
              <w:kern w:val="0"/>
              <w:sz w:val="2"/>
              <w:szCs w:val="2"/>
              <w:lang w:eastAsia="en-IN"/>
              <w14:ligatures w14:val="none"/>
            </w:rPr>
          </w:pPr>
        </w:p>
        <w:p w14:paraId="36E8B089" w14:textId="0AEBC5FE" w:rsidR="002057AB" w:rsidRPr="002057AB" w:rsidRDefault="00463881">
          <w:pPr>
            <w:pStyle w:val="TOC1"/>
            <w:tabs>
              <w:tab w:val="left" w:pos="480"/>
            </w:tabs>
            <w:rPr>
              <w:rFonts w:eastAsiaTheme="minorEastAsia"/>
              <w:noProof/>
              <w:sz w:val="22"/>
              <w:szCs w:val="22"/>
              <w:lang w:eastAsia="en-GB"/>
            </w:rPr>
          </w:pPr>
          <w:r w:rsidRPr="002057AB">
            <w:rPr>
              <w:rFonts w:ascii="Arial" w:eastAsia="Times New Roman" w:hAnsi="Arial" w:cs="Arial"/>
              <w:b/>
              <w:bCs/>
              <w:kern w:val="0"/>
              <w:sz w:val="22"/>
              <w:szCs w:val="22"/>
              <w:lang w:eastAsia="en-IN"/>
              <w14:ligatures w14:val="none"/>
            </w:rPr>
            <w:fldChar w:fldCharType="begin"/>
          </w:r>
          <w:r w:rsidRPr="002057AB">
            <w:rPr>
              <w:rFonts w:ascii="Arial" w:eastAsia="Times New Roman" w:hAnsi="Arial" w:cs="Arial"/>
              <w:b/>
              <w:bCs/>
              <w:kern w:val="0"/>
              <w:sz w:val="22"/>
              <w:szCs w:val="22"/>
              <w:lang w:eastAsia="en-IN"/>
              <w14:ligatures w14:val="none"/>
            </w:rPr>
            <w:instrText xml:space="preserve"> TOC \o "1-3" \h \z \u </w:instrText>
          </w:r>
          <w:r w:rsidRPr="002057AB">
            <w:rPr>
              <w:rFonts w:ascii="Arial" w:eastAsia="Times New Roman" w:hAnsi="Arial" w:cs="Arial"/>
              <w:b/>
              <w:bCs/>
              <w:kern w:val="0"/>
              <w:sz w:val="22"/>
              <w:szCs w:val="22"/>
              <w:lang w:eastAsia="en-IN"/>
              <w14:ligatures w14:val="none"/>
            </w:rPr>
            <w:fldChar w:fldCharType="separate"/>
          </w:r>
          <w:hyperlink w:anchor="_Toc238820869" w:history="1">
            <w:r w:rsidR="002057AB" w:rsidRPr="002057AB">
              <w:rPr>
                <w:rStyle w:val="Hyperlink"/>
                <w:rFonts w:ascii="Arial" w:hAnsi="Arial" w:cs="Arial"/>
                <w:noProof/>
                <w:sz w:val="22"/>
                <w:szCs w:val="22"/>
              </w:rPr>
              <w:t>1</w:t>
            </w:r>
            <w:r w:rsidR="002057AB" w:rsidRPr="002057AB">
              <w:rPr>
                <w:rFonts w:eastAsiaTheme="minorEastAsia"/>
                <w:noProof/>
                <w:sz w:val="22"/>
                <w:szCs w:val="22"/>
                <w:lang w:eastAsia="en-GB"/>
              </w:rPr>
              <w:tab/>
            </w:r>
            <w:r w:rsidR="002057AB" w:rsidRPr="002057AB">
              <w:rPr>
                <w:rStyle w:val="Hyperlink"/>
                <w:rFonts w:ascii="Arial" w:hAnsi="Arial" w:cs="Arial"/>
                <w:noProof/>
                <w:sz w:val="22"/>
                <w:szCs w:val="22"/>
              </w:rPr>
              <w:t>Introduction</w:t>
            </w:r>
            <w:r w:rsidR="002057AB" w:rsidRPr="002057AB">
              <w:rPr>
                <w:noProof/>
                <w:webHidden/>
                <w:sz w:val="22"/>
                <w:szCs w:val="22"/>
              </w:rPr>
              <w:tab/>
            </w:r>
            <w:r w:rsidR="002057AB" w:rsidRPr="002057AB">
              <w:rPr>
                <w:noProof/>
                <w:webHidden/>
                <w:sz w:val="22"/>
                <w:szCs w:val="22"/>
              </w:rPr>
              <w:fldChar w:fldCharType="begin"/>
            </w:r>
            <w:r w:rsidR="002057AB" w:rsidRPr="002057AB">
              <w:rPr>
                <w:noProof/>
                <w:webHidden/>
                <w:sz w:val="22"/>
                <w:szCs w:val="22"/>
              </w:rPr>
              <w:instrText xml:space="preserve"> PAGEREF _Toc238820869 \h </w:instrText>
            </w:r>
            <w:r w:rsidR="002057AB" w:rsidRPr="002057AB">
              <w:rPr>
                <w:noProof/>
                <w:webHidden/>
                <w:sz w:val="22"/>
                <w:szCs w:val="22"/>
              </w:rPr>
            </w:r>
            <w:r w:rsidR="002057AB" w:rsidRPr="002057AB">
              <w:rPr>
                <w:noProof/>
                <w:webHidden/>
                <w:sz w:val="22"/>
                <w:szCs w:val="22"/>
              </w:rPr>
              <w:fldChar w:fldCharType="separate"/>
            </w:r>
            <w:r w:rsidR="002057AB" w:rsidRPr="002057AB">
              <w:rPr>
                <w:noProof/>
                <w:webHidden/>
                <w:sz w:val="22"/>
                <w:szCs w:val="22"/>
              </w:rPr>
              <w:t>4</w:t>
            </w:r>
            <w:r w:rsidR="002057AB" w:rsidRPr="002057AB">
              <w:rPr>
                <w:noProof/>
                <w:webHidden/>
                <w:sz w:val="22"/>
                <w:szCs w:val="22"/>
              </w:rPr>
              <w:fldChar w:fldCharType="end"/>
            </w:r>
          </w:hyperlink>
        </w:p>
        <w:p w14:paraId="17C94553" w14:textId="261224CB" w:rsidR="002057AB" w:rsidRPr="002057AB" w:rsidRDefault="002057AB">
          <w:pPr>
            <w:pStyle w:val="TOC2"/>
            <w:tabs>
              <w:tab w:val="right" w:leader="dot" w:pos="9016"/>
            </w:tabs>
            <w:rPr>
              <w:rFonts w:eastAsiaTheme="minorEastAsia"/>
              <w:noProof/>
              <w:sz w:val="22"/>
              <w:szCs w:val="22"/>
              <w:lang w:eastAsia="en-GB"/>
            </w:rPr>
          </w:pPr>
          <w:hyperlink w:anchor="_Toc238820870" w:history="1">
            <w:r w:rsidRPr="002057AB">
              <w:rPr>
                <w:rStyle w:val="Hyperlink"/>
                <w:rFonts w:ascii="Arial" w:hAnsi="Arial" w:cs="Arial"/>
                <w:noProof/>
                <w:sz w:val="22"/>
                <w:szCs w:val="22"/>
              </w:rPr>
              <w:t>1a. Definition and Types of Diabetes</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_Toc238820870 \h </w:instrText>
            </w:r>
            <w:r w:rsidRPr="002057AB">
              <w:rPr>
                <w:noProof/>
                <w:webHidden/>
                <w:sz w:val="22"/>
                <w:szCs w:val="22"/>
              </w:rPr>
            </w:r>
            <w:r w:rsidRPr="002057AB">
              <w:rPr>
                <w:noProof/>
                <w:webHidden/>
                <w:sz w:val="22"/>
                <w:szCs w:val="22"/>
              </w:rPr>
              <w:fldChar w:fldCharType="separate"/>
            </w:r>
            <w:r w:rsidRPr="002057AB">
              <w:rPr>
                <w:noProof/>
                <w:webHidden/>
                <w:sz w:val="22"/>
                <w:szCs w:val="22"/>
              </w:rPr>
              <w:t>4</w:t>
            </w:r>
            <w:r w:rsidRPr="002057AB">
              <w:rPr>
                <w:noProof/>
                <w:webHidden/>
                <w:sz w:val="22"/>
                <w:szCs w:val="22"/>
              </w:rPr>
              <w:fldChar w:fldCharType="end"/>
            </w:r>
          </w:hyperlink>
        </w:p>
        <w:p w14:paraId="1F75348E" w14:textId="0642B6D7" w:rsidR="002057AB" w:rsidRPr="002057AB" w:rsidRDefault="002057AB">
          <w:pPr>
            <w:pStyle w:val="TOC2"/>
            <w:tabs>
              <w:tab w:val="right" w:leader="dot" w:pos="9016"/>
            </w:tabs>
            <w:rPr>
              <w:rFonts w:eastAsiaTheme="minorEastAsia"/>
              <w:noProof/>
              <w:sz w:val="22"/>
              <w:szCs w:val="22"/>
              <w:lang w:eastAsia="en-GB"/>
            </w:rPr>
          </w:pPr>
          <w:hyperlink w:anchor="_Toc238820871" w:history="1">
            <w:r w:rsidRPr="002057AB">
              <w:rPr>
                <w:rStyle w:val="Hyperlink"/>
                <w:rFonts w:ascii="Arial" w:hAnsi="Arial" w:cs="Arial"/>
                <w:noProof/>
                <w:sz w:val="22"/>
                <w:szCs w:val="22"/>
                <w:lang w:val="en-US"/>
              </w:rPr>
              <w:t>1b. Risk Factors for Type 2 Diabetes</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_Toc238820871 \h </w:instrText>
            </w:r>
            <w:r w:rsidRPr="002057AB">
              <w:rPr>
                <w:noProof/>
                <w:webHidden/>
                <w:sz w:val="22"/>
                <w:szCs w:val="22"/>
              </w:rPr>
            </w:r>
            <w:r w:rsidRPr="002057AB">
              <w:rPr>
                <w:noProof/>
                <w:webHidden/>
                <w:sz w:val="22"/>
                <w:szCs w:val="22"/>
              </w:rPr>
              <w:fldChar w:fldCharType="separate"/>
            </w:r>
            <w:r w:rsidRPr="002057AB">
              <w:rPr>
                <w:noProof/>
                <w:webHidden/>
                <w:sz w:val="22"/>
                <w:szCs w:val="22"/>
              </w:rPr>
              <w:t>4</w:t>
            </w:r>
            <w:r w:rsidRPr="002057AB">
              <w:rPr>
                <w:noProof/>
                <w:webHidden/>
                <w:sz w:val="22"/>
                <w:szCs w:val="22"/>
              </w:rPr>
              <w:fldChar w:fldCharType="end"/>
            </w:r>
          </w:hyperlink>
        </w:p>
        <w:p w14:paraId="6E6DF649" w14:textId="179A2762" w:rsidR="002057AB" w:rsidRPr="002057AB" w:rsidRDefault="002057AB">
          <w:pPr>
            <w:pStyle w:val="TOC2"/>
            <w:tabs>
              <w:tab w:val="right" w:leader="dot" w:pos="9016"/>
            </w:tabs>
            <w:rPr>
              <w:rFonts w:eastAsiaTheme="minorEastAsia"/>
              <w:noProof/>
              <w:sz w:val="22"/>
              <w:szCs w:val="22"/>
              <w:lang w:eastAsia="en-GB"/>
            </w:rPr>
          </w:pPr>
          <w:hyperlink w:anchor="_Toc238820872" w:history="1">
            <w:r w:rsidRPr="002057AB">
              <w:rPr>
                <w:rStyle w:val="Hyperlink"/>
                <w:rFonts w:ascii="Arial" w:hAnsi="Arial" w:cs="Arial"/>
                <w:noProof/>
                <w:sz w:val="22"/>
                <w:szCs w:val="22"/>
                <w:lang w:val="en-US"/>
              </w:rPr>
              <w:t>1c. Importance of Patient Education in General Practice</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_Toc238820872 \h </w:instrText>
            </w:r>
            <w:r w:rsidRPr="002057AB">
              <w:rPr>
                <w:noProof/>
                <w:webHidden/>
                <w:sz w:val="22"/>
                <w:szCs w:val="22"/>
              </w:rPr>
            </w:r>
            <w:r w:rsidRPr="002057AB">
              <w:rPr>
                <w:noProof/>
                <w:webHidden/>
                <w:sz w:val="22"/>
                <w:szCs w:val="22"/>
              </w:rPr>
              <w:fldChar w:fldCharType="separate"/>
            </w:r>
            <w:r w:rsidRPr="002057AB">
              <w:rPr>
                <w:noProof/>
                <w:webHidden/>
                <w:sz w:val="22"/>
                <w:szCs w:val="22"/>
              </w:rPr>
              <w:t>4</w:t>
            </w:r>
            <w:r w:rsidRPr="002057AB">
              <w:rPr>
                <w:noProof/>
                <w:webHidden/>
                <w:sz w:val="22"/>
                <w:szCs w:val="22"/>
              </w:rPr>
              <w:fldChar w:fldCharType="end"/>
            </w:r>
          </w:hyperlink>
        </w:p>
        <w:p w14:paraId="0B8E5266" w14:textId="78B896B2" w:rsidR="002057AB" w:rsidRPr="002057AB" w:rsidRDefault="002057AB">
          <w:pPr>
            <w:pStyle w:val="TOC1"/>
            <w:tabs>
              <w:tab w:val="left" w:pos="480"/>
            </w:tabs>
            <w:rPr>
              <w:rFonts w:eastAsiaTheme="minorEastAsia"/>
              <w:noProof/>
              <w:sz w:val="22"/>
              <w:szCs w:val="22"/>
              <w:lang w:eastAsia="en-GB"/>
            </w:rPr>
          </w:pPr>
          <w:hyperlink w:anchor="_Toc238820873" w:history="1">
            <w:r w:rsidRPr="002057AB">
              <w:rPr>
                <w:rStyle w:val="Hyperlink"/>
                <w:rFonts w:ascii="Arial" w:hAnsi="Arial" w:cs="Arial"/>
                <w:noProof/>
                <w:sz w:val="22"/>
                <w:szCs w:val="22"/>
                <w:lang w:val="en-US"/>
              </w:rPr>
              <w:t>2</w:t>
            </w:r>
            <w:r w:rsidRPr="002057AB">
              <w:rPr>
                <w:rFonts w:eastAsiaTheme="minorEastAsia"/>
                <w:noProof/>
                <w:sz w:val="22"/>
                <w:szCs w:val="22"/>
                <w:lang w:eastAsia="en-GB"/>
              </w:rPr>
              <w:tab/>
            </w:r>
            <w:r w:rsidRPr="002057AB">
              <w:rPr>
                <w:rStyle w:val="Hyperlink"/>
                <w:rFonts w:ascii="Arial" w:hAnsi="Arial" w:cs="Arial"/>
                <w:noProof/>
                <w:sz w:val="22"/>
                <w:szCs w:val="22"/>
                <w:lang w:val="en-US"/>
              </w:rPr>
              <w:t>Blood Sugar Regulation</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_Toc238820873 \h </w:instrText>
            </w:r>
            <w:r w:rsidRPr="002057AB">
              <w:rPr>
                <w:noProof/>
                <w:webHidden/>
                <w:sz w:val="22"/>
                <w:szCs w:val="22"/>
              </w:rPr>
            </w:r>
            <w:r w:rsidRPr="002057AB">
              <w:rPr>
                <w:noProof/>
                <w:webHidden/>
                <w:sz w:val="22"/>
                <w:szCs w:val="22"/>
              </w:rPr>
              <w:fldChar w:fldCharType="separate"/>
            </w:r>
            <w:r w:rsidRPr="002057AB">
              <w:rPr>
                <w:noProof/>
                <w:webHidden/>
                <w:sz w:val="22"/>
                <w:szCs w:val="22"/>
              </w:rPr>
              <w:t>5</w:t>
            </w:r>
            <w:r w:rsidRPr="002057AB">
              <w:rPr>
                <w:noProof/>
                <w:webHidden/>
                <w:sz w:val="22"/>
                <w:szCs w:val="22"/>
              </w:rPr>
              <w:fldChar w:fldCharType="end"/>
            </w:r>
          </w:hyperlink>
        </w:p>
        <w:p w14:paraId="6DFBBA8A" w14:textId="55557DC6" w:rsidR="002057AB" w:rsidRPr="002057AB" w:rsidRDefault="002057AB">
          <w:pPr>
            <w:pStyle w:val="TOC2"/>
            <w:tabs>
              <w:tab w:val="right" w:leader="dot" w:pos="9016"/>
            </w:tabs>
            <w:rPr>
              <w:rFonts w:eastAsiaTheme="minorEastAsia"/>
              <w:noProof/>
              <w:sz w:val="22"/>
              <w:szCs w:val="22"/>
              <w:lang w:eastAsia="en-GB"/>
            </w:rPr>
          </w:pPr>
          <w:hyperlink w:anchor="_Toc238820874" w:history="1">
            <w:r w:rsidRPr="002057AB">
              <w:rPr>
                <w:rStyle w:val="Hyperlink"/>
                <w:rFonts w:ascii="Arial" w:hAnsi="Arial" w:cs="Arial"/>
                <w:noProof/>
                <w:sz w:val="22"/>
                <w:szCs w:val="22"/>
                <w:lang w:val="en-US"/>
              </w:rPr>
              <w:t>2a. Homeostasis and the Importance of Maintaining Blood Glucose</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_Toc238820874 \h </w:instrText>
            </w:r>
            <w:r w:rsidRPr="002057AB">
              <w:rPr>
                <w:noProof/>
                <w:webHidden/>
                <w:sz w:val="22"/>
                <w:szCs w:val="22"/>
              </w:rPr>
            </w:r>
            <w:r w:rsidRPr="002057AB">
              <w:rPr>
                <w:noProof/>
                <w:webHidden/>
                <w:sz w:val="22"/>
                <w:szCs w:val="22"/>
              </w:rPr>
              <w:fldChar w:fldCharType="separate"/>
            </w:r>
            <w:r w:rsidRPr="002057AB">
              <w:rPr>
                <w:noProof/>
                <w:webHidden/>
                <w:sz w:val="22"/>
                <w:szCs w:val="22"/>
              </w:rPr>
              <w:t>5</w:t>
            </w:r>
            <w:r w:rsidRPr="002057AB">
              <w:rPr>
                <w:noProof/>
                <w:webHidden/>
                <w:sz w:val="22"/>
                <w:szCs w:val="22"/>
              </w:rPr>
              <w:fldChar w:fldCharType="end"/>
            </w:r>
          </w:hyperlink>
        </w:p>
        <w:p w14:paraId="6D3035C5" w14:textId="285B7D68" w:rsidR="002057AB" w:rsidRPr="002057AB" w:rsidRDefault="002057AB">
          <w:pPr>
            <w:pStyle w:val="TOC2"/>
            <w:tabs>
              <w:tab w:val="right" w:leader="dot" w:pos="9016"/>
            </w:tabs>
            <w:rPr>
              <w:rFonts w:eastAsiaTheme="minorEastAsia"/>
              <w:noProof/>
              <w:sz w:val="22"/>
              <w:szCs w:val="22"/>
              <w:lang w:eastAsia="en-GB"/>
            </w:rPr>
          </w:pPr>
          <w:hyperlink w:anchor="_Toc238820875" w:history="1">
            <w:r w:rsidRPr="002057AB">
              <w:rPr>
                <w:rStyle w:val="Hyperlink"/>
                <w:rFonts w:ascii="Arial" w:hAnsi="Arial" w:cs="Arial"/>
                <w:noProof/>
                <w:sz w:val="22"/>
                <w:szCs w:val="22"/>
                <w:lang w:val="en-US"/>
              </w:rPr>
              <w:t>2b. Response to Rising Blood Glucose</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_Toc238820875 \h </w:instrText>
            </w:r>
            <w:r w:rsidRPr="002057AB">
              <w:rPr>
                <w:noProof/>
                <w:webHidden/>
                <w:sz w:val="22"/>
                <w:szCs w:val="22"/>
              </w:rPr>
            </w:r>
            <w:r w:rsidRPr="002057AB">
              <w:rPr>
                <w:noProof/>
                <w:webHidden/>
                <w:sz w:val="22"/>
                <w:szCs w:val="22"/>
              </w:rPr>
              <w:fldChar w:fldCharType="separate"/>
            </w:r>
            <w:r w:rsidRPr="002057AB">
              <w:rPr>
                <w:noProof/>
                <w:webHidden/>
                <w:sz w:val="22"/>
                <w:szCs w:val="22"/>
              </w:rPr>
              <w:t>7</w:t>
            </w:r>
            <w:r w:rsidRPr="002057AB">
              <w:rPr>
                <w:noProof/>
                <w:webHidden/>
                <w:sz w:val="22"/>
                <w:szCs w:val="22"/>
              </w:rPr>
              <w:fldChar w:fldCharType="end"/>
            </w:r>
          </w:hyperlink>
        </w:p>
        <w:p w14:paraId="6D8BA74C" w14:textId="27B5A41B" w:rsidR="002057AB" w:rsidRPr="002057AB" w:rsidRDefault="002057AB">
          <w:pPr>
            <w:pStyle w:val="TOC2"/>
            <w:tabs>
              <w:tab w:val="right" w:leader="dot" w:pos="9016"/>
            </w:tabs>
            <w:rPr>
              <w:rFonts w:eastAsiaTheme="minorEastAsia"/>
              <w:noProof/>
              <w:sz w:val="22"/>
              <w:szCs w:val="22"/>
              <w:lang w:eastAsia="en-GB"/>
            </w:rPr>
          </w:pPr>
          <w:hyperlink w:anchor="_Toc238820876" w:history="1">
            <w:r w:rsidRPr="002057AB">
              <w:rPr>
                <w:rStyle w:val="Hyperlink"/>
                <w:rFonts w:ascii="Arial" w:hAnsi="Arial" w:cs="Arial"/>
                <w:noProof/>
                <w:sz w:val="22"/>
                <w:szCs w:val="22"/>
                <w:lang w:val="en-US"/>
              </w:rPr>
              <w:t>2c. Response to Falling Blood Glucose</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_Toc238820876 \h </w:instrText>
            </w:r>
            <w:r w:rsidRPr="002057AB">
              <w:rPr>
                <w:noProof/>
                <w:webHidden/>
                <w:sz w:val="22"/>
                <w:szCs w:val="22"/>
              </w:rPr>
            </w:r>
            <w:r w:rsidRPr="002057AB">
              <w:rPr>
                <w:noProof/>
                <w:webHidden/>
                <w:sz w:val="22"/>
                <w:szCs w:val="22"/>
              </w:rPr>
              <w:fldChar w:fldCharType="separate"/>
            </w:r>
            <w:r w:rsidRPr="002057AB">
              <w:rPr>
                <w:noProof/>
                <w:webHidden/>
                <w:sz w:val="22"/>
                <w:szCs w:val="22"/>
              </w:rPr>
              <w:t>7</w:t>
            </w:r>
            <w:r w:rsidRPr="002057AB">
              <w:rPr>
                <w:noProof/>
                <w:webHidden/>
                <w:sz w:val="22"/>
                <w:szCs w:val="22"/>
              </w:rPr>
              <w:fldChar w:fldCharType="end"/>
            </w:r>
          </w:hyperlink>
        </w:p>
        <w:p w14:paraId="219DFBA2" w14:textId="10D70215" w:rsidR="002057AB" w:rsidRPr="002057AB" w:rsidRDefault="002057AB">
          <w:pPr>
            <w:pStyle w:val="TOC2"/>
            <w:tabs>
              <w:tab w:val="right" w:leader="dot" w:pos="9016"/>
            </w:tabs>
            <w:rPr>
              <w:rFonts w:eastAsiaTheme="minorEastAsia"/>
              <w:noProof/>
              <w:sz w:val="22"/>
              <w:szCs w:val="22"/>
              <w:lang w:eastAsia="en-GB"/>
            </w:rPr>
          </w:pPr>
          <w:hyperlink w:anchor="_Toc238820877" w:history="1">
            <w:r w:rsidRPr="002057AB">
              <w:rPr>
                <w:rStyle w:val="Hyperlink"/>
                <w:rFonts w:ascii="Arial" w:hAnsi="Arial" w:cs="Arial"/>
                <w:noProof/>
                <w:sz w:val="22"/>
                <w:szCs w:val="22"/>
                <w:lang w:val="en-US"/>
              </w:rPr>
              <w:t>2d. Failure of Blood Glucose Regulation in Type 2 Diabetes</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_Toc238820877 \h </w:instrText>
            </w:r>
            <w:r w:rsidRPr="002057AB">
              <w:rPr>
                <w:noProof/>
                <w:webHidden/>
                <w:sz w:val="22"/>
                <w:szCs w:val="22"/>
              </w:rPr>
            </w:r>
            <w:r w:rsidRPr="002057AB">
              <w:rPr>
                <w:noProof/>
                <w:webHidden/>
                <w:sz w:val="22"/>
                <w:szCs w:val="22"/>
              </w:rPr>
              <w:fldChar w:fldCharType="separate"/>
            </w:r>
            <w:r w:rsidRPr="002057AB">
              <w:rPr>
                <w:noProof/>
                <w:webHidden/>
                <w:sz w:val="22"/>
                <w:szCs w:val="22"/>
              </w:rPr>
              <w:t>7</w:t>
            </w:r>
            <w:r w:rsidRPr="002057AB">
              <w:rPr>
                <w:noProof/>
                <w:webHidden/>
                <w:sz w:val="22"/>
                <w:szCs w:val="22"/>
              </w:rPr>
              <w:fldChar w:fldCharType="end"/>
            </w:r>
          </w:hyperlink>
        </w:p>
        <w:p w14:paraId="44CB346B" w14:textId="3DCBFF0D" w:rsidR="002057AB" w:rsidRPr="002057AB" w:rsidRDefault="002057AB">
          <w:pPr>
            <w:pStyle w:val="TOC1"/>
            <w:tabs>
              <w:tab w:val="left" w:pos="480"/>
            </w:tabs>
            <w:rPr>
              <w:rFonts w:eastAsiaTheme="minorEastAsia"/>
              <w:noProof/>
              <w:sz w:val="22"/>
              <w:szCs w:val="22"/>
              <w:lang w:eastAsia="en-GB"/>
            </w:rPr>
          </w:pPr>
          <w:hyperlink w:anchor="_Toc238820878" w:history="1">
            <w:r w:rsidRPr="002057AB">
              <w:rPr>
                <w:rStyle w:val="Hyperlink"/>
                <w:rFonts w:ascii="Arial" w:hAnsi="Arial" w:cs="Arial"/>
                <w:noProof/>
                <w:sz w:val="22"/>
                <w:szCs w:val="22"/>
                <w:lang w:val="en-US"/>
              </w:rPr>
              <w:t>3</w:t>
            </w:r>
            <w:r w:rsidRPr="002057AB">
              <w:rPr>
                <w:rFonts w:eastAsiaTheme="minorEastAsia"/>
                <w:noProof/>
                <w:sz w:val="22"/>
                <w:szCs w:val="22"/>
                <w:lang w:eastAsia="en-GB"/>
              </w:rPr>
              <w:tab/>
            </w:r>
            <w:r w:rsidRPr="002057AB">
              <w:rPr>
                <w:rStyle w:val="Hyperlink"/>
                <w:rFonts w:ascii="Arial" w:hAnsi="Arial" w:cs="Arial"/>
                <w:noProof/>
                <w:sz w:val="22"/>
                <w:szCs w:val="22"/>
                <w:lang w:val="en-US"/>
              </w:rPr>
              <w:t>Oxygen and Glucose in Cellular Metabolism</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_Toc238820878 \h </w:instrText>
            </w:r>
            <w:r w:rsidRPr="002057AB">
              <w:rPr>
                <w:noProof/>
                <w:webHidden/>
                <w:sz w:val="22"/>
                <w:szCs w:val="22"/>
              </w:rPr>
            </w:r>
            <w:r w:rsidRPr="002057AB">
              <w:rPr>
                <w:noProof/>
                <w:webHidden/>
                <w:sz w:val="22"/>
                <w:szCs w:val="22"/>
              </w:rPr>
              <w:fldChar w:fldCharType="separate"/>
            </w:r>
            <w:r w:rsidRPr="002057AB">
              <w:rPr>
                <w:noProof/>
                <w:webHidden/>
                <w:sz w:val="22"/>
                <w:szCs w:val="22"/>
              </w:rPr>
              <w:t>8</w:t>
            </w:r>
            <w:r w:rsidRPr="002057AB">
              <w:rPr>
                <w:noProof/>
                <w:webHidden/>
                <w:sz w:val="22"/>
                <w:szCs w:val="22"/>
              </w:rPr>
              <w:fldChar w:fldCharType="end"/>
            </w:r>
          </w:hyperlink>
        </w:p>
        <w:p w14:paraId="42A6BA0C" w14:textId="00365BA6" w:rsidR="002057AB" w:rsidRPr="002057AB" w:rsidRDefault="002057AB">
          <w:pPr>
            <w:pStyle w:val="TOC2"/>
            <w:tabs>
              <w:tab w:val="right" w:leader="dot" w:pos="9016"/>
            </w:tabs>
            <w:rPr>
              <w:rFonts w:eastAsiaTheme="minorEastAsia"/>
              <w:noProof/>
              <w:sz w:val="22"/>
              <w:szCs w:val="22"/>
              <w:lang w:eastAsia="en-GB"/>
            </w:rPr>
          </w:pPr>
          <w:hyperlink w:anchor="_Toc238820879" w:history="1">
            <w:r w:rsidRPr="002057AB">
              <w:rPr>
                <w:rStyle w:val="Hyperlink"/>
                <w:rFonts w:ascii="Arial" w:hAnsi="Arial" w:cs="Arial"/>
                <w:noProof/>
                <w:sz w:val="22"/>
                <w:szCs w:val="22"/>
                <w:lang w:val="en-US"/>
              </w:rPr>
              <w:t>3a. Cellular Respiration and the Importance of ATP</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_Toc238820879 \h </w:instrText>
            </w:r>
            <w:r w:rsidRPr="002057AB">
              <w:rPr>
                <w:noProof/>
                <w:webHidden/>
                <w:sz w:val="22"/>
                <w:szCs w:val="22"/>
              </w:rPr>
            </w:r>
            <w:r w:rsidRPr="002057AB">
              <w:rPr>
                <w:noProof/>
                <w:webHidden/>
                <w:sz w:val="22"/>
                <w:szCs w:val="22"/>
              </w:rPr>
              <w:fldChar w:fldCharType="separate"/>
            </w:r>
            <w:r w:rsidRPr="002057AB">
              <w:rPr>
                <w:noProof/>
                <w:webHidden/>
                <w:sz w:val="22"/>
                <w:szCs w:val="22"/>
              </w:rPr>
              <w:t>8</w:t>
            </w:r>
            <w:r w:rsidRPr="002057AB">
              <w:rPr>
                <w:noProof/>
                <w:webHidden/>
                <w:sz w:val="22"/>
                <w:szCs w:val="22"/>
              </w:rPr>
              <w:fldChar w:fldCharType="end"/>
            </w:r>
          </w:hyperlink>
        </w:p>
        <w:p w14:paraId="113C3BA6" w14:textId="3B37F313" w:rsidR="002057AB" w:rsidRPr="002057AB" w:rsidRDefault="002057AB">
          <w:pPr>
            <w:pStyle w:val="TOC2"/>
            <w:tabs>
              <w:tab w:val="right" w:leader="dot" w:pos="9016"/>
            </w:tabs>
            <w:rPr>
              <w:rFonts w:eastAsiaTheme="minorEastAsia"/>
              <w:noProof/>
              <w:sz w:val="22"/>
              <w:szCs w:val="22"/>
              <w:lang w:eastAsia="en-GB"/>
            </w:rPr>
          </w:pPr>
          <w:hyperlink w:anchor="_Toc238820880" w:history="1">
            <w:r w:rsidRPr="002057AB">
              <w:rPr>
                <w:rStyle w:val="Hyperlink"/>
                <w:rFonts w:ascii="Arial" w:hAnsi="Arial" w:cs="Arial"/>
                <w:noProof/>
                <w:sz w:val="22"/>
                <w:szCs w:val="22"/>
                <w:lang w:val="en-US"/>
              </w:rPr>
              <w:t>3b. Principal Stages of Aerobic Respiration</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_Toc238820880 \h </w:instrText>
            </w:r>
            <w:r w:rsidRPr="002057AB">
              <w:rPr>
                <w:noProof/>
                <w:webHidden/>
                <w:sz w:val="22"/>
                <w:szCs w:val="22"/>
              </w:rPr>
            </w:r>
            <w:r w:rsidRPr="002057AB">
              <w:rPr>
                <w:noProof/>
                <w:webHidden/>
                <w:sz w:val="22"/>
                <w:szCs w:val="22"/>
              </w:rPr>
              <w:fldChar w:fldCharType="separate"/>
            </w:r>
            <w:r w:rsidRPr="002057AB">
              <w:rPr>
                <w:noProof/>
                <w:webHidden/>
                <w:sz w:val="22"/>
                <w:szCs w:val="22"/>
              </w:rPr>
              <w:t>8</w:t>
            </w:r>
            <w:r w:rsidRPr="002057AB">
              <w:rPr>
                <w:noProof/>
                <w:webHidden/>
                <w:sz w:val="22"/>
                <w:szCs w:val="22"/>
              </w:rPr>
              <w:fldChar w:fldCharType="end"/>
            </w:r>
          </w:hyperlink>
        </w:p>
        <w:p w14:paraId="4EC90840" w14:textId="5C5ED98F" w:rsidR="002057AB" w:rsidRPr="002057AB" w:rsidRDefault="002057AB">
          <w:pPr>
            <w:pStyle w:val="TOC2"/>
            <w:tabs>
              <w:tab w:val="right" w:leader="dot" w:pos="9016"/>
            </w:tabs>
            <w:rPr>
              <w:rFonts w:eastAsiaTheme="minorEastAsia"/>
              <w:noProof/>
              <w:sz w:val="22"/>
              <w:szCs w:val="22"/>
              <w:lang w:eastAsia="en-GB"/>
            </w:rPr>
          </w:pPr>
          <w:hyperlink w:anchor="_Toc238820881" w:history="1">
            <w:r w:rsidRPr="002057AB">
              <w:rPr>
                <w:rStyle w:val="Hyperlink"/>
                <w:rFonts w:ascii="Arial" w:hAnsi="Arial" w:cs="Arial"/>
                <w:noProof/>
                <w:sz w:val="22"/>
                <w:szCs w:val="22"/>
                <w:lang w:val="en-US"/>
              </w:rPr>
              <w:t>3c. Anaerobic Metabolism and its Relevance to Diabetes</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_Toc238820881 \h </w:instrText>
            </w:r>
            <w:r w:rsidRPr="002057AB">
              <w:rPr>
                <w:noProof/>
                <w:webHidden/>
                <w:sz w:val="22"/>
                <w:szCs w:val="22"/>
              </w:rPr>
            </w:r>
            <w:r w:rsidRPr="002057AB">
              <w:rPr>
                <w:noProof/>
                <w:webHidden/>
                <w:sz w:val="22"/>
                <w:szCs w:val="22"/>
              </w:rPr>
              <w:fldChar w:fldCharType="separate"/>
            </w:r>
            <w:r w:rsidRPr="002057AB">
              <w:rPr>
                <w:noProof/>
                <w:webHidden/>
                <w:sz w:val="22"/>
                <w:szCs w:val="22"/>
              </w:rPr>
              <w:t>10</w:t>
            </w:r>
            <w:r w:rsidRPr="002057AB">
              <w:rPr>
                <w:noProof/>
                <w:webHidden/>
                <w:sz w:val="22"/>
                <w:szCs w:val="22"/>
              </w:rPr>
              <w:fldChar w:fldCharType="end"/>
            </w:r>
          </w:hyperlink>
        </w:p>
        <w:p w14:paraId="114E5AE4" w14:textId="0393A381" w:rsidR="002057AB" w:rsidRPr="002057AB" w:rsidRDefault="002057AB">
          <w:pPr>
            <w:pStyle w:val="TOC1"/>
            <w:tabs>
              <w:tab w:val="left" w:pos="480"/>
            </w:tabs>
            <w:rPr>
              <w:rFonts w:eastAsiaTheme="minorEastAsia"/>
              <w:noProof/>
              <w:sz w:val="22"/>
              <w:szCs w:val="22"/>
              <w:lang w:eastAsia="en-GB"/>
            </w:rPr>
          </w:pPr>
          <w:hyperlink w:anchor="_Toc238820882" w:history="1">
            <w:r w:rsidRPr="002057AB">
              <w:rPr>
                <w:rStyle w:val="Hyperlink"/>
                <w:rFonts w:ascii="Arial" w:hAnsi="Arial" w:cs="Arial"/>
                <w:noProof/>
                <w:sz w:val="22"/>
                <w:szCs w:val="22"/>
              </w:rPr>
              <w:t>4</w:t>
            </w:r>
            <w:r w:rsidRPr="002057AB">
              <w:rPr>
                <w:rFonts w:eastAsiaTheme="minorEastAsia"/>
                <w:noProof/>
                <w:sz w:val="22"/>
                <w:szCs w:val="22"/>
                <w:lang w:eastAsia="en-GB"/>
              </w:rPr>
              <w:tab/>
            </w:r>
            <w:r w:rsidRPr="002057AB">
              <w:rPr>
                <w:rStyle w:val="Hyperlink"/>
                <w:rFonts w:ascii="Arial" w:hAnsi="Arial" w:cs="Arial"/>
                <w:noProof/>
                <w:sz w:val="22"/>
                <w:szCs w:val="22"/>
              </w:rPr>
              <w:t>Recording and Tracking Blood Sugar Levels</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_Toc238820882 \h </w:instrText>
            </w:r>
            <w:r w:rsidRPr="002057AB">
              <w:rPr>
                <w:noProof/>
                <w:webHidden/>
                <w:sz w:val="22"/>
                <w:szCs w:val="22"/>
              </w:rPr>
            </w:r>
            <w:r w:rsidRPr="002057AB">
              <w:rPr>
                <w:noProof/>
                <w:webHidden/>
                <w:sz w:val="22"/>
                <w:szCs w:val="22"/>
              </w:rPr>
              <w:fldChar w:fldCharType="separate"/>
            </w:r>
            <w:r w:rsidRPr="002057AB">
              <w:rPr>
                <w:noProof/>
                <w:webHidden/>
                <w:sz w:val="22"/>
                <w:szCs w:val="22"/>
              </w:rPr>
              <w:t>10</w:t>
            </w:r>
            <w:r w:rsidRPr="002057AB">
              <w:rPr>
                <w:noProof/>
                <w:webHidden/>
                <w:sz w:val="22"/>
                <w:szCs w:val="22"/>
              </w:rPr>
              <w:fldChar w:fldCharType="end"/>
            </w:r>
          </w:hyperlink>
        </w:p>
        <w:p w14:paraId="060195ED" w14:textId="20E70D06" w:rsidR="002057AB" w:rsidRPr="002057AB" w:rsidRDefault="002057AB">
          <w:pPr>
            <w:pStyle w:val="TOC2"/>
            <w:tabs>
              <w:tab w:val="right" w:leader="dot" w:pos="9016"/>
            </w:tabs>
            <w:rPr>
              <w:rFonts w:eastAsiaTheme="minorEastAsia"/>
              <w:noProof/>
              <w:sz w:val="22"/>
              <w:szCs w:val="22"/>
              <w:lang w:eastAsia="en-GB"/>
            </w:rPr>
          </w:pPr>
          <w:hyperlink w:anchor="_Toc238820883" w:history="1">
            <w:r w:rsidRPr="002057AB">
              <w:rPr>
                <w:rStyle w:val="Hyperlink"/>
                <w:rFonts w:ascii="Arial" w:hAnsi="Arial" w:cs="Arial"/>
                <w:noProof/>
                <w:sz w:val="22"/>
                <w:szCs w:val="22"/>
                <w:lang w:val="en-US"/>
              </w:rPr>
              <w:t>4a. Methods of Monitoring Blood Glucose</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_Toc238820883 \h </w:instrText>
            </w:r>
            <w:r w:rsidRPr="002057AB">
              <w:rPr>
                <w:noProof/>
                <w:webHidden/>
                <w:sz w:val="22"/>
                <w:szCs w:val="22"/>
              </w:rPr>
            </w:r>
            <w:r w:rsidRPr="002057AB">
              <w:rPr>
                <w:noProof/>
                <w:webHidden/>
                <w:sz w:val="22"/>
                <w:szCs w:val="22"/>
              </w:rPr>
              <w:fldChar w:fldCharType="separate"/>
            </w:r>
            <w:r w:rsidRPr="002057AB">
              <w:rPr>
                <w:noProof/>
                <w:webHidden/>
                <w:sz w:val="22"/>
                <w:szCs w:val="22"/>
              </w:rPr>
              <w:t>10</w:t>
            </w:r>
            <w:r w:rsidRPr="002057AB">
              <w:rPr>
                <w:noProof/>
                <w:webHidden/>
                <w:sz w:val="22"/>
                <w:szCs w:val="22"/>
              </w:rPr>
              <w:fldChar w:fldCharType="end"/>
            </w:r>
          </w:hyperlink>
        </w:p>
        <w:p w14:paraId="05E16850" w14:textId="1227B930" w:rsidR="002057AB" w:rsidRPr="002057AB" w:rsidRDefault="002057AB">
          <w:pPr>
            <w:pStyle w:val="TOC2"/>
            <w:tabs>
              <w:tab w:val="right" w:leader="dot" w:pos="9016"/>
            </w:tabs>
            <w:rPr>
              <w:rFonts w:eastAsiaTheme="minorEastAsia"/>
              <w:noProof/>
              <w:sz w:val="22"/>
              <w:szCs w:val="22"/>
              <w:lang w:eastAsia="en-GB"/>
            </w:rPr>
          </w:pPr>
          <w:hyperlink w:anchor="_Toc238820884" w:history="1">
            <w:r w:rsidRPr="002057AB">
              <w:rPr>
                <w:rStyle w:val="Hyperlink"/>
                <w:rFonts w:ascii="Arial" w:hAnsi="Arial" w:cs="Arial"/>
                <w:noProof/>
                <w:sz w:val="22"/>
                <w:szCs w:val="22"/>
                <w:lang w:val="en-US"/>
              </w:rPr>
              <w:t>4b. Importance of Consistent Tracking for Patient Safety and Care Planning</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_Toc238820884 \h </w:instrText>
            </w:r>
            <w:r w:rsidRPr="002057AB">
              <w:rPr>
                <w:noProof/>
                <w:webHidden/>
                <w:sz w:val="22"/>
                <w:szCs w:val="22"/>
              </w:rPr>
            </w:r>
            <w:r w:rsidRPr="002057AB">
              <w:rPr>
                <w:noProof/>
                <w:webHidden/>
                <w:sz w:val="22"/>
                <w:szCs w:val="22"/>
              </w:rPr>
              <w:fldChar w:fldCharType="separate"/>
            </w:r>
            <w:r w:rsidRPr="002057AB">
              <w:rPr>
                <w:noProof/>
                <w:webHidden/>
                <w:sz w:val="22"/>
                <w:szCs w:val="22"/>
              </w:rPr>
              <w:t>11</w:t>
            </w:r>
            <w:r w:rsidRPr="002057AB">
              <w:rPr>
                <w:noProof/>
                <w:webHidden/>
                <w:sz w:val="22"/>
                <w:szCs w:val="22"/>
              </w:rPr>
              <w:fldChar w:fldCharType="end"/>
            </w:r>
          </w:hyperlink>
        </w:p>
        <w:p w14:paraId="336B75EB" w14:textId="0196B138" w:rsidR="002057AB" w:rsidRPr="002057AB" w:rsidRDefault="002057AB">
          <w:pPr>
            <w:pStyle w:val="TOC1"/>
            <w:tabs>
              <w:tab w:val="left" w:pos="480"/>
            </w:tabs>
            <w:rPr>
              <w:rFonts w:eastAsiaTheme="minorEastAsia"/>
              <w:noProof/>
              <w:sz w:val="22"/>
              <w:szCs w:val="22"/>
              <w:lang w:eastAsia="en-GB"/>
            </w:rPr>
          </w:pPr>
          <w:hyperlink w:anchor="_Toc238820885" w:history="1">
            <w:r w:rsidRPr="002057AB">
              <w:rPr>
                <w:rStyle w:val="Hyperlink"/>
                <w:rFonts w:ascii="Arial" w:hAnsi="Arial" w:cs="Arial"/>
                <w:noProof/>
                <w:sz w:val="22"/>
                <w:szCs w:val="22"/>
                <w:lang w:val="en-US"/>
              </w:rPr>
              <w:t>5</w:t>
            </w:r>
            <w:r w:rsidRPr="002057AB">
              <w:rPr>
                <w:rFonts w:eastAsiaTheme="minorEastAsia"/>
                <w:noProof/>
                <w:sz w:val="22"/>
                <w:szCs w:val="22"/>
                <w:lang w:eastAsia="en-GB"/>
              </w:rPr>
              <w:tab/>
            </w:r>
            <w:r w:rsidRPr="002057AB">
              <w:rPr>
                <w:rStyle w:val="Hyperlink"/>
                <w:rFonts w:ascii="Arial" w:hAnsi="Arial" w:cs="Arial"/>
                <w:noProof/>
                <w:sz w:val="22"/>
                <w:szCs w:val="22"/>
                <w:lang w:val="en-US"/>
              </w:rPr>
              <w:t>Evidence-Based Lifestyle Recommendations</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_Toc238820885 \h </w:instrText>
            </w:r>
            <w:r w:rsidRPr="002057AB">
              <w:rPr>
                <w:noProof/>
                <w:webHidden/>
                <w:sz w:val="22"/>
                <w:szCs w:val="22"/>
              </w:rPr>
            </w:r>
            <w:r w:rsidRPr="002057AB">
              <w:rPr>
                <w:noProof/>
                <w:webHidden/>
                <w:sz w:val="22"/>
                <w:szCs w:val="22"/>
              </w:rPr>
              <w:fldChar w:fldCharType="separate"/>
            </w:r>
            <w:r w:rsidRPr="002057AB">
              <w:rPr>
                <w:noProof/>
                <w:webHidden/>
                <w:sz w:val="22"/>
                <w:szCs w:val="22"/>
              </w:rPr>
              <w:t>12</w:t>
            </w:r>
            <w:r w:rsidRPr="002057AB">
              <w:rPr>
                <w:noProof/>
                <w:webHidden/>
                <w:sz w:val="22"/>
                <w:szCs w:val="22"/>
              </w:rPr>
              <w:fldChar w:fldCharType="end"/>
            </w:r>
          </w:hyperlink>
        </w:p>
        <w:p w14:paraId="3C977C55" w14:textId="200A3750" w:rsidR="002057AB" w:rsidRPr="002057AB" w:rsidRDefault="002057AB">
          <w:pPr>
            <w:pStyle w:val="TOC2"/>
            <w:tabs>
              <w:tab w:val="right" w:leader="dot" w:pos="9016"/>
            </w:tabs>
            <w:rPr>
              <w:rFonts w:eastAsiaTheme="minorEastAsia"/>
              <w:noProof/>
              <w:sz w:val="22"/>
              <w:szCs w:val="22"/>
              <w:lang w:eastAsia="en-GB"/>
            </w:rPr>
          </w:pPr>
          <w:hyperlink w:anchor="_Toc238820886" w:history="1">
            <w:r w:rsidRPr="002057AB">
              <w:rPr>
                <w:rStyle w:val="Hyperlink"/>
                <w:rFonts w:ascii="Arial" w:hAnsi="Arial" w:cs="Arial"/>
                <w:noProof/>
                <w:sz w:val="22"/>
                <w:szCs w:val="22"/>
                <w:lang w:val="en-US"/>
              </w:rPr>
              <w:t>5a. Diet and Blood Glucose Management</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_Toc238820886 \h </w:instrText>
            </w:r>
            <w:r w:rsidRPr="002057AB">
              <w:rPr>
                <w:noProof/>
                <w:webHidden/>
                <w:sz w:val="22"/>
                <w:szCs w:val="22"/>
              </w:rPr>
            </w:r>
            <w:r w:rsidRPr="002057AB">
              <w:rPr>
                <w:noProof/>
                <w:webHidden/>
                <w:sz w:val="22"/>
                <w:szCs w:val="22"/>
              </w:rPr>
              <w:fldChar w:fldCharType="separate"/>
            </w:r>
            <w:r w:rsidRPr="002057AB">
              <w:rPr>
                <w:noProof/>
                <w:webHidden/>
                <w:sz w:val="22"/>
                <w:szCs w:val="22"/>
              </w:rPr>
              <w:t>12</w:t>
            </w:r>
            <w:r w:rsidRPr="002057AB">
              <w:rPr>
                <w:noProof/>
                <w:webHidden/>
                <w:sz w:val="22"/>
                <w:szCs w:val="22"/>
              </w:rPr>
              <w:fldChar w:fldCharType="end"/>
            </w:r>
          </w:hyperlink>
        </w:p>
        <w:p w14:paraId="1A89990E" w14:textId="5AD2181B" w:rsidR="002057AB" w:rsidRPr="002057AB" w:rsidRDefault="002057AB">
          <w:pPr>
            <w:pStyle w:val="TOC2"/>
            <w:tabs>
              <w:tab w:val="right" w:leader="dot" w:pos="9016"/>
            </w:tabs>
            <w:rPr>
              <w:rFonts w:eastAsiaTheme="minorEastAsia"/>
              <w:noProof/>
              <w:sz w:val="22"/>
              <w:szCs w:val="22"/>
              <w:lang w:eastAsia="en-GB"/>
            </w:rPr>
          </w:pPr>
          <w:hyperlink w:anchor="_Toc238820887" w:history="1">
            <w:r w:rsidRPr="002057AB">
              <w:rPr>
                <w:rStyle w:val="Hyperlink"/>
                <w:rFonts w:ascii="Arial" w:hAnsi="Arial" w:cs="Arial"/>
                <w:noProof/>
                <w:sz w:val="22"/>
                <w:szCs w:val="22"/>
                <w:lang w:val="en-US"/>
              </w:rPr>
              <w:t>5b. Role of Physical Activity</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_Toc238820887 \h </w:instrText>
            </w:r>
            <w:r w:rsidRPr="002057AB">
              <w:rPr>
                <w:noProof/>
                <w:webHidden/>
                <w:sz w:val="22"/>
                <w:szCs w:val="22"/>
              </w:rPr>
            </w:r>
            <w:r w:rsidRPr="002057AB">
              <w:rPr>
                <w:noProof/>
                <w:webHidden/>
                <w:sz w:val="22"/>
                <w:szCs w:val="22"/>
              </w:rPr>
              <w:fldChar w:fldCharType="separate"/>
            </w:r>
            <w:r w:rsidRPr="002057AB">
              <w:rPr>
                <w:noProof/>
                <w:webHidden/>
                <w:sz w:val="22"/>
                <w:szCs w:val="22"/>
              </w:rPr>
              <w:t>12</w:t>
            </w:r>
            <w:r w:rsidRPr="002057AB">
              <w:rPr>
                <w:noProof/>
                <w:webHidden/>
                <w:sz w:val="22"/>
                <w:szCs w:val="22"/>
              </w:rPr>
              <w:fldChar w:fldCharType="end"/>
            </w:r>
          </w:hyperlink>
        </w:p>
        <w:p w14:paraId="2BC16F33" w14:textId="4899F0F2" w:rsidR="002057AB" w:rsidRPr="002057AB" w:rsidRDefault="002057AB">
          <w:pPr>
            <w:pStyle w:val="TOC2"/>
            <w:tabs>
              <w:tab w:val="right" w:leader="dot" w:pos="9016"/>
            </w:tabs>
            <w:rPr>
              <w:rFonts w:eastAsiaTheme="minorEastAsia"/>
              <w:noProof/>
              <w:sz w:val="22"/>
              <w:szCs w:val="22"/>
              <w:lang w:eastAsia="en-GB"/>
            </w:rPr>
          </w:pPr>
          <w:hyperlink w:anchor="_Toc238820888" w:history="1">
            <w:r w:rsidRPr="002057AB">
              <w:rPr>
                <w:rStyle w:val="Hyperlink"/>
                <w:rFonts w:ascii="Arial" w:hAnsi="Arial" w:cs="Arial"/>
                <w:noProof/>
                <w:sz w:val="22"/>
                <w:szCs w:val="22"/>
                <w:lang w:val="en-US"/>
              </w:rPr>
              <w:t>5c. Impact of Smoking and Smoking-Cessation Support</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_Toc238820888 \h </w:instrText>
            </w:r>
            <w:r w:rsidRPr="002057AB">
              <w:rPr>
                <w:noProof/>
                <w:webHidden/>
                <w:sz w:val="22"/>
                <w:szCs w:val="22"/>
              </w:rPr>
            </w:r>
            <w:r w:rsidRPr="002057AB">
              <w:rPr>
                <w:noProof/>
                <w:webHidden/>
                <w:sz w:val="22"/>
                <w:szCs w:val="22"/>
              </w:rPr>
              <w:fldChar w:fldCharType="separate"/>
            </w:r>
            <w:r w:rsidRPr="002057AB">
              <w:rPr>
                <w:noProof/>
                <w:webHidden/>
                <w:sz w:val="22"/>
                <w:szCs w:val="22"/>
              </w:rPr>
              <w:t>13</w:t>
            </w:r>
            <w:r w:rsidRPr="002057AB">
              <w:rPr>
                <w:noProof/>
                <w:webHidden/>
                <w:sz w:val="22"/>
                <w:szCs w:val="22"/>
              </w:rPr>
              <w:fldChar w:fldCharType="end"/>
            </w:r>
          </w:hyperlink>
        </w:p>
        <w:p w14:paraId="36D3CB73" w14:textId="7DCCD1BD" w:rsidR="002057AB" w:rsidRPr="002057AB" w:rsidRDefault="002057AB">
          <w:pPr>
            <w:pStyle w:val="TOC1"/>
            <w:tabs>
              <w:tab w:val="left" w:pos="480"/>
            </w:tabs>
            <w:rPr>
              <w:rFonts w:eastAsiaTheme="minorEastAsia"/>
              <w:noProof/>
              <w:sz w:val="22"/>
              <w:szCs w:val="22"/>
              <w:lang w:eastAsia="en-GB"/>
            </w:rPr>
          </w:pPr>
          <w:hyperlink w:anchor="_Toc238820889" w:history="1">
            <w:r w:rsidRPr="002057AB">
              <w:rPr>
                <w:rStyle w:val="Hyperlink"/>
                <w:rFonts w:ascii="Arial" w:hAnsi="Arial" w:cs="Arial"/>
                <w:noProof/>
                <w:sz w:val="22"/>
                <w:szCs w:val="22"/>
                <w:lang w:val="en-US"/>
              </w:rPr>
              <w:t>6</w:t>
            </w:r>
            <w:r w:rsidRPr="002057AB">
              <w:rPr>
                <w:rFonts w:eastAsiaTheme="minorEastAsia"/>
                <w:noProof/>
                <w:sz w:val="22"/>
                <w:szCs w:val="22"/>
                <w:lang w:eastAsia="en-GB"/>
              </w:rPr>
              <w:tab/>
            </w:r>
            <w:r w:rsidRPr="002057AB">
              <w:rPr>
                <w:rStyle w:val="Hyperlink"/>
                <w:rFonts w:ascii="Arial" w:hAnsi="Arial" w:cs="Arial"/>
                <w:noProof/>
                <w:sz w:val="22"/>
                <w:szCs w:val="22"/>
                <w:lang w:val="en-US"/>
              </w:rPr>
              <w:t>Conclusion</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_Toc238820889 \h </w:instrText>
            </w:r>
            <w:r w:rsidRPr="002057AB">
              <w:rPr>
                <w:noProof/>
                <w:webHidden/>
                <w:sz w:val="22"/>
                <w:szCs w:val="22"/>
              </w:rPr>
            </w:r>
            <w:r w:rsidRPr="002057AB">
              <w:rPr>
                <w:noProof/>
                <w:webHidden/>
                <w:sz w:val="22"/>
                <w:szCs w:val="22"/>
              </w:rPr>
              <w:fldChar w:fldCharType="separate"/>
            </w:r>
            <w:r w:rsidRPr="002057AB">
              <w:rPr>
                <w:noProof/>
                <w:webHidden/>
                <w:sz w:val="22"/>
                <w:szCs w:val="22"/>
              </w:rPr>
              <w:t>13</w:t>
            </w:r>
            <w:r w:rsidRPr="002057AB">
              <w:rPr>
                <w:noProof/>
                <w:webHidden/>
                <w:sz w:val="22"/>
                <w:szCs w:val="22"/>
              </w:rPr>
              <w:fldChar w:fldCharType="end"/>
            </w:r>
          </w:hyperlink>
        </w:p>
        <w:p w14:paraId="7630BF09" w14:textId="0551C048" w:rsidR="002057AB" w:rsidRPr="002057AB" w:rsidRDefault="002057AB">
          <w:pPr>
            <w:pStyle w:val="TOC2"/>
            <w:tabs>
              <w:tab w:val="right" w:leader="dot" w:pos="9016"/>
            </w:tabs>
            <w:rPr>
              <w:rFonts w:eastAsiaTheme="minorEastAsia"/>
              <w:noProof/>
              <w:sz w:val="22"/>
              <w:szCs w:val="22"/>
              <w:lang w:eastAsia="en-GB"/>
            </w:rPr>
          </w:pPr>
          <w:hyperlink w:anchor="_Toc238820890" w:history="1">
            <w:r w:rsidRPr="002057AB">
              <w:rPr>
                <w:rStyle w:val="Hyperlink"/>
                <w:rFonts w:ascii="Arial" w:hAnsi="Arial" w:cs="Arial"/>
                <w:noProof/>
                <w:sz w:val="22"/>
                <w:szCs w:val="22"/>
                <w:lang w:val="en-US"/>
              </w:rPr>
              <w:t>6a. Summary of the Physiological Processes</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_Toc238820890 \h </w:instrText>
            </w:r>
            <w:r w:rsidRPr="002057AB">
              <w:rPr>
                <w:noProof/>
                <w:webHidden/>
                <w:sz w:val="22"/>
                <w:szCs w:val="22"/>
              </w:rPr>
            </w:r>
            <w:r w:rsidRPr="002057AB">
              <w:rPr>
                <w:noProof/>
                <w:webHidden/>
                <w:sz w:val="22"/>
                <w:szCs w:val="22"/>
              </w:rPr>
              <w:fldChar w:fldCharType="separate"/>
            </w:r>
            <w:r w:rsidRPr="002057AB">
              <w:rPr>
                <w:noProof/>
                <w:webHidden/>
                <w:sz w:val="22"/>
                <w:szCs w:val="22"/>
              </w:rPr>
              <w:t>13</w:t>
            </w:r>
            <w:r w:rsidRPr="002057AB">
              <w:rPr>
                <w:noProof/>
                <w:webHidden/>
                <w:sz w:val="22"/>
                <w:szCs w:val="22"/>
              </w:rPr>
              <w:fldChar w:fldCharType="end"/>
            </w:r>
          </w:hyperlink>
        </w:p>
        <w:p w14:paraId="471DA851" w14:textId="3778DE08" w:rsidR="002057AB" w:rsidRPr="002057AB" w:rsidRDefault="002057AB">
          <w:pPr>
            <w:pStyle w:val="TOC2"/>
            <w:tabs>
              <w:tab w:val="right" w:leader="dot" w:pos="9016"/>
            </w:tabs>
            <w:rPr>
              <w:rFonts w:eastAsiaTheme="minorEastAsia"/>
              <w:noProof/>
              <w:sz w:val="22"/>
              <w:szCs w:val="22"/>
              <w:lang w:eastAsia="en-GB"/>
            </w:rPr>
          </w:pPr>
          <w:hyperlink w:anchor="_Toc238820891" w:history="1">
            <w:r w:rsidRPr="002057AB">
              <w:rPr>
                <w:rStyle w:val="Hyperlink"/>
                <w:rFonts w:ascii="Arial" w:hAnsi="Arial" w:cs="Arial"/>
                <w:noProof/>
                <w:sz w:val="22"/>
                <w:szCs w:val="22"/>
                <w:lang w:val="en-US"/>
              </w:rPr>
              <w:t>6b. Relationship Between Monitoring, Lifestyle and Patient Outcomes</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_Toc238820891 \h </w:instrText>
            </w:r>
            <w:r w:rsidRPr="002057AB">
              <w:rPr>
                <w:noProof/>
                <w:webHidden/>
                <w:sz w:val="22"/>
                <w:szCs w:val="22"/>
              </w:rPr>
            </w:r>
            <w:r w:rsidRPr="002057AB">
              <w:rPr>
                <w:noProof/>
                <w:webHidden/>
                <w:sz w:val="22"/>
                <w:szCs w:val="22"/>
              </w:rPr>
              <w:fldChar w:fldCharType="separate"/>
            </w:r>
            <w:r w:rsidRPr="002057AB">
              <w:rPr>
                <w:noProof/>
                <w:webHidden/>
                <w:sz w:val="22"/>
                <w:szCs w:val="22"/>
              </w:rPr>
              <w:t>13</w:t>
            </w:r>
            <w:r w:rsidRPr="002057AB">
              <w:rPr>
                <w:noProof/>
                <w:webHidden/>
                <w:sz w:val="22"/>
                <w:szCs w:val="22"/>
              </w:rPr>
              <w:fldChar w:fldCharType="end"/>
            </w:r>
          </w:hyperlink>
        </w:p>
        <w:p w14:paraId="57CF0291" w14:textId="7159753C" w:rsidR="002057AB" w:rsidRPr="002057AB" w:rsidRDefault="002057AB">
          <w:pPr>
            <w:pStyle w:val="TOC2"/>
            <w:tabs>
              <w:tab w:val="right" w:leader="dot" w:pos="9016"/>
            </w:tabs>
            <w:rPr>
              <w:rFonts w:eastAsiaTheme="minorEastAsia"/>
              <w:noProof/>
              <w:sz w:val="22"/>
              <w:szCs w:val="22"/>
              <w:lang w:eastAsia="en-GB"/>
            </w:rPr>
          </w:pPr>
          <w:hyperlink w:anchor="_Toc238820892" w:history="1">
            <w:r w:rsidRPr="002057AB">
              <w:rPr>
                <w:rStyle w:val="Hyperlink"/>
                <w:rFonts w:ascii="Arial" w:hAnsi="Arial" w:cs="Arial"/>
                <w:noProof/>
                <w:sz w:val="22"/>
                <w:szCs w:val="22"/>
                <w:lang w:val="en-US"/>
              </w:rPr>
              <w:t>6c. Overall Message for Effective Type 2 Diabetes Management</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_Toc238820892 \h </w:instrText>
            </w:r>
            <w:r w:rsidRPr="002057AB">
              <w:rPr>
                <w:noProof/>
                <w:webHidden/>
                <w:sz w:val="22"/>
                <w:szCs w:val="22"/>
              </w:rPr>
            </w:r>
            <w:r w:rsidRPr="002057AB">
              <w:rPr>
                <w:noProof/>
                <w:webHidden/>
                <w:sz w:val="22"/>
                <w:szCs w:val="22"/>
              </w:rPr>
              <w:fldChar w:fldCharType="separate"/>
            </w:r>
            <w:r w:rsidRPr="002057AB">
              <w:rPr>
                <w:noProof/>
                <w:webHidden/>
                <w:sz w:val="22"/>
                <w:szCs w:val="22"/>
              </w:rPr>
              <w:t>14</w:t>
            </w:r>
            <w:r w:rsidRPr="002057AB">
              <w:rPr>
                <w:noProof/>
                <w:webHidden/>
                <w:sz w:val="22"/>
                <w:szCs w:val="22"/>
              </w:rPr>
              <w:fldChar w:fldCharType="end"/>
            </w:r>
          </w:hyperlink>
        </w:p>
        <w:p w14:paraId="3BA25808" w14:textId="0C3F0A9C" w:rsidR="002057AB" w:rsidRPr="002057AB" w:rsidRDefault="002057AB">
          <w:pPr>
            <w:pStyle w:val="TOC1"/>
            <w:rPr>
              <w:rFonts w:eastAsiaTheme="minorEastAsia"/>
              <w:noProof/>
              <w:sz w:val="22"/>
              <w:szCs w:val="22"/>
              <w:lang w:eastAsia="en-GB"/>
            </w:rPr>
          </w:pPr>
          <w:hyperlink w:anchor="_Toc238820893" w:history="1">
            <w:r w:rsidRPr="002057AB">
              <w:rPr>
                <w:rStyle w:val="Hyperlink"/>
                <w:rFonts w:ascii="Arial" w:hAnsi="Arial" w:cs="Arial"/>
                <w:noProof/>
                <w:sz w:val="22"/>
                <w:szCs w:val="22"/>
                <w:lang w:val="en-US"/>
              </w:rPr>
              <w:t>Reference List</w:t>
            </w:r>
            <w:r w:rsidRPr="002057AB">
              <w:rPr>
                <w:noProof/>
                <w:webHidden/>
                <w:sz w:val="22"/>
                <w:szCs w:val="22"/>
              </w:rPr>
              <w:tab/>
            </w:r>
            <w:r w:rsidRPr="002057AB">
              <w:rPr>
                <w:noProof/>
                <w:webHidden/>
                <w:sz w:val="22"/>
                <w:szCs w:val="22"/>
              </w:rPr>
              <w:fldChar w:fldCharType="begin"/>
            </w:r>
            <w:r w:rsidRPr="002057AB">
              <w:rPr>
                <w:noProof/>
                <w:webHidden/>
                <w:sz w:val="22"/>
                <w:szCs w:val="22"/>
              </w:rPr>
              <w:instrText xml:space="preserve"> PAGEREF _Toc238820893 \h </w:instrText>
            </w:r>
            <w:r w:rsidRPr="002057AB">
              <w:rPr>
                <w:noProof/>
                <w:webHidden/>
                <w:sz w:val="22"/>
                <w:szCs w:val="22"/>
              </w:rPr>
            </w:r>
            <w:r w:rsidRPr="002057AB">
              <w:rPr>
                <w:noProof/>
                <w:webHidden/>
                <w:sz w:val="22"/>
                <w:szCs w:val="22"/>
              </w:rPr>
              <w:fldChar w:fldCharType="separate"/>
            </w:r>
            <w:r w:rsidRPr="002057AB">
              <w:rPr>
                <w:noProof/>
                <w:webHidden/>
                <w:sz w:val="22"/>
                <w:szCs w:val="22"/>
              </w:rPr>
              <w:t>15</w:t>
            </w:r>
            <w:r w:rsidRPr="002057AB">
              <w:rPr>
                <w:noProof/>
                <w:webHidden/>
                <w:sz w:val="22"/>
                <w:szCs w:val="22"/>
              </w:rPr>
              <w:fldChar w:fldCharType="end"/>
            </w:r>
          </w:hyperlink>
        </w:p>
        <w:p w14:paraId="47E9E3E8" w14:textId="5E17FF33" w:rsidR="00463881" w:rsidRPr="00E37427" w:rsidRDefault="00463881" w:rsidP="00B37915">
          <w:pPr>
            <w:pStyle w:val="TOC1"/>
            <w:rPr>
              <w:lang w:eastAsia="en-IN"/>
            </w:rPr>
            <w:sectPr w:rsidR="00463881" w:rsidRPr="00E37427" w:rsidSect="00917F90">
              <w:footerReference w:type="default" r:id="rId9"/>
              <w:pgSz w:w="11906" w:h="16838"/>
              <w:pgMar w:top="1440" w:right="1440" w:bottom="1440" w:left="1440" w:header="708" w:footer="708" w:gutter="0"/>
              <w:pgNumType w:start="1"/>
              <w:cols w:space="708"/>
              <w:docGrid w:linePitch="360"/>
            </w:sectPr>
          </w:pPr>
          <w:r w:rsidRPr="002057AB">
            <w:rPr>
              <w:rFonts w:ascii="Arial" w:hAnsi="Arial" w:cs="Arial"/>
              <w:noProof/>
              <w:sz w:val="22"/>
              <w:szCs w:val="22"/>
              <w:lang w:eastAsia="en-IN"/>
            </w:rPr>
            <w:fldChar w:fldCharType="end"/>
          </w:r>
        </w:p>
      </w:sdtContent>
    </w:sdt>
    <w:p w14:paraId="6D96F356" w14:textId="71F74F9A" w:rsidR="00A87833" w:rsidRPr="00BC2C22" w:rsidRDefault="00A87833" w:rsidP="00415B01">
      <w:pPr>
        <w:pStyle w:val="Heading1"/>
        <w:rPr>
          <w:rFonts w:ascii="Arial" w:hAnsi="Arial" w:cs="Arial"/>
          <w:sz w:val="32"/>
          <w:szCs w:val="32"/>
        </w:rPr>
      </w:pPr>
      <w:bookmarkStart w:id="0" w:name="_Toc238820869"/>
      <w:r w:rsidRPr="00BC2C22">
        <w:rPr>
          <w:rFonts w:ascii="Arial" w:hAnsi="Arial" w:cs="Arial"/>
          <w:sz w:val="32"/>
          <w:szCs w:val="32"/>
        </w:rPr>
        <w:lastRenderedPageBreak/>
        <w:t>Introduction</w:t>
      </w:r>
      <w:bookmarkEnd w:id="0"/>
    </w:p>
    <w:p w14:paraId="5957C2C2" w14:textId="48924B7A" w:rsidR="00525F09" w:rsidRPr="00BC2C22" w:rsidRDefault="00525F09" w:rsidP="002B4014">
      <w:pPr>
        <w:pStyle w:val="Heading2"/>
        <w:numPr>
          <w:ilvl w:val="0"/>
          <w:numId w:val="0"/>
        </w:numPr>
        <w:rPr>
          <w:rFonts w:ascii="Arial" w:hAnsi="Arial" w:cs="Arial"/>
          <w:sz w:val="28"/>
          <w:szCs w:val="28"/>
        </w:rPr>
      </w:pPr>
      <w:bookmarkStart w:id="1" w:name="_Toc238820870"/>
      <w:r w:rsidRPr="00BC2C22">
        <w:rPr>
          <w:rFonts w:ascii="Arial" w:hAnsi="Arial" w:cs="Arial"/>
          <w:sz w:val="28"/>
          <w:szCs w:val="28"/>
        </w:rPr>
        <w:t>1a. Definition and Types of Diabetes</w:t>
      </w:r>
      <w:bookmarkEnd w:id="1"/>
    </w:p>
    <w:p w14:paraId="63CFDCD1" w14:textId="61F2F533" w:rsidR="00525F09" w:rsidRDefault="004A5B65" w:rsidP="005C55C1">
      <w:pPr>
        <w:spacing w:before="100" w:beforeAutospacing="1" w:after="100" w:afterAutospacing="1" w:line="360" w:lineRule="auto"/>
        <w:rPr>
          <w:rFonts w:ascii="Arial" w:hAnsi="Arial" w:cs="Arial"/>
          <w:sz w:val="22"/>
          <w:szCs w:val="22"/>
        </w:rPr>
      </w:pPr>
      <w:r w:rsidRPr="004A5B65">
        <w:rPr>
          <w:rFonts w:ascii="Arial" w:hAnsi="Arial" w:cs="Arial"/>
          <w:sz w:val="22"/>
          <w:szCs w:val="22"/>
        </w:rPr>
        <w:t xml:space="preserve">This case study focuses on a practice nurse in a GP surgery where more patients are being diagnosed with diabetes and require support to understand their condition. Diabetes mellitus is a long-term condition in which blood glucose becomes too high because the body does not produce enough insulin or cannot use it effectively. Type 1 diabetes develops when the immune system destroys insulin-producing beta cells, requiring lifelong insulin treatment. In Type 2 diabetes, cells become resistant to insulin, and the pancreas may gradually produce less insulin. As the case study concerns self-management and lifestyle, Type 2 diabetes is the </w:t>
      </w:r>
      <w:proofErr w:type="gramStart"/>
      <w:r w:rsidRPr="004A5B65">
        <w:rPr>
          <w:rFonts w:ascii="Arial" w:hAnsi="Arial" w:cs="Arial"/>
          <w:sz w:val="22"/>
          <w:szCs w:val="22"/>
        </w:rPr>
        <w:t>main focus</w:t>
      </w:r>
      <w:proofErr w:type="gramEnd"/>
      <w:r w:rsidRPr="004A5B65">
        <w:rPr>
          <w:rFonts w:ascii="Arial" w:hAnsi="Arial" w:cs="Arial"/>
          <w:sz w:val="22"/>
          <w:szCs w:val="22"/>
        </w:rPr>
        <w:t xml:space="preserve"> (Waugh and Grant, 2023)</w:t>
      </w:r>
      <w:r>
        <w:rPr>
          <w:rFonts w:ascii="Arial" w:hAnsi="Arial" w:cs="Arial"/>
          <w:sz w:val="22"/>
          <w:szCs w:val="22"/>
        </w:rPr>
        <w:t>.</w:t>
      </w:r>
    </w:p>
    <w:p w14:paraId="77AAE46B" w14:textId="4866EBA0" w:rsidR="002C651F" w:rsidRPr="00BC2C22" w:rsidRDefault="00525F09" w:rsidP="002B4014">
      <w:pPr>
        <w:pStyle w:val="Heading2"/>
        <w:numPr>
          <w:ilvl w:val="0"/>
          <w:numId w:val="0"/>
        </w:numPr>
        <w:rPr>
          <w:rFonts w:ascii="Arial" w:hAnsi="Arial" w:cs="Arial"/>
          <w:sz w:val="28"/>
          <w:szCs w:val="28"/>
          <w:lang w:val="en-US"/>
        </w:rPr>
      </w:pPr>
      <w:bookmarkStart w:id="2" w:name="_Toc238820871"/>
      <w:r w:rsidRPr="00BC2C22">
        <w:rPr>
          <w:rFonts w:ascii="Arial" w:hAnsi="Arial" w:cs="Arial"/>
          <w:sz w:val="28"/>
          <w:szCs w:val="28"/>
          <w:lang w:val="en-US"/>
        </w:rPr>
        <w:t>1b. Risk Factors for Type 2 Diabetes</w:t>
      </w:r>
      <w:bookmarkEnd w:id="2"/>
    </w:p>
    <w:p w14:paraId="7B5423E3" w14:textId="0094A2CE" w:rsidR="00525F09" w:rsidRDefault="004A5B65" w:rsidP="00E37427">
      <w:pPr>
        <w:spacing w:before="100" w:beforeAutospacing="1" w:after="100" w:afterAutospacing="1" w:line="360" w:lineRule="auto"/>
        <w:rPr>
          <w:rFonts w:ascii="Arial" w:hAnsi="Arial" w:cs="Arial"/>
          <w:sz w:val="22"/>
          <w:szCs w:val="22"/>
          <w:lang w:val="en-US"/>
        </w:rPr>
      </w:pPr>
      <w:r w:rsidRPr="004A5B65">
        <w:rPr>
          <w:rFonts w:ascii="Arial" w:hAnsi="Arial" w:cs="Arial"/>
          <w:sz w:val="22"/>
          <w:szCs w:val="22"/>
          <w:lang w:val="en-US"/>
        </w:rPr>
        <w:t>The risk of Type 2 diabetes is influenced by modifiable and non-modifiable factors. Modifiable factors include being overweight or living with obesity, excess abdominal fat, physical inactivity, prolonged sitting, smoking and frequently consuming sugary drinks or refined carbohydrates. Non-modifiable factors include increasing age, family history and genetic susceptibility. Risk is also higher among people from South Asian, Black African and African Caribbean backgrounds, and among women with previous gestational diabetes or polycystic ovary syndrome (Diabetes UK, no date b).</w:t>
      </w:r>
    </w:p>
    <w:p w14:paraId="2D405F25" w14:textId="768B93B0" w:rsidR="00525F09" w:rsidRPr="00BC2C22" w:rsidRDefault="00525F09" w:rsidP="002B4014">
      <w:pPr>
        <w:pStyle w:val="Heading2"/>
        <w:numPr>
          <w:ilvl w:val="0"/>
          <w:numId w:val="0"/>
        </w:numPr>
        <w:rPr>
          <w:rFonts w:ascii="Arial" w:hAnsi="Arial" w:cs="Arial"/>
          <w:sz w:val="28"/>
          <w:szCs w:val="28"/>
          <w:lang w:val="en-US"/>
        </w:rPr>
      </w:pPr>
      <w:bookmarkStart w:id="3" w:name="_Toc238820872"/>
      <w:r w:rsidRPr="00BC2C22">
        <w:rPr>
          <w:rFonts w:ascii="Arial" w:hAnsi="Arial" w:cs="Arial"/>
          <w:sz w:val="28"/>
          <w:szCs w:val="28"/>
          <w:lang w:val="en-US"/>
        </w:rPr>
        <w:t>1c. Importance of Patient Education in General Practice</w:t>
      </w:r>
      <w:bookmarkEnd w:id="3"/>
    </w:p>
    <w:p w14:paraId="625511C5" w14:textId="0D156B17" w:rsidR="00415B01" w:rsidRDefault="00BC2C22" w:rsidP="00415B01">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Patient education is important because diabetes is mainly managed through daily decisions. NICE (2026) recommends structured education that helps people understand Type 2 diabetes and participate in their care. The practice nurse can explain blood glucose targets, medication, monitoring, diet, physical activity and symptoms requiring medical advice. Information should be person-centred and adapted to each patient’s understanding, culture and circumstances. This can support informed choices, confidence and effective participation in agreed care plans.</w:t>
      </w:r>
    </w:p>
    <w:p w14:paraId="2C889239" w14:textId="77777777" w:rsidR="00415B01" w:rsidRDefault="00415B01" w:rsidP="00415B01">
      <w:pPr>
        <w:spacing w:before="100" w:beforeAutospacing="1" w:after="100" w:afterAutospacing="1" w:line="360" w:lineRule="auto"/>
        <w:rPr>
          <w:rFonts w:ascii="Arial" w:hAnsi="Arial" w:cs="Arial"/>
          <w:sz w:val="22"/>
          <w:szCs w:val="22"/>
          <w:lang w:val="en-US"/>
        </w:rPr>
      </w:pPr>
    </w:p>
    <w:p w14:paraId="5E230C38" w14:textId="5658BBF4" w:rsidR="00525F09" w:rsidRPr="00BC2C22" w:rsidRDefault="00525F09" w:rsidP="00415B01">
      <w:pPr>
        <w:pStyle w:val="Heading1"/>
        <w:rPr>
          <w:rFonts w:ascii="Arial" w:hAnsi="Arial" w:cs="Arial"/>
          <w:sz w:val="32"/>
          <w:szCs w:val="32"/>
          <w:lang w:val="en-US"/>
        </w:rPr>
      </w:pPr>
      <w:bookmarkStart w:id="4" w:name="_Toc238820873"/>
      <w:r w:rsidRPr="00BC2C22">
        <w:rPr>
          <w:rFonts w:ascii="Arial" w:hAnsi="Arial" w:cs="Arial"/>
          <w:sz w:val="32"/>
          <w:szCs w:val="32"/>
          <w:lang w:val="en-US"/>
        </w:rPr>
        <w:lastRenderedPageBreak/>
        <w:t>Blood Sugar Regulation</w:t>
      </w:r>
      <w:bookmarkEnd w:id="4"/>
    </w:p>
    <w:p w14:paraId="69139DBB" w14:textId="61F67950" w:rsidR="00525F09" w:rsidRPr="00BC2C22" w:rsidRDefault="00525F09" w:rsidP="002B4014">
      <w:pPr>
        <w:pStyle w:val="Heading2"/>
        <w:numPr>
          <w:ilvl w:val="0"/>
          <w:numId w:val="0"/>
        </w:numPr>
        <w:rPr>
          <w:rFonts w:ascii="Arial" w:hAnsi="Arial" w:cs="Arial"/>
          <w:sz w:val="28"/>
          <w:szCs w:val="28"/>
          <w:lang w:val="en-US"/>
        </w:rPr>
      </w:pPr>
      <w:bookmarkStart w:id="5" w:name="_Toc238820874"/>
      <w:r w:rsidRPr="00BC2C22">
        <w:rPr>
          <w:rFonts w:ascii="Arial" w:hAnsi="Arial" w:cs="Arial"/>
          <w:sz w:val="28"/>
          <w:szCs w:val="28"/>
          <w:lang w:val="en-US"/>
        </w:rPr>
        <w:t>2a. Homeostasis and the Importance of Maintaining Blood Glucose</w:t>
      </w:r>
      <w:bookmarkEnd w:id="5"/>
    </w:p>
    <w:p w14:paraId="41FBB84F" w14:textId="70DA9400" w:rsidR="00871A91" w:rsidRDefault="00871A91" w:rsidP="00871A91">
      <w:pPr>
        <w:spacing w:before="100" w:beforeAutospacing="1" w:after="100" w:afterAutospacing="1" w:line="360" w:lineRule="auto"/>
        <w:rPr>
          <w:rFonts w:ascii="Arial" w:hAnsi="Arial" w:cs="Arial"/>
          <w:sz w:val="22"/>
          <w:szCs w:val="22"/>
          <w:lang w:val="en-US"/>
        </w:rPr>
      </w:pPr>
      <w:r w:rsidRPr="00871A91">
        <w:rPr>
          <w:rFonts w:ascii="Arial" w:hAnsi="Arial" w:cs="Arial"/>
          <w:sz w:val="22"/>
          <w:szCs w:val="22"/>
          <w:lang w:val="en-US"/>
        </w:rPr>
        <w:t xml:space="preserve">Homeostasis is the process through which the body keeps its internal conditions stable, even when changes occur inside or outside the body. In a person without diabetes, fasting blood glucose is usually maintained at approximately 4–6 mmol/L. Glucose provides energy for cellular respiration and is especially important for normal brain function. If blood glucose falls too low, </w:t>
      </w:r>
      <w:proofErr w:type="spellStart"/>
      <w:r w:rsidRPr="00871A91">
        <w:rPr>
          <w:rFonts w:ascii="Arial" w:hAnsi="Arial" w:cs="Arial"/>
          <w:sz w:val="22"/>
          <w:szCs w:val="22"/>
          <w:lang w:val="en-US"/>
        </w:rPr>
        <w:t>hypoglycaemia</w:t>
      </w:r>
      <w:proofErr w:type="spellEnd"/>
      <w:r w:rsidRPr="00871A91">
        <w:rPr>
          <w:rFonts w:ascii="Arial" w:hAnsi="Arial" w:cs="Arial"/>
          <w:sz w:val="22"/>
          <w:szCs w:val="22"/>
          <w:lang w:val="en-US"/>
        </w:rPr>
        <w:t xml:space="preserve"> can cause symptoms such as sweating, shaking, confusion, seizures or loss of consciousness. If blood glucose remains too high for a prolonged period, </w:t>
      </w:r>
      <w:proofErr w:type="spellStart"/>
      <w:r w:rsidRPr="00871A91">
        <w:rPr>
          <w:rFonts w:ascii="Arial" w:hAnsi="Arial" w:cs="Arial"/>
          <w:sz w:val="22"/>
          <w:szCs w:val="22"/>
          <w:lang w:val="en-US"/>
        </w:rPr>
        <w:t>hyperglycaemia</w:t>
      </w:r>
      <w:proofErr w:type="spellEnd"/>
      <w:r w:rsidRPr="00871A91">
        <w:rPr>
          <w:rFonts w:ascii="Arial" w:hAnsi="Arial" w:cs="Arial"/>
          <w:sz w:val="22"/>
          <w:szCs w:val="22"/>
          <w:lang w:val="en-US"/>
        </w:rPr>
        <w:t xml:space="preserve"> can damage the blood vessels, nerves, kidneys and eyes. Blood glucose is mainly regulated by the pancreas and liver, with support from skeletal muscle and adipose tissue. These organs and tissues work together through a negative feedback system controlled by the hormones insulin and glucagon (Waugh and Grant, 2023). The actions of </w:t>
      </w:r>
      <w:r>
        <w:rPr>
          <w:rFonts w:ascii="Arial" w:hAnsi="Arial" w:cs="Arial"/>
          <w:sz w:val="22"/>
          <w:szCs w:val="22"/>
          <w:lang w:val="en-US"/>
        </w:rPr>
        <w:t>t</w:t>
      </w:r>
      <w:r w:rsidRPr="00871A91">
        <w:rPr>
          <w:rFonts w:ascii="Arial" w:hAnsi="Arial" w:cs="Arial"/>
          <w:sz w:val="22"/>
          <w:szCs w:val="22"/>
          <w:lang w:val="en-US"/>
        </w:rPr>
        <w:t>hese hormones are shown in Figure 1</w:t>
      </w:r>
      <w:r>
        <w:rPr>
          <w:rFonts w:ascii="Arial" w:hAnsi="Arial" w:cs="Arial"/>
          <w:sz w:val="22"/>
          <w:szCs w:val="22"/>
          <w:lang w:val="en-US"/>
        </w:rPr>
        <w:t>.</w:t>
      </w:r>
    </w:p>
    <w:p w14:paraId="720B9F53" w14:textId="650D156C" w:rsidR="00525F09" w:rsidRDefault="00525F09" w:rsidP="00525F09">
      <w:pPr>
        <w:spacing w:before="100" w:beforeAutospacing="1" w:after="100" w:afterAutospacing="1" w:line="360" w:lineRule="auto"/>
        <w:jc w:val="center"/>
        <w:rPr>
          <w:rFonts w:ascii="Arial" w:hAnsi="Arial" w:cs="Arial"/>
          <w:sz w:val="22"/>
          <w:szCs w:val="22"/>
          <w:lang w:val="en-US"/>
        </w:rPr>
      </w:pPr>
      <w:r>
        <w:rPr>
          <w:rFonts w:ascii="Arial" w:hAnsi="Arial" w:cs="Arial"/>
          <w:noProof/>
          <w:sz w:val="22"/>
          <w:szCs w:val="22"/>
          <w:lang w:val="en-US"/>
        </w:rPr>
        <w:lastRenderedPageBreak/>
        <w:drawing>
          <wp:inline distT="0" distB="0" distL="0" distR="0" wp14:anchorId="0AE4FA53" wp14:editId="07951726">
            <wp:extent cx="5961380" cy="6608269"/>
            <wp:effectExtent l="0" t="0" r="1270" b="2540"/>
            <wp:docPr id="1339799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59518" cy="6717057"/>
                    </a:xfrm>
                    <a:prstGeom prst="rect">
                      <a:avLst/>
                    </a:prstGeom>
                    <a:noFill/>
                  </pic:spPr>
                </pic:pic>
              </a:graphicData>
            </a:graphic>
          </wp:inline>
        </w:drawing>
      </w:r>
    </w:p>
    <w:p w14:paraId="79E86253" w14:textId="194E8F95" w:rsidR="00871A91" w:rsidRDefault="00525F09" w:rsidP="005C55C1">
      <w:pPr>
        <w:spacing w:before="100" w:beforeAutospacing="1" w:after="100" w:afterAutospacing="1" w:line="360" w:lineRule="auto"/>
        <w:rPr>
          <w:rFonts w:ascii="Arial" w:hAnsi="Arial" w:cs="Arial"/>
          <w:i/>
          <w:iCs/>
          <w:sz w:val="20"/>
          <w:szCs w:val="20"/>
          <w:lang w:val="en-US"/>
        </w:rPr>
      </w:pPr>
      <w:r w:rsidRPr="00871A91">
        <w:rPr>
          <w:rFonts w:ascii="Arial" w:hAnsi="Arial" w:cs="Arial"/>
          <w:b/>
          <w:bCs/>
          <w:i/>
          <w:iCs/>
          <w:sz w:val="20"/>
          <w:szCs w:val="20"/>
          <w:lang w:val="en-US"/>
        </w:rPr>
        <w:t>Figure 1.</w:t>
      </w:r>
      <w:r w:rsidRPr="00871A91">
        <w:rPr>
          <w:rFonts w:ascii="Arial" w:hAnsi="Arial" w:cs="Arial"/>
          <w:i/>
          <w:iCs/>
          <w:sz w:val="20"/>
          <w:szCs w:val="20"/>
          <w:lang w:val="en-US"/>
        </w:rPr>
        <w:t xml:space="preserve"> Homeostatic regulation of blood glucose levels through insulin and glucagon. Source: OpenStax College (2013</w:t>
      </w:r>
      <w:r w:rsidR="006A41ED" w:rsidRPr="00871A91">
        <w:rPr>
          <w:rFonts w:ascii="Arial" w:hAnsi="Arial" w:cs="Arial"/>
          <w:i/>
          <w:iCs/>
          <w:sz w:val="20"/>
          <w:szCs w:val="20"/>
          <w:lang w:val="en-US"/>
        </w:rPr>
        <w:t>)</w:t>
      </w:r>
      <w:r w:rsidR="006A41ED" w:rsidRPr="006A41ED">
        <w:t>,</w:t>
      </w:r>
      <w:r w:rsidR="006A41ED" w:rsidRPr="006A41ED">
        <w:rPr>
          <w:rFonts w:ascii="Arial" w:hAnsi="Arial" w:cs="Arial"/>
          <w:i/>
          <w:iCs/>
          <w:sz w:val="20"/>
          <w:szCs w:val="20"/>
          <w:lang w:val="en-US"/>
        </w:rPr>
        <w:t xml:space="preserve"> licensed under CC BY 3.0.</w:t>
      </w:r>
    </w:p>
    <w:p w14:paraId="5BC87093" w14:textId="00F2DC7A" w:rsidR="00525F09" w:rsidRPr="00871A91" w:rsidRDefault="00871A91" w:rsidP="00871A91">
      <w:pPr>
        <w:rPr>
          <w:rFonts w:ascii="Arial" w:hAnsi="Arial" w:cs="Arial"/>
          <w:i/>
          <w:iCs/>
          <w:sz w:val="20"/>
          <w:szCs w:val="20"/>
          <w:lang w:val="en-US"/>
        </w:rPr>
      </w:pPr>
      <w:r>
        <w:rPr>
          <w:rFonts w:ascii="Arial" w:hAnsi="Arial" w:cs="Arial"/>
          <w:i/>
          <w:iCs/>
          <w:sz w:val="20"/>
          <w:szCs w:val="20"/>
          <w:lang w:val="en-US"/>
        </w:rPr>
        <w:br w:type="page"/>
      </w:r>
    </w:p>
    <w:p w14:paraId="1CB65A30" w14:textId="5D2A80A2" w:rsidR="00525F09" w:rsidRPr="00BC2C22" w:rsidRDefault="00525F09" w:rsidP="002B4014">
      <w:pPr>
        <w:pStyle w:val="Heading2"/>
        <w:numPr>
          <w:ilvl w:val="0"/>
          <w:numId w:val="0"/>
        </w:numPr>
        <w:ind w:left="576" w:hanging="576"/>
        <w:rPr>
          <w:rFonts w:ascii="Arial" w:hAnsi="Arial" w:cs="Arial"/>
          <w:sz w:val="28"/>
          <w:szCs w:val="28"/>
          <w:lang w:val="en-US"/>
        </w:rPr>
      </w:pPr>
      <w:bookmarkStart w:id="6" w:name="_Toc238820875"/>
      <w:r w:rsidRPr="00BC2C22">
        <w:rPr>
          <w:rFonts w:ascii="Arial" w:hAnsi="Arial" w:cs="Arial"/>
          <w:sz w:val="28"/>
          <w:szCs w:val="28"/>
          <w:lang w:val="en-US"/>
        </w:rPr>
        <w:lastRenderedPageBreak/>
        <w:t>2b. Response to Rising Blood Glucose</w:t>
      </w:r>
      <w:bookmarkEnd w:id="6"/>
    </w:p>
    <w:p w14:paraId="015F36AF" w14:textId="2E036FCA" w:rsidR="00525F09" w:rsidRDefault="00CB0824" w:rsidP="005C55C1">
      <w:pPr>
        <w:spacing w:before="100" w:beforeAutospacing="1" w:after="100" w:afterAutospacing="1" w:line="360" w:lineRule="auto"/>
        <w:rPr>
          <w:rFonts w:ascii="Arial" w:hAnsi="Arial" w:cs="Arial"/>
          <w:sz w:val="22"/>
          <w:szCs w:val="22"/>
          <w:lang w:val="en-US"/>
        </w:rPr>
      </w:pPr>
      <w:r w:rsidRPr="00CB0824">
        <w:rPr>
          <w:rFonts w:ascii="Arial" w:hAnsi="Arial" w:cs="Arial"/>
          <w:sz w:val="22"/>
          <w:szCs w:val="22"/>
          <w:lang w:val="en-US"/>
        </w:rPr>
        <w:t xml:space="preserve">After a meal containing carbohydrates, digestion and absorption cause blood glucose levels to rise. Beta cells in the pancreatic islets detect this increase and release insulin. Insulin binds to receptors on skeletal muscle and adipose cells. This causes glucose transporter type 4 (GLUT4) proteins stored inside the cells to move to the cell membrane, where they allow glucose to enter. The glucose can then be used to produce energy or stored for later use. Insulin also encourages the liver and skeletal muscles to store excess glucose as glycogen through a process called glycogenesis. At the same time, it reduces the breakdown of glycogen and the production of new glucose in the liver. Liver cells use GLUT2 transporters rather than GLUT4. Therefore, insulin mainly affects the liver by promoting glucose storage and reducing the amount of glucose released into the blood. As blood glucose returns </w:t>
      </w:r>
      <w:proofErr w:type="gramStart"/>
      <w:r w:rsidRPr="00CB0824">
        <w:rPr>
          <w:rFonts w:ascii="Arial" w:hAnsi="Arial" w:cs="Arial"/>
          <w:sz w:val="22"/>
          <w:szCs w:val="22"/>
          <w:lang w:val="en-US"/>
        </w:rPr>
        <w:t>towards</w:t>
      </w:r>
      <w:proofErr w:type="gramEnd"/>
      <w:r w:rsidRPr="00CB0824">
        <w:rPr>
          <w:rFonts w:ascii="Arial" w:hAnsi="Arial" w:cs="Arial"/>
          <w:sz w:val="22"/>
          <w:szCs w:val="22"/>
          <w:lang w:val="en-US"/>
        </w:rPr>
        <w:t xml:space="preserve"> its normal level, less insulin is released, completing the negative feedback response (Peate and Evans, 2026).</w:t>
      </w:r>
    </w:p>
    <w:p w14:paraId="66BAB84D" w14:textId="7B87378A" w:rsidR="00525F09" w:rsidRPr="00BC2C22" w:rsidRDefault="00415B01" w:rsidP="002B4014">
      <w:pPr>
        <w:pStyle w:val="Heading2"/>
        <w:numPr>
          <w:ilvl w:val="0"/>
          <w:numId w:val="0"/>
        </w:numPr>
        <w:rPr>
          <w:rFonts w:ascii="Arial" w:hAnsi="Arial" w:cs="Arial"/>
          <w:sz w:val="28"/>
          <w:szCs w:val="28"/>
          <w:lang w:val="en-US"/>
        </w:rPr>
      </w:pPr>
      <w:bookmarkStart w:id="7" w:name="_Toc238820876"/>
      <w:r w:rsidRPr="00BC2C22">
        <w:rPr>
          <w:rFonts w:ascii="Arial" w:hAnsi="Arial" w:cs="Arial"/>
          <w:sz w:val="28"/>
          <w:szCs w:val="28"/>
          <w:lang w:val="en-US"/>
        </w:rPr>
        <w:t>2c. Response to Falling Blood Glucose</w:t>
      </w:r>
      <w:bookmarkEnd w:id="7"/>
    </w:p>
    <w:p w14:paraId="4EC9E72E" w14:textId="5E439D25" w:rsidR="00415B01" w:rsidRDefault="00167D78" w:rsidP="005C55C1">
      <w:pPr>
        <w:spacing w:before="100" w:beforeAutospacing="1" w:after="100" w:afterAutospacing="1" w:line="360" w:lineRule="auto"/>
        <w:rPr>
          <w:rFonts w:ascii="Arial" w:hAnsi="Arial" w:cs="Arial"/>
          <w:sz w:val="22"/>
          <w:szCs w:val="22"/>
          <w:lang w:val="en-US"/>
        </w:rPr>
      </w:pPr>
      <w:r w:rsidRPr="00167D78">
        <w:rPr>
          <w:rFonts w:ascii="Arial" w:hAnsi="Arial" w:cs="Arial"/>
          <w:sz w:val="22"/>
          <w:szCs w:val="22"/>
          <w:lang w:val="en-US"/>
        </w:rPr>
        <w:t xml:space="preserve">During fasting or prolonged physical activity, blood glucose levels begin to fall. Alpha cells in the pancreatic islets detect this change and release glucagon. Glucagon acts mainly on liver cells, known as hepatocytes. It stimulates glycogenolysis, which breaks down stored glycogen into glucose, and gluconeogenesis, which produces new glucose from substances such as amino acids and glycerol. The liver then releases glucose into the bloodstream, ensuring that body tissues continue to receive energy between meals. </w:t>
      </w:r>
      <w:r w:rsidR="00D1365C" w:rsidRPr="00D1365C">
        <w:rPr>
          <w:rFonts w:ascii="Arial" w:hAnsi="Arial" w:cs="Arial"/>
          <w:sz w:val="22"/>
          <w:szCs w:val="22"/>
          <w:lang w:val="en-US"/>
        </w:rPr>
        <w:t>As blood glucose rises towards its normal level, glucagon secretion decreases, completing the negative feedback response (Waugh and Grant, 2023).</w:t>
      </w:r>
    </w:p>
    <w:p w14:paraId="150CE769" w14:textId="20B68F9D" w:rsidR="00415B01" w:rsidRPr="00BC2C22" w:rsidRDefault="00415B01" w:rsidP="002B4014">
      <w:pPr>
        <w:pStyle w:val="Heading2"/>
        <w:numPr>
          <w:ilvl w:val="0"/>
          <w:numId w:val="0"/>
        </w:numPr>
        <w:rPr>
          <w:rFonts w:ascii="Arial" w:hAnsi="Arial" w:cs="Arial"/>
          <w:sz w:val="28"/>
          <w:szCs w:val="28"/>
          <w:lang w:val="en-US"/>
        </w:rPr>
      </w:pPr>
      <w:bookmarkStart w:id="8" w:name="_Toc238820877"/>
      <w:r w:rsidRPr="00BC2C22">
        <w:rPr>
          <w:rFonts w:ascii="Arial" w:hAnsi="Arial" w:cs="Arial"/>
          <w:sz w:val="28"/>
          <w:szCs w:val="28"/>
          <w:lang w:val="en-US"/>
        </w:rPr>
        <w:t>2d. Failure of Blood Glucose Regulation in Type 2 Diabetes</w:t>
      </w:r>
      <w:bookmarkEnd w:id="8"/>
    </w:p>
    <w:p w14:paraId="06DF0877" w14:textId="355473EE" w:rsidR="00BC2C22" w:rsidRDefault="00167D78" w:rsidP="00BC2C22">
      <w:pPr>
        <w:spacing w:before="100" w:beforeAutospacing="1" w:after="100" w:afterAutospacing="1" w:line="360" w:lineRule="auto"/>
        <w:rPr>
          <w:rFonts w:ascii="Arial" w:hAnsi="Arial" w:cs="Arial"/>
          <w:sz w:val="22"/>
          <w:szCs w:val="22"/>
          <w:lang w:val="en-US"/>
        </w:rPr>
      </w:pPr>
      <w:r w:rsidRPr="00167D78">
        <w:rPr>
          <w:rFonts w:ascii="Arial" w:hAnsi="Arial" w:cs="Arial"/>
          <w:sz w:val="22"/>
          <w:szCs w:val="22"/>
          <w:lang w:val="en-US"/>
        </w:rPr>
        <w:t xml:space="preserve">In Type 2 diabetes, skeletal muscle, adipose tissue and the liver become less responsive to insulin. This is known as insulin resistance. As a result, muscle and adipose cells take up less glucose, while the liver continues to release glucose into the bloodstream. Blood glucose levels therefore remain higher than normal. </w:t>
      </w:r>
      <w:proofErr w:type="gramStart"/>
      <w:r w:rsidRPr="00167D78">
        <w:rPr>
          <w:rFonts w:ascii="Arial" w:hAnsi="Arial" w:cs="Arial"/>
          <w:sz w:val="22"/>
          <w:szCs w:val="22"/>
          <w:lang w:val="en-US"/>
        </w:rPr>
        <w:t>At first</w:t>
      </w:r>
      <w:proofErr w:type="gramEnd"/>
      <w:r w:rsidRPr="00167D78">
        <w:rPr>
          <w:rFonts w:ascii="Arial" w:hAnsi="Arial" w:cs="Arial"/>
          <w:sz w:val="22"/>
          <w:szCs w:val="22"/>
          <w:lang w:val="en-US"/>
        </w:rPr>
        <w:t xml:space="preserve">, beta cells in the pancreas try to compensate by producing more insulin. Over time, however, the continued demand and gradual loss of beta-cell function reduce the pancreas’s ability to produce enough insulin. This leads to a further increase in blood glucose levels (Galicia-Garcia et al., 2020). Helping patients understand this process can explain why medication, blood glucose monitoring, diet and physical activity need to work together as part of an </w:t>
      </w:r>
      <w:proofErr w:type="spellStart"/>
      <w:r w:rsidRPr="00167D78">
        <w:rPr>
          <w:rFonts w:ascii="Arial" w:hAnsi="Arial" w:cs="Arial"/>
          <w:sz w:val="22"/>
          <w:szCs w:val="22"/>
          <w:lang w:val="en-US"/>
        </w:rPr>
        <w:t>individualised</w:t>
      </w:r>
      <w:proofErr w:type="spellEnd"/>
      <w:r w:rsidRPr="00167D78">
        <w:rPr>
          <w:rFonts w:ascii="Arial" w:hAnsi="Arial" w:cs="Arial"/>
          <w:sz w:val="22"/>
          <w:szCs w:val="22"/>
          <w:lang w:val="en-US"/>
        </w:rPr>
        <w:t xml:space="preserve"> care plan.</w:t>
      </w:r>
      <w:r w:rsidR="00BC2C22">
        <w:rPr>
          <w:rFonts w:ascii="Arial" w:hAnsi="Arial" w:cs="Arial"/>
          <w:sz w:val="22"/>
          <w:szCs w:val="22"/>
          <w:lang w:val="en-US"/>
        </w:rPr>
        <w:br w:type="page"/>
      </w:r>
    </w:p>
    <w:p w14:paraId="7424F893" w14:textId="49610FB8" w:rsidR="00415B01" w:rsidRPr="00BC2C22" w:rsidRDefault="00415B01" w:rsidP="00415B01">
      <w:pPr>
        <w:pStyle w:val="Heading1"/>
        <w:rPr>
          <w:rFonts w:ascii="Arial" w:hAnsi="Arial" w:cs="Arial"/>
          <w:sz w:val="32"/>
          <w:szCs w:val="32"/>
          <w:lang w:val="en-US"/>
        </w:rPr>
      </w:pPr>
      <w:bookmarkStart w:id="9" w:name="_Toc238820878"/>
      <w:r w:rsidRPr="00BC2C22">
        <w:rPr>
          <w:rFonts w:ascii="Arial" w:hAnsi="Arial" w:cs="Arial"/>
          <w:sz w:val="32"/>
          <w:szCs w:val="32"/>
          <w:lang w:val="en-US"/>
        </w:rPr>
        <w:lastRenderedPageBreak/>
        <w:t>Oxygen and Glucose in Cellular Metabolism</w:t>
      </w:r>
      <w:bookmarkEnd w:id="9"/>
    </w:p>
    <w:p w14:paraId="0BA7E948" w14:textId="7587C1DC" w:rsidR="00415B01" w:rsidRPr="00BC2C22" w:rsidRDefault="00415B01" w:rsidP="002B4014">
      <w:pPr>
        <w:pStyle w:val="Heading2"/>
        <w:numPr>
          <w:ilvl w:val="0"/>
          <w:numId w:val="0"/>
        </w:numPr>
        <w:rPr>
          <w:rFonts w:ascii="Arial" w:hAnsi="Arial" w:cs="Arial"/>
          <w:sz w:val="28"/>
          <w:szCs w:val="28"/>
          <w:lang w:val="en-US"/>
        </w:rPr>
      </w:pPr>
      <w:bookmarkStart w:id="10" w:name="_Toc238820879"/>
      <w:r w:rsidRPr="00BC2C22">
        <w:rPr>
          <w:rFonts w:ascii="Arial" w:hAnsi="Arial" w:cs="Arial"/>
          <w:sz w:val="28"/>
          <w:szCs w:val="28"/>
          <w:lang w:val="en-US"/>
        </w:rPr>
        <w:t>3a. Cellular Respiration and the Importance of ATP</w:t>
      </w:r>
      <w:bookmarkEnd w:id="10"/>
    </w:p>
    <w:p w14:paraId="75E6EDE8" w14:textId="402F629C" w:rsidR="00BC2C22" w:rsidRPr="00BC2C22" w:rsidRDefault="00BC2C22" w:rsidP="00BC2C22">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Cellular respiration is the process through which cells release energy from nutrients. During aerobic respiration, glucose is broken down in the presence of oxygen, which acts as the final electron acceptor. The overall reaction is:</w:t>
      </w:r>
    </w:p>
    <w:p w14:paraId="739E7E04" w14:textId="74E6CA8B" w:rsidR="00BC2C22" w:rsidRPr="00BC2C22" w:rsidRDefault="00BC2C22" w:rsidP="00BC2C22">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C</w:t>
      </w:r>
      <w:r w:rsidRPr="00BC2C22">
        <w:rPr>
          <w:rFonts w:ascii="Cambria Math" w:hAnsi="Cambria Math" w:cs="Cambria Math"/>
          <w:sz w:val="22"/>
          <w:szCs w:val="22"/>
          <w:lang w:val="en-US"/>
        </w:rPr>
        <w:t>₆</w:t>
      </w:r>
      <w:r w:rsidRPr="00BC2C22">
        <w:rPr>
          <w:rFonts w:ascii="Arial" w:hAnsi="Arial" w:cs="Arial"/>
          <w:sz w:val="22"/>
          <w:szCs w:val="22"/>
          <w:lang w:val="en-US"/>
        </w:rPr>
        <w:t>H</w:t>
      </w:r>
      <w:r w:rsidRPr="00BC2C22">
        <w:rPr>
          <w:rFonts w:ascii="Cambria Math" w:hAnsi="Cambria Math" w:cs="Cambria Math"/>
          <w:sz w:val="22"/>
          <w:szCs w:val="22"/>
          <w:lang w:val="en-US"/>
        </w:rPr>
        <w:t>₁₂</w:t>
      </w:r>
      <w:r w:rsidRPr="00BC2C22">
        <w:rPr>
          <w:rFonts w:ascii="Arial" w:hAnsi="Arial" w:cs="Arial"/>
          <w:sz w:val="22"/>
          <w:szCs w:val="22"/>
          <w:lang w:val="en-US"/>
        </w:rPr>
        <w:t>O</w:t>
      </w:r>
      <w:r w:rsidRPr="00BC2C22">
        <w:rPr>
          <w:rFonts w:ascii="Cambria Math" w:hAnsi="Cambria Math" w:cs="Cambria Math"/>
          <w:sz w:val="22"/>
          <w:szCs w:val="22"/>
          <w:lang w:val="en-US"/>
        </w:rPr>
        <w:t>₆</w:t>
      </w:r>
      <w:r w:rsidRPr="00BC2C22">
        <w:rPr>
          <w:rFonts w:ascii="Arial" w:hAnsi="Arial" w:cs="Arial"/>
          <w:sz w:val="22"/>
          <w:szCs w:val="22"/>
          <w:lang w:val="en-US"/>
        </w:rPr>
        <w:t xml:space="preserve"> + 6O</w:t>
      </w:r>
      <w:r w:rsidRPr="00BC2C22">
        <w:rPr>
          <w:rFonts w:ascii="Cambria Math" w:hAnsi="Cambria Math" w:cs="Cambria Math"/>
          <w:sz w:val="22"/>
          <w:szCs w:val="22"/>
          <w:lang w:val="en-US"/>
        </w:rPr>
        <w:t>₂</w:t>
      </w:r>
      <w:r w:rsidRPr="00BC2C22">
        <w:rPr>
          <w:rFonts w:ascii="Arial" w:hAnsi="Arial" w:cs="Arial"/>
          <w:sz w:val="22"/>
          <w:szCs w:val="22"/>
          <w:lang w:val="en-US"/>
        </w:rPr>
        <w:t xml:space="preserve"> → 6CO</w:t>
      </w:r>
      <w:r w:rsidRPr="00BC2C22">
        <w:rPr>
          <w:rFonts w:ascii="Cambria Math" w:hAnsi="Cambria Math" w:cs="Cambria Math"/>
          <w:sz w:val="22"/>
          <w:szCs w:val="22"/>
          <w:lang w:val="en-US"/>
        </w:rPr>
        <w:t>₂</w:t>
      </w:r>
      <w:r w:rsidRPr="00BC2C22">
        <w:rPr>
          <w:rFonts w:ascii="Arial" w:hAnsi="Arial" w:cs="Arial"/>
          <w:sz w:val="22"/>
          <w:szCs w:val="22"/>
          <w:lang w:val="en-US"/>
        </w:rPr>
        <w:t xml:space="preserve"> + 6H</w:t>
      </w:r>
      <w:r w:rsidRPr="00BC2C22">
        <w:rPr>
          <w:rFonts w:ascii="Cambria Math" w:hAnsi="Cambria Math" w:cs="Cambria Math"/>
          <w:sz w:val="22"/>
          <w:szCs w:val="22"/>
          <w:lang w:val="en-US"/>
        </w:rPr>
        <w:t>₂</w:t>
      </w:r>
      <w:r w:rsidRPr="00BC2C22">
        <w:rPr>
          <w:rFonts w:ascii="Arial" w:hAnsi="Arial" w:cs="Arial"/>
          <w:sz w:val="22"/>
          <w:szCs w:val="22"/>
          <w:lang w:val="en-US"/>
        </w:rPr>
        <w:t>O + energy (ATP)</w:t>
      </w:r>
    </w:p>
    <w:p w14:paraId="63CE95C1" w14:textId="00AAF828" w:rsidR="00415B01" w:rsidRDefault="00BC2C22" w:rsidP="00BC2C22">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The released energy is stored in adenosine triphosphate (ATP), which supplies energy for processes including muscle contraction, active transport and nerve activity (Waugh and Grant, 2023).</w:t>
      </w:r>
    </w:p>
    <w:p w14:paraId="1721827D" w14:textId="3DF801A4" w:rsidR="005C55C1" w:rsidRPr="00BC2C22" w:rsidRDefault="00415B01" w:rsidP="002B4014">
      <w:pPr>
        <w:pStyle w:val="Heading2"/>
        <w:numPr>
          <w:ilvl w:val="0"/>
          <w:numId w:val="0"/>
        </w:numPr>
        <w:rPr>
          <w:rFonts w:ascii="Arial" w:hAnsi="Arial" w:cs="Arial"/>
          <w:sz w:val="28"/>
          <w:szCs w:val="28"/>
          <w:lang w:val="en-US"/>
        </w:rPr>
      </w:pPr>
      <w:bookmarkStart w:id="11" w:name="_Toc238820880"/>
      <w:r w:rsidRPr="00BC2C22">
        <w:rPr>
          <w:rFonts w:ascii="Arial" w:hAnsi="Arial" w:cs="Arial"/>
          <w:sz w:val="28"/>
          <w:szCs w:val="28"/>
          <w:lang w:val="en-US"/>
        </w:rPr>
        <w:t>3b. Principal Stages of Aerobic Respiration</w:t>
      </w:r>
      <w:bookmarkEnd w:id="11"/>
    </w:p>
    <w:p w14:paraId="7E180EFF" w14:textId="40FF8F99" w:rsidR="00BC2C22" w:rsidRPr="00BC2C22" w:rsidRDefault="00BC2C22" w:rsidP="00BC2C22">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 xml:space="preserve">Aerobic respiration has three main stages, as shown in Figure 2. Glycolysis occurs in </w:t>
      </w:r>
      <w:proofErr w:type="gramStart"/>
      <w:r w:rsidRPr="00BC2C22">
        <w:rPr>
          <w:rFonts w:ascii="Arial" w:hAnsi="Arial" w:cs="Arial"/>
          <w:sz w:val="22"/>
          <w:szCs w:val="22"/>
          <w:lang w:val="en-US"/>
        </w:rPr>
        <w:t>the cytoplasm</w:t>
      </w:r>
      <w:proofErr w:type="gramEnd"/>
      <w:r w:rsidRPr="00BC2C22">
        <w:rPr>
          <w:rFonts w:ascii="Arial" w:hAnsi="Arial" w:cs="Arial"/>
          <w:sz w:val="22"/>
          <w:szCs w:val="22"/>
          <w:lang w:val="en-US"/>
        </w:rPr>
        <w:t xml:space="preserve"> and does not use oxygen directly. It breaks one glucose molecule into two pyruvate molecules, producing a net gain of two ATP and two NADH molecules. When oxygen is available, pyruvate enters the mitochondrial matrix and is converted into acetyl coenzyme A. This enters the Krebs cycle, which releases carbon dioxide and produces ATP, NADH and FADH</w:t>
      </w:r>
      <w:r w:rsidRPr="00BC2C22">
        <w:rPr>
          <w:rFonts w:ascii="Cambria Math" w:hAnsi="Cambria Math" w:cs="Cambria Math"/>
          <w:sz w:val="22"/>
          <w:szCs w:val="22"/>
          <w:lang w:val="en-US"/>
        </w:rPr>
        <w:t>₂</w:t>
      </w:r>
      <w:r w:rsidRPr="00BC2C22">
        <w:rPr>
          <w:rFonts w:ascii="Arial" w:hAnsi="Arial" w:cs="Arial"/>
          <w:sz w:val="22"/>
          <w:szCs w:val="22"/>
          <w:lang w:val="en-US"/>
        </w:rPr>
        <w:t xml:space="preserve"> (Minett and Ginesi, 2020).</w:t>
      </w:r>
    </w:p>
    <w:p w14:paraId="395A86C5" w14:textId="441DA995" w:rsidR="00415B01" w:rsidRDefault="00BC2C22" w:rsidP="00BC2C22">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Oxidative phosphorylation occurs at the inner mitochondrial membrane and produces most of the ATP. NADH and FADH</w:t>
      </w:r>
      <w:r w:rsidRPr="00BC2C22">
        <w:rPr>
          <w:rFonts w:ascii="Cambria Math" w:hAnsi="Cambria Math" w:cs="Cambria Math"/>
          <w:sz w:val="22"/>
          <w:szCs w:val="22"/>
          <w:lang w:val="en-US"/>
        </w:rPr>
        <w:t>₂</w:t>
      </w:r>
      <w:r w:rsidRPr="00BC2C22">
        <w:rPr>
          <w:rFonts w:ascii="Arial" w:hAnsi="Arial" w:cs="Arial"/>
          <w:sz w:val="22"/>
          <w:szCs w:val="22"/>
          <w:lang w:val="en-US"/>
        </w:rPr>
        <w:t xml:space="preserve"> carry electrons to the electron transport chain, creating a proton gradient that drives ATP synthase. Oxygen </w:t>
      </w:r>
      <w:proofErr w:type="gramStart"/>
      <w:r w:rsidRPr="00BC2C22">
        <w:rPr>
          <w:rFonts w:ascii="Arial" w:hAnsi="Arial" w:cs="Arial"/>
          <w:sz w:val="22"/>
          <w:szCs w:val="22"/>
          <w:lang w:val="en-US"/>
        </w:rPr>
        <w:t>combines with</w:t>
      </w:r>
      <w:proofErr w:type="gramEnd"/>
      <w:r w:rsidRPr="00BC2C22">
        <w:rPr>
          <w:rFonts w:ascii="Arial" w:hAnsi="Arial" w:cs="Arial"/>
          <w:sz w:val="22"/>
          <w:szCs w:val="22"/>
          <w:lang w:val="en-US"/>
        </w:rPr>
        <w:t xml:space="preserve"> electrons and hydrogen ions to form water. Aerobic breakdown of one glucose molecule usually produces approximately 30–32 ATP (Betts et al., 2022).</w:t>
      </w:r>
    </w:p>
    <w:p w14:paraId="17EA3F7E" w14:textId="2F2C81FB" w:rsidR="00415B01" w:rsidRPr="005C55C1" w:rsidRDefault="00415B01" w:rsidP="005C55C1">
      <w:pPr>
        <w:spacing w:before="100" w:beforeAutospacing="1" w:after="100" w:afterAutospacing="1" w:line="360" w:lineRule="auto"/>
        <w:rPr>
          <w:rFonts w:ascii="Arial" w:hAnsi="Arial" w:cs="Arial"/>
          <w:sz w:val="22"/>
          <w:szCs w:val="22"/>
          <w:lang w:val="en-US"/>
        </w:rPr>
      </w:pPr>
      <w:r>
        <w:rPr>
          <w:rFonts w:ascii="Arial" w:hAnsi="Arial" w:cs="Arial"/>
          <w:noProof/>
          <w:sz w:val="22"/>
          <w:szCs w:val="22"/>
          <w:lang w:val="en-US"/>
        </w:rPr>
        <w:lastRenderedPageBreak/>
        <w:drawing>
          <wp:inline distT="0" distB="0" distL="0" distR="0" wp14:anchorId="52EFE91F" wp14:editId="72227697">
            <wp:extent cx="6078220" cy="6791325"/>
            <wp:effectExtent l="0" t="0" r="0" b="9525"/>
            <wp:docPr id="18598965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78220" cy="6791325"/>
                    </a:xfrm>
                    <a:prstGeom prst="rect">
                      <a:avLst/>
                    </a:prstGeom>
                    <a:noFill/>
                  </pic:spPr>
                </pic:pic>
              </a:graphicData>
            </a:graphic>
          </wp:inline>
        </w:drawing>
      </w:r>
    </w:p>
    <w:p w14:paraId="3115EA04" w14:textId="69B2793C" w:rsidR="000C13FC" w:rsidRDefault="00415B01" w:rsidP="000C13FC">
      <w:pPr>
        <w:spacing w:before="100" w:beforeAutospacing="1" w:after="100" w:afterAutospacing="1" w:line="360" w:lineRule="auto"/>
        <w:rPr>
          <w:rFonts w:ascii="Arial" w:hAnsi="Arial" w:cs="Arial"/>
          <w:i/>
          <w:iCs/>
          <w:sz w:val="20"/>
          <w:szCs w:val="20"/>
          <w:lang w:val="en-US"/>
        </w:rPr>
      </w:pPr>
      <w:r w:rsidRPr="00167D78">
        <w:rPr>
          <w:rFonts w:ascii="Arial" w:hAnsi="Arial" w:cs="Arial"/>
          <w:b/>
          <w:bCs/>
          <w:i/>
          <w:iCs/>
          <w:sz w:val="20"/>
          <w:szCs w:val="20"/>
          <w:lang w:val="en-US"/>
        </w:rPr>
        <w:t>Figure 2.</w:t>
      </w:r>
      <w:r w:rsidRPr="00167D78">
        <w:rPr>
          <w:rFonts w:ascii="Arial" w:hAnsi="Arial" w:cs="Arial"/>
          <w:i/>
          <w:iCs/>
          <w:sz w:val="20"/>
          <w:szCs w:val="20"/>
          <w:lang w:val="en-US"/>
        </w:rPr>
        <w:t xml:space="preserve"> Cellular respiration through glycolysis, the Krebs cycle and oxidative phosphorylation. Source: Betts et al. (2022, Figure 24.4)</w:t>
      </w:r>
      <w:r w:rsidR="006A41ED" w:rsidRPr="006A41ED">
        <w:rPr>
          <w:rFonts w:ascii="Arial" w:hAnsi="Arial" w:cs="Arial"/>
          <w:i/>
          <w:iCs/>
          <w:sz w:val="20"/>
          <w:szCs w:val="20"/>
          <w:lang w:val="en-US"/>
        </w:rPr>
        <w:t>, licensed under CC BY-NC-SA 4.0.</w:t>
      </w:r>
      <w:r w:rsidR="000C13FC">
        <w:rPr>
          <w:rFonts w:ascii="Arial" w:hAnsi="Arial" w:cs="Arial"/>
          <w:i/>
          <w:iCs/>
          <w:sz w:val="20"/>
          <w:szCs w:val="20"/>
          <w:lang w:val="en-US"/>
        </w:rPr>
        <w:br w:type="page"/>
      </w:r>
    </w:p>
    <w:p w14:paraId="784AD249" w14:textId="77777777" w:rsidR="00415B01" w:rsidRPr="00BC2C22" w:rsidRDefault="00415B01" w:rsidP="002B4014">
      <w:pPr>
        <w:pStyle w:val="Heading2"/>
        <w:numPr>
          <w:ilvl w:val="0"/>
          <w:numId w:val="0"/>
        </w:numPr>
        <w:rPr>
          <w:rFonts w:ascii="Arial" w:hAnsi="Arial" w:cs="Arial"/>
          <w:sz w:val="28"/>
          <w:szCs w:val="28"/>
          <w:lang w:val="en-US"/>
        </w:rPr>
      </w:pPr>
      <w:bookmarkStart w:id="12" w:name="_Toc238820881"/>
      <w:r w:rsidRPr="00BC2C22">
        <w:rPr>
          <w:rFonts w:ascii="Arial" w:hAnsi="Arial" w:cs="Arial"/>
          <w:sz w:val="28"/>
          <w:szCs w:val="28"/>
          <w:lang w:val="en-US"/>
        </w:rPr>
        <w:lastRenderedPageBreak/>
        <w:t>3c. Anaerobic Metabolism and its Relevance to Diabetes</w:t>
      </w:r>
      <w:bookmarkEnd w:id="12"/>
    </w:p>
    <w:p w14:paraId="04FE6032" w14:textId="73FA43FD" w:rsidR="00BC2C22" w:rsidRPr="00BC2C22" w:rsidRDefault="00BC2C22" w:rsidP="00BC2C22">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When oxygen is insufficient, cells convert pyruvate into lactate to regenerate NAD</w:t>
      </w:r>
      <w:r w:rsidRPr="00BC2C22">
        <w:rPr>
          <w:rFonts w:ascii="Cambria Math" w:hAnsi="Cambria Math" w:cs="Cambria Math"/>
          <w:sz w:val="22"/>
          <w:szCs w:val="22"/>
          <w:lang w:val="en-US"/>
        </w:rPr>
        <w:t>⁺</w:t>
      </w:r>
      <w:r w:rsidRPr="00BC2C22">
        <w:rPr>
          <w:rFonts w:ascii="Arial" w:hAnsi="Arial" w:cs="Arial"/>
          <w:sz w:val="22"/>
          <w:szCs w:val="22"/>
          <w:lang w:val="en-US"/>
        </w:rPr>
        <w:t>, allowing glycolysis to continue temporarily. This produces a net gain of only two ATP molecules per glucose. In Type 2 diabetes, insulin resistance reduces glucose uptake by insulin-sensitive tissues even when blood glucose is high (Galicia-Garcia et al., 2020).</w:t>
      </w:r>
    </w:p>
    <w:p w14:paraId="75D64563" w14:textId="475DC924" w:rsidR="00771723" w:rsidRDefault="00BC2C22" w:rsidP="00BC2C22">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Diabetic ketoacidosis (DKA) is different from anaerobic glycolysis. It occurs when severe insulin deficiency causes fat breakdown and acidic ketones accumulate in the blood. DKA mainly affects people with Type 1 diabetes but can occur in insulin-treated Type 2 diabetes and requires urgent hospital treatment (NHS, 2023)</w:t>
      </w:r>
      <w:r w:rsidR="000C13FC" w:rsidRPr="000C13FC">
        <w:rPr>
          <w:rFonts w:ascii="Arial" w:hAnsi="Arial" w:cs="Arial"/>
          <w:sz w:val="22"/>
          <w:szCs w:val="22"/>
          <w:lang w:val="en-US"/>
        </w:rPr>
        <w:t>.</w:t>
      </w:r>
    </w:p>
    <w:p w14:paraId="5B13C95A" w14:textId="77777777" w:rsidR="00BC2C22" w:rsidRPr="00E37427" w:rsidRDefault="00BC2C22" w:rsidP="00BC2C22">
      <w:pPr>
        <w:spacing w:before="100" w:beforeAutospacing="1" w:after="100" w:afterAutospacing="1" w:line="360" w:lineRule="auto"/>
        <w:rPr>
          <w:rFonts w:ascii="Arial" w:hAnsi="Arial" w:cs="Arial"/>
          <w:sz w:val="22"/>
          <w:szCs w:val="22"/>
          <w:lang w:val="en-US"/>
        </w:rPr>
      </w:pPr>
    </w:p>
    <w:p w14:paraId="3D163CB4" w14:textId="4BF1956C" w:rsidR="00415B01" w:rsidRPr="00BC2C22" w:rsidRDefault="00415B01" w:rsidP="00415B01">
      <w:pPr>
        <w:pStyle w:val="Heading1"/>
        <w:rPr>
          <w:rFonts w:ascii="Arial" w:hAnsi="Arial" w:cs="Arial"/>
          <w:sz w:val="32"/>
          <w:szCs w:val="32"/>
        </w:rPr>
      </w:pPr>
      <w:bookmarkStart w:id="13" w:name="_Toc238820882"/>
      <w:r w:rsidRPr="00BC2C22">
        <w:rPr>
          <w:rFonts w:ascii="Arial" w:hAnsi="Arial" w:cs="Arial"/>
          <w:sz w:val="32"/>
          <w:szCs w:val="32"/>
        </w:rPr>
        <w:t>Recording and Tracking Blood Sugar Levels</w:t>
      </w:r>
      <w:bookmarkEnd w:id="13"/>
    </w:p>
    <w:p w14:paraId="5013629A" w14:textId="77777777" w:rsidR="002B4014" w:rsidRPr="00BC2C22" w:rsidRDefault="002B4014" w:rsidP="002B4014">
      <w:pPr>
        <w:pStyle w:val="Heading2"/>
        <w:numPr>
          <w:ilvl w:val="0"/>
          <w:numId w:val="0"/>
        </w:numPr>
        <w:rPr>
          <w:rFonts w:ascii="Arial" w:hAnsi="Arial" w:cs="Arial"/>
          <w:sz w:val="28"/>
          <w:szCs w:val="28"/>
          <w:lang w:val="en-US"/>
        </w:rPr>
      </w:pPr>
      <w:bookmarkStart w:id="14" w:name="_Toc238820883"/>
      <w:r w:rsidRPr="00BC2C22">
        <w:rPr>
          <w:rFonts w:ascii="Arial" w:hAnsi="Arial" w:cs="Arial"/>
          <w:sz w:val="28"/>
          <w:szCs w:val="28"/>
          <w:lang w:val="en-US"/>
        </w:rPr>
        <w:t>4a. Methods of Monitoring Blood Glucose</w:t>
      </w:r>
      <w:bookmarkEnd w:id="14"/>
    </w:p>
    <w:p w14:paraId="7E7EAB9F" w14:textId="5AD3F140" w:rsidR="000C13FC" w:rsidRPr="000C13FC" w:rsidRDefault="000C13FC" w:rsidP="000C13FC">
      <w:pPr>
        <w:spacing w:before="100" w:beforeAutospacing="1" w:after="100" w:afterAutospacing="1" w:line="360" w:lineRule="auto"/>
        <w:rPr>
          <w:rFonts w:ascii="Arial" w:hAnsi="Arial" w:cs="Arial"/>
          <w:sz w:val="22"/>
          <w:szCs w:val="22"/>
          <w:lang w:val="en-US"/>
        </w:rPr>
      </w:pPr>
      <w:r w:rsidRPr="000C13FC">
        <w:rPr>
          <w:rFonts w:ascii="Arial" w:hAnsi="Arial" w:cs="Arial"/>
          <w:sz w:val="22"/>
          <w:szCs w:val="22"/>
          <w:lang w:val="en-US"/>
        </w:rPr>
        <w:t xml:space="preserve">Several methods can be used to monitor blood glucose, and each provides different information. Self-monitoring of capillary blood glucose involves placing a small drop of blood from a finger-prick onto a test strip. A glucose meter then provides an immediate reading, which can help identify current </w:t>
      </w:r>
      <w:proofErr w:type="spellStart"/>
      <w:r w:rsidRPr="000C13FC">
        <w:rPr>
          <w:rFonts w:ascii="Arial" w:hAnsi="Arial" w:cs="Arial"/>
          <w:sz w:val="22"/>
          <w:szCs w:val="22"/>
          <w:lang w:val="en-US"/>
        </w:rPr>
        <w:t>hyperglycaemia</w:t>
      </w:r>
      <w:proofErr w:type="spellEnd"/>
      <w:r w:rsidRPr="000C13FC">
        <w:rPr>
          <w:rFonts w:ascii="Arial" w:hAnsi="Arial" w:cs="Arial"/>
          <w:sz w:val="22"/>
          <w:szCs w:val="22"/>
          <w:lang w:val="en-US"/>
        </w:rPr>
        <w:t xml:space="preserve"> or </w:t>
      </w:r>
      <w:proofErr w:type="spellStart"/>
      <w:r w:rsidRPr="000C13FC">
        <w:rPr>
          <w:rFonts w:ascii="Arial" w:hAnsi="Arial" w:cs="Arial"/>
          <w:sz w:val="22"/>
          <w:szCs w:val="22"/>
          <w:lang w:val="en-US"/>
        </w:rPr>
        <w:t>hypoglycaemia</w:t>
      </w:r>
      <w:proofErr w:type="spellEnd"/>
      <w:r w:rsidRPr="000C13FC">
        <w:rPr>
          <w:rFonts w:ascii="Arial" w:hAnsi="Arial" w:cs="Arial"/>
          <w:sz w:val="22"/>
          <w:szCs w:val="22"/>
          <w:lang w:val="en-US"/>
        </w:rPr>
        <w:t>. This method is particularly useful for people who use insulin or take medication that may cause low blood glucose. However, NICE (2026) advises that routine self-monitoring is not necessary for every adult with Type 2 diabetes.</w:t>
      </w:r>
    </w:p>
    <w:p w14:paraId="02706DD0" w14:textId="228E95C5" w:rsidR="00056BD5" w:rsidRDefault="000C13FC" w:rsidP="000C13FC">
      <w:pPr>
        <w:spacing w:before="100" w:beforeAutospacing="1" w:after="100" w:afterAutospacing="1" w:line="360" w:lineRule="auto"/>
        <w:rPr>
          <w:rFonts w:ascii="Arial" w:hAnsi="Arial" w:cs="Arial"/>
          <w:sz w:val="22"/>
          <w:szCs w:val="22"/>
          <w:lang w:val="en-US"/>
        </w:rPr>
      </w:pPr>
      <w:r w:rsidRPr="000C13FC">
        <w:rPr>
          <w:rFonts w:ascii="Arial" w:hAnsi="Arial" w:cs="Arial"/>
          <w:sz w:val="22"/>
          <w:szCs w:val="22"/>
          <w:lang w:val="en-US"/>
        </w:rPr>
        <w:t xml:space="preserve">HbA1c is a laboratory test that measures the amount of </w:t>
      </w:r>
      <w:proofErr w:type="spellStart"/>
      <w:r w:rsidRPr="000C13FC">
        <w:rPr>
          <w:rFonts w:ascii="Arial" w:hAnsi="Arial" w:cs="Arial"/>
          <w:sz w:val="22"/>
          <w:szCs w:val="22"/>
          <w:lang w:val="en-US"/>
        </w:rPr>
        <w:t>haemoglobin</w:t>
      </w:r>
      <w:proofErr w:type="spellEnd"/>
      <w:r w:rsidRPr="000C13FC">
        <w:rPr>
          <w:rFonts w:ascii="Arial" w:hAnsi="Arial" w:cs="Arial"/>
          <w:sz w:val="22"/>
          <w:szCs w:val="22"/>
          <w:lang w:val="en-US"/>
        </w:rPr>
        <w:t xml:space="preserve"> with glucose attached to it. It provides an indication of average blood glucose levels over the previous two to three months but does not show daily changes. Continuous glucose monitoring uses a small sensor placed under the skin to measure glucose in the interstitial fluid. The sensor sends readings to a separate reader or smartphone, allowing the user to observe glucose patterns and receive alerts when levels are too high or too low. Access to this technology is usually based on clinical need and may include selected people with insulin-treated Type 2 diabetes (Diabetes UK, 2025).</w:t>
      </w:r>
    </w:p>
    <w:p w14:paraId="531465CE" w14:textId="77777777" w:rsidR="00056BD5" w:rsidRDefault="00056BD5">
      <w:pPr>
        <w:rPr>
          <w:rFonts w:ascii="Arial" w:hAnsi="Arial" w:cs="Arial"/>
          <w:sz w:val="22"/>
          <w:szCs w:val="22"/>
          <w:lang w:val="en-US"/>
        </w:rPr>
      </w:pPr>
      <w:r>
        <w:rPr>
          <w:rFonts w:ascii="Arial" w:hAnsi="Arial" w:cs="Arial"/>
          <w:sz w:val="22"/>
          <w:szCs w:val="22"/>
          <w:lang w:val="en-US"/>
        </w:rPr>
        <w:br w:type="page"/>
      </w:r>
    </w:p>
    <w:p w14:paraId="2E316B27" w14:textId="0DC95544" w:rsidR="002B4014" w:rsidRPr="00BC2C22" w:rsidRDefault="002B4014" w:rsidP="002B4014">
      <w:pPr>
        <w:pStyle w:val="Heading2"/>
        <w:numPr>
          <w:ilvl w:val="0"/>
          <w:numId w:val="0"/>
        </w:numPr>
        <w:rPr>
          <w:rFonts w:ascii="Arial" w:hAnsi="Arial" w:cs="Arial"/>
          <w:sz w:val="28"/>
          <w:szCs w:val="28"/>
          <w:lang w:val="en-US"/>
        </w:rPr>
      </w:pPr>
      <w:bookmarkStart w:id="15" w:name="_Toc238820884"/>
      <w:r w:rsidRPr="00BC2C22">
        <w:rPr>
          <w:rFonts w:ascii="Arial" w:hAnsi="Arial" w:cs="Arial"/>
          <w:sz w:val="28"/>
          <w:szCs w:val="28"/>
          <w:lang w:val="en-US"/>
        </w:rPr>
        <w:lastRenderedPageBreak/>
        <w:t>4b. Importance of Consistent Tracking for Patient Safety and Care Planning</w:t>
      </w:r>
      <w:bookmarkEnd w:id="15"/>
    </w:p>
    <w:p w14:paraId="11E2F33A" w14:textId="6AA98C83" w:rsidR="002B4014" w:rsidRDefault="009D59E8" w:rsidP="002B4014">
      <w:pPr>
        <w:spacing w:before="100" w:beforeAutospacing="1" w:after="100" w:afterAutospacing="1" w:line="360" w:lineRule="auto"/>
        <w:rPr>
          <w:rFonts w:ascii="Arial" w:hAnsi="Arial" w:cs="Arial"/>
          <w:sz w:val="22"/>
          <w:szCs w:val="22"/>
          <w:lang w:val="en-US"/>
        </w:rPr>
      </w:pPr>
      <w:r w:rsidRPr="009D59E8">
        <w:rPr>
          <w:rFonts w:ascii="Arial" w:hAnsi="Arial" w:cs="Arial"/>
          <w:sz w:val="22"/>
          <w:szCs w:val="22"/>
          <w:lang w:val="en-US"/>
        </w:rPr>
        <w:t xml:space="preserve">Figure 3 shows that blood glucose levels change throughout the day and usually rise after meals. Recording these results can help patients </w:t>
      </w:r>
      <w:proofErr w:type="spellStart"/>
      <w:r w:rsidRPr="009D59E8">
        <w:rPr>
          <w:rFonts w:ascii="Arial" w:hAnsi="Arial" w:cs="Arial"/>
          <w:sz w:val="22"/>
          <w:szCs w:val="22"/>
          <w:lang w:val="en-US"/>
        </w:rPr>
        <w:t>recognise</w:t>
      </w:r>
      <w:proofErr w:type="spellEnd"/>
      <w:r w:rsidRPr="009D59E8">
        <w:rPr>
          <w:rFonts w:ascii="Arial" w:hAnsi="Arial" w:cs="Arial"/>
          <w:sz w:val="22"/>
          <w:szCs w:val="22"/>
          <w:lang w:val="en-US"/>
        </w:rPr>
        <w:t xml:space="preserve"> patterns and understand how food, physical activity, illness, stress and medication affect their blood glucose levels.</w:t>
      </w:r>
    </w:p>
    <w:p w14:paraId="06313632" w14:textId="70EE48E4" w:rsidR="002B4014" w:rsidRDefault="002B4014" w:rsidP="005C55C1">
      <w:pPr>
        <w:spacing w:before="100" w:beforeAutospacing="1" w:after="100" w:afterAutospacing="1" w:line="360" w:lineRule="auto"/>
        <w:rPr>
          <w:rFonts w:ascii="Arial" w:hAnsi="Arial" w:cs="Arial"/>
          <w:sz w:val="22"/>
          <w:szCs w:val="22"/>
          <w:lang w:val="en-US"/>
        </w:rPr>
      </w:pPr>
      <w:r>
        <w:rPr>
          <w:rFonts w:ascii="Arial" w:hAnsi="Arial" w:cs="Arial"/>
          <w:noProof/>
          <w:sz w:val="22"/>
          <w:szCs w:val="22"/>
          <w:lang w:val="en-US"/>
        </w:rPr>
        <w:drawing>
          <wp:inline distT="0" distB="0" distL="0" distR="0" wp14:anchorId="1810A537" wp14:editId="3A83E4D3">
            <wp:extent cx="5602605" cy="4200525"/>
            <wp:effectExtent l="0" t="0" r="0" b="0"/>
            <wp:docPr id="70889559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02605" cy="4200525"/>
                    </a:xfrm>
                    <a:prstGeom prst="rect">
                      <a:avLst/>
                    </a:prstGeom>
                    <a:noFill/>
                  </pic:spPr>
                </pic:pic>
              </a:graphicData>
            </a:graphic>
          </wp:inline>
        </w:drawing>
      </w:r>
    </w:p>
    <w:p w14:paraId="65EAA89A" w14:textId="7416BF92" w:rsidR="002B4014" w:rsidRPr="009D59E8" w:rsidRDefault="002B4014" w:rsidP="005C55C1">
      <w:pPr>
        <w:spacing w:before="100" w:beforeAutospacing="1" w:after="100" w:afterAutospacing="1" w:line="360" w:lineRule="auto"/>
        <w:rPr>
          <w:rFonts w:ascii="Arial" w:hAnsi="Arial" w:cs="Arial"/>
          <w:i/>
          <w:iCs/>
          <w:sz w:val="20"/>
          <w:szCs w:val="20"/>
          <w:lang w:val="en-US"/>
        </w:rPr>
      </w:pPr>
      <w:r w:rsidRPr="009D59E8">
        <w:rPr>
          <w:rFonts w:ascii="Arial" w:hAnsi="Arial" w:cs="Arial"/>
          <w:b/>
          <w:bCs/>
          <w:i/>
          <w:iCs/>
          <w:sz w:val="20"/>
          <w:szCs w:val="20"/>
          <w:lang w:val="en-US"/>
        </w:rPr>
        <w:t>Figure 3.</w:t>
      </w:r>
      <w:r w:rsidRPr="009D59E8">
        <w:rPr>
          <w:rFonts w:ascii="Arial" w:hAnsi="Arial" w:cs="Arial"/>
          <w:i/>
          <w:iCs/>
          <w:sz w:val="20"/>
          <w:szCs w:val="20"/>
          <w:lang w:val="en-US"/>
        </w:rPr>
        <w:t xml:space="preserve"> </w:t>
      </w:r>
      <w:proofErr w:type="spellStart"/>
      <w:r w:rsidRPr="009D59E8">
        <w:rPr>
          <w:rFonts w:ascii="Arial" w:hAnsi="Arial" w:cs="Arial"/>
          <w:i/>
          <w:iCs/>
          <w:sz w:val="20"/>
          <w:szCs w:val="20"/>
          <w:lang w:val="en-US"/>
        </w:rPr>
        <w:t>Idealised</w:t>
      </w:r>
      <w:proofErr w:type="spellEnd"/>
      <w:r w:rsidRPr="009D59E8">
        <w:rPr>
          <w:rFonts w:ascii="Arial" w:hAnsi="Arial" w:cs="Arial"/>
          <w:i/>
          <w:iCs/>
          <w:sz w:val="20"/>
          <w:szCs w:val="20"/>
          <w:lang w:val="en-US"/>
        </w:rPr>
        <w:t xml:space="preserve"> changes in blood glucose across </w:t>
      </w:r>
      <w:proofErr w:type="gramStart"/>
      <w:r w:rsidRPr="009D59E8">
        <w:rPr>
          <w:rFonts w:ascii="Arial" w:hAnsi="Arial" w:cs="Arial"/>
          <w:i/>
          <w:iCs/>
          <w:sz w:val="20"/>
          <w:szCs w:val="20"/>
          <w:lang w:val="en-US"/>
        </w:rPr>
        <w:t>a day</w:t>
      </w:r>
      <w:proofErr w:type="gramEnd"/>
      <w:r w:rsidRPr="009D59E8">
        <w:rPr>
          <w:rFonts w:ascii="Arial" w:hAnsi="Arial" w:cs="Arial"/>
          <w:i/>
          <w:iCs/>
          <w:sz w:val="20"/>
          <w:szCs w:val="20"/>
          <w:lang w:val="en-US"/>
        </w:rPr>
        <w:t xml:space="preserve"> containing three meals, including the effect of a </w:t>
      </w:r>
      <w:proofErr w:type="gramStart"/>
      <w:r w:rsidRPr="009D59E8">
        <w:rPr>
          <w:rFonts w:ascii="Arial" w:hAnsi="Arial" w:cs="Arial"/>
          <w:i/>
          <w:iCs/>
          <w:sz w:val="20"/>
          <w:szCs w:val="20"/>
          <w:lang w:val="en-US"/>
        </w:rPr>
        <w:t>sucrose-rich</w:t>
      </w:r>
      <w:proofErr w:type="gramEnd"/>
      <w:r w:rsidRPr="009D59E8">
        <w:rPr>
          <w:rFonts w:ascii="Arial" w:hAnsi="Arial" w:cs="Arial"/>
          <w:i/>
          <w:iCs/>
          <w:sz w:val="20"/>
          <w:szCs w:val="20"/>
          <w:lang w:val="en-US"/>
        </w:rPr>
        <w:t xml:space="preserve"> meal. Source: </w:t>
      </w:r>
      <w:proofErr w:type="spellStart"/>
      <w:r w:rsidRPr="009D59E8">
        <w:rPr>
          <w:rFonts w:ascii="Arial" w:hAnsi="Arial" w:cs="Arial"/>
          <w:i/>
          <w:iCs/>
          <w:sz w:val="20"/>
          <w:szCs w:val="20"/>
          <w:lang w:val="en-US"/>
        </w:rPr>
        <w:t>Mcstrother</w:t>
      </w:r>
      <w:proofErr w:type="spellEnd"/>
      <w:r w:rsidRPr="009D59E8">
        <w:rPr>
          <w:rFonts w:ascii="Arial" w:hAnsi="Arial" w:cs="Arial"/>
          <w:i/>
          <w:iCs/>
          <w:sz w:val="20"/>
          <w:szCs w:val="20"/>
          <w:lang w:val="en-US"/>
        </w:rPr>
        <w:t xml:space="preserve"> (2011), based on </w:t>
      </w:r>
      <w:proofErr w:type="spellStart"/>
      <w:r w:rsidRPr="009D59E8">
        <w:rPr>
          <w:rFonts w:ascii="Arial" w:hAnsi="Arial" w:cs="Arial"/>
          <w:i/>
          <w:iCs/>
          <w:sz w:val="20"/>
          <w:szCs w:val="20"/>
          <w:lang w:val="en-US"/>
        </w:rPr>
        <w:t>Suckale</w:t>
      </w:r>
      <w:proofErr w:type="spellEnd"/>
      <w:r w:rsidRPr="009D59E8">
        <w:rPr>
          <w:rFonts w:ascii="Arial" w:hAnsi="Arial" w:cs="Arial"/>
          <w:i/>
          <w:iCs/>
          <w:sz w:val="20"/>
          <w:szCs w:val="20"/>
          <w:lang w:val="en-US"/>
        </w:rPr>
        <w:t xml:space="preserve"> and </w:t>
      </w:r>
      <w:proofErr w:type="spellStart"/>
      <w:r w:rsidRPr="009D59E8">
        <w:rPr>
          <w:rFonts w:ascii="Arial" w:hAnsi="Arial" w:cs="Arial"/>
          <w:i/>
          <w:iCs/>
          <w:sz w:val="20"/>
          <w:szCs w:val="20"/>
          <w:lang w:val="en-US"/>
        </w:rPr>
        <w:t>Solimena</w:t>
      </w:r>
      <w:proofErr w:type="spellEnd"/>
      <w:r w:rsidRPr="009D59E8">
        <w:rPr>
          <w:rFonts w:ascii="Arial" w:hAnsi="Arial" w:cs="Arial"/>
          <w:i/>
          <w:iCs/>
          <w:sz w:val="20"/>
          <w:szCs w:val="20"/>
          <w:lang w:val="en-US"/>
        </w:rPr>
        <w:t xml:space="preserve"> (2008), licensed under CC BY-SA 3.0.</w:t>
      </w:r>
    </w:p>
    <w:p w14:paraId="67AA154F" w14:textId="77777777" w:rsidR="009D59E8" w:rsidRDefault="009D59E8" w:rsidP="009D59E8">
      <w:pPr>
        <w:spacing w:before="100" w:beforeAutospacing="1" w:after="100" w:afterAutospacing="1" w:line="360" w:lineRule="auto"/>
        <w:rPr>
          <w:rFonts w:ascii="Arial" w:hAnsi="Arial" w:cs="Arial"/>
          <w:sz w:val="22"/>
          <w:szCs w:val="22"/>
          <w:lang w:val="en-US"/>
        </w:rPr>
      </w:pPr>
      <w:r w:rsidRPr="009D59E8">
        <w:rPr>
          <w:rFonts w:ascii="Arial" w:hAnsi="Arial" w:cs="Arial"/>
          <w:sz w:val="22"/>
          <w:szCs w:val="22"/>
          <w:lang w:val="en-US"/>
        </w:rPr>
        <w:t xml:space="preserve">Regular monitoring can provide an early warning of </w:t>
      </w:r>
      <w:proofErr w:type="spellStart"/>
      <w:r w:rsidRPr="009D59E8">
        <w:rPr>
          <w:rFonts w:ascii="Arial" w:hAnsi="Arial" w:cs="Arial"/>
          <w:sz w:val="22"/>
          <w:szCs w:val="22"/>
          <w:lang w:val="en-US"/>
        </w:rPr>
        <w:t>hypoglycaemia</w:t>
      </w:r>
      <w:proofErr w:type="spellEnd"/>
      <w:r w:rsidRPr="009D59E8">
        <w:rPr>
          <w:rFonts w:ascii="Arial" w:hAnsi="Arial" w:cs="Arial"/>
          <w:sz w:val="22"/>
          <w:szCs w:val="22"/>
          <w:lang w:val="en-US"/>
        </w:rPr>
        <w:t xml:space="preserve"> or ongoing </w:t>
      </w:r>
      <w:proofErr w:type="spellStart"/>
      <w:r w:rsidRPr="009D59E8">
        <w:rPr>
          <w:rFonts w:ascii="Arial" w:hAnsi="Arial" w:cs="Arial"/>
          <w:sz w:val="22"/>
          <w:szCs w:val="22"/>
          <w:lang w:val="en-US"/>
        </w:rPr>
        <w:t>hyperglycaemia</w:t>
      </w:r>
      <w:proofErr w:type="spellEnd"/>
      <w:r w:rsidRPr="009D59E8">
        <w:rPr>
          <w:rFonts w:ascii="Arial" w:hAnsi="Arial" w:cs="Arial"/>
          <w:sz w:val="22"/>
          <w:szCs w:val="22"/>
          <w:lang w:val="en-US"/>
        </w:rPr>
        <w:t>. It can also help clinicians make safe adjustments to medication and set blood glucose targets that reflect the patient’s individual needs (NICE, 2026).</w:t>
      </w:r>
    </w:p>
    <w:p w14:paraId="74E52F75" w14:textId="026AFCCD" w:rsidR="002B4014" w:rsidRDefault="009D59E8" w:rsidP="009D59E8">
      <w:pPr>
        <w:spacing w:before="100" w:beforeAutospacing="1" w:after="100" w:afterAutospacing="1" w:line="360" w:lineRule="auto"/>
        <w:rPr>
          <w:rFonts w:ascii="Arial" w:hAnsi="Arial" w:cs="Arial"/>
          <w:sz w:val="22"/>
          <w:szCs w:val="22"/>
          <w:lang w:val="en-US"/>
        </w:rPr>
      </w:pPr>
      <w:r w:rsidRPr="009D59E8">
        <w:rPr>
          <w:rFonts w:ascii="Arial" w:hAnsi="Arial" w:cs="Arial"/>
          <w:sz w:val="22"/>
          <w:szCs w:val="22"/>
          <w:lang w:val="en-US"/>
        </w:rPr>
        <w:t xml:space="preserve">In the GP surgery described in this case study, the practice nurse can review monitoring records with patients, explain any patterns and agree with suitable actions as part </w:t>
      </w:r>
      <w:r w:rsidR="00975CD5" w:rsidRPr="00975CD5">
        <w:rPr>
          <w:rFonts w:ascii="Arial" w:hAnsi="Arial" w:cs="Arial"/>
          <w:sz w:val="22"/>
          <w:szCs w:val="22"/>
          <w:lang w:val="en-US"/>
        </w:rPr>
        <w:t>of each patient’s</w:t>
      </w:r>
      <w:r w:rsidR="00975CD5">
        <w:rPr>
          <w:rFonts w:ascii="Arial" w:hAnsi="Arial" w:cs="Arial"/>
          <w:sz w:val="22"/>
          <w:szCs w:val="22"/>
          <w:lang w:val="en-US"/>
        </w:rPr>
        <w:t xml:space="preserve"> </w:t>
      </w:r>
      <w:r w:rsidRPr="009D59E8">
        <w:rPr>
          <w:rFonts w:ascii="Arial" w:hAnsi="Arial" w:cs="Arial"/>
          <w:sz w:val="22"/>
          <w:szCs w:val="22"/>
          <w:lang w:val="en-US"/>
        </w:rPr>
        <w:t xml:space="preserve">care plans. This can help patients make informed decisions, communicate concerns and feel more confident in managing their condition. Monitoring should be adapted </w:t>
      </w:r>
      <w:r w:rsidRPr="009D59E8">
        <w:rPr>
          <w:rFonts w:ascii="Arial" w:hAnsi="Arial" w:cs="Arial"/>
          <w:sz w:val="22"/>
          <w:szCs w:val="22"/>
          <w:lang w:val="en-US"/>
        </w:rPr>
        <w:lastRenderedPageBreak/>
        <w:t>to each patient so that it provides useful information without becoming an unnecessary burden or causing additional anxiety.</w:t>
      </w:r>
    </w:p>
    <w:p w14:paraId="06628B21" w14:textId="77777777" w:rsidR="002B4014" w:rsidRDefault="002B4014" w:rsidP="005C55C1">
      <w:pPr>
        <w:spacing w:before="100" w:beforeAutospacing="1" w:after="100" w:afterAutospacing="1" w:line="360" w:lineRule="auto"/>
        <w:rPr>
          <w:rFonts w:ascii="Arial" w:hAnsi="Arial" w:cs="Arial"/>
          <w:sz w:val="22"/>
          <w:szCs w:val="22"/>
          <w:lang w:val="en-US"/>
        </w:rPr>
      </w:pPr>
    </w:p>
    <w:p w14:paraId="73794EF1" w14:textId="76A86E28" w:rsidR="002B4014" w:rsidRPr="00BC2C22" w:rsidRDefault="002B4014" w:rsidP="002B4014">
      <w:pPr>
        <w:pStyle w:val="Heading1"/>
        <w:rPr>
          <w:rFonts w:ascii="Arial" w:hAnsi="Arial" w:cs="Arial"/>
          <w:sz w:val="32"/>
          <w:szCs w:val="32"/>
          <w:lang w:val="en-US"/>
        </w:rPr>
      </w:pPr>
      <w:bookmarkStart w:id="16" w:name="_Toc238820885"/>
      <w:r w:rsidRPr="00BC2C22">
        <w:rPr>
          <w:rFonts w:ascii="Arial" w:hAnsi="Arial" w:cs="Arial"/>
          <w:sz w:val="32"/>
          <w:szCs w:val="32"/>
          <w:lang w:val="en-US"/>
        </w:rPr>
        <w:t>Evidence-Based Lifestyle Recommendations</w:t>
      </w:r>
      <w:bookmarkEnd w:id="16"/>
    </w:p>
    <w:p w14:paraId="0FD674CE" w14:textId="77777777" w:rsidR="002B4014" w:rsidRPr="00BC2C22" w:rsidRDefault="002B4014" w:rsidP="002B4014">
      <w:pPr>
        <w:pStyle w:val="Heading2"/>
        <w:numPr>
          <w:ilvl w:val="0"/>
          <w:numId w:val="0"/>
        </w:numPr>
        <w:rPr>
          <w:rFonts w:ascii="Arial" w:hAnsi="Arial" w:cs="Arial"/>
          <w:sz w:val="28"/>
          <w:szCs w:val="28"/>
          <w:lang w:val="en-US"/>
        </w:rPr>
      </w:pPr>
      <w:bookmarkStart w:id="17" w:name="_Toc238820886"/>
      <w:r w:rsidRPr="00BC2C22">
        <w:rPr>
          <w:rFonts w:ascii="Arial" w:hAnsi="Arial" w:cs="Arial"/>
          <w:sz w:val="28"/>
          <w:szCs w:val="28"/>
          <w:lang w:val="en-US"/>
        </w:rPr>
        <w:t>5a. Diet and Blood Glucose Management</w:t>
      </w:r>
      <w:bookmarkEnd w:id="17"/>
    </w:p>
    <w:p w14:paraId="6F6B3289" w14:textId="5AAFCF89" w:rsidR="009D59E8" w:rsidRPr="009D59E8" w:rsidRDefault="009D59E8" w:rsidP="009D59E8">
      <w:pPr>
        <w:spacing w:before="100" w:beforeAutospacing="1" w:after="100" w:afterAutospacing="1" w:line="360" w:lineRule="auto"/>
        <w:rPr>
          <w:rFonts w:ascii="Arial" w:hAnsi="Arial" w:cs="Arial"/>
          <w:sz w:val="22"/>
          <w:szCs w:val="22"/>
          <w:lang w:val="en-US"/>
        </w:rPr>
      </w:pPr>
      <w:r w:rsidRPr="009D59E8">
        <w:rPr>
          <w:rFonts w:ascii="Arial" w:hAnsi="Arial" w:cs="Arial"/>
          <w:sz w:val="22"/>
          <w:szCs w:val="22"/>
          <w:lang w:val="en-US"/>
        </w:rPr>
        <w:t>Dietary advice should be adapted to each patient’s needs, culture and personal circumstances. It should focus on realistic changes rather than a single restrictive “diabetic diet”. NICE (2026) recommends choosing high-</w:t>
      </w:r>
      <w:proofErr w:type="spellStart"/>
      <w:r w:rsidRPr="009D59E8">
        <w:rPr>
          <w:rFonts w:ascii="Arial" w:hAnsi="Arial" w:cs="Arial"/>
          <w:sz w:val="22"/>
          <w:szCs w:val="22"/>
          <w:lang w:val="en-US"/>
        </w:rPr>
        <w:t>fibre</w:t>
      </w:r>
      <w:proofErr w:type="spellEnd"/>
      <w:r w:rsidRPr="009D59E8">
        <w:rPr>
          <w:rFonts w:ascii="Arial" w:hAnsi="Arial" w:cs="Arial"/>
          <w:sz w:val="22"/>
          <w:szCs w:val="22"/>
          <w:lang w:val="en-US"/>
        </w:rPr>
        <w:t xml:space="preserve"> carbohydrates with a low </w:t>
      </w:r>
      <w:proofErr w:type="spellStart"/>
      <w:r w:rsidRPr="009D59E8">
        <w:rPr>
          <w:rFonts w:ascii="Arial" w:hAnsi="Arial" w:cs="Arial"/>
          <w:sz w:val="22"/>
          <w:szCs w:val="22"/>
          <w:lang w:val="en-US"/>
        </w:rPr>
        <w:t>glycaemic</w:t>
      </w:r>
      <w:proofErr w:type="spellEnd"/>
      <w:r w:rsidRPr="009D59E8">
        <w:rPr>
          <w:rFonts w:ascii="Arial" w:hAnsi="Arial" w:cs="Arial"/>
          <w:sz w:val="22"/>
          <w:szCs w:val="22"/>
          <w:lang w:val="en-US"/>
        </w:rPr>
        <w:t xml:space="preserve"> index, such as vegetables, some fruits, whole grains and pulses. Patients should also be encouraged to reduce sugary drinks, added sugar and refined carbohydrates because these can cause blood glucose levels to rise quickly. Managing portion sizes and total energy intake can support weight loss where appropriate, which may improve insulin sensitivity.</w:t>
      </w:r>
    </w:p>
    <w:p w14:paraId="428696C0" w14:textId="25B995A9" w:rsidR="002B4014" w:rsidRPr="002B4014" w:rsidRDefault="009D59E8" w:rsidP="009D59E8">
      <w:pPr>
        <w:spacing w:before="100" w:beforeAutospacing="1" w:after="100" w:afterAutospacing="1" w:line="360" w:lineRule="auto"/>
        <w:rPr>
          <w:rFonts w:ascii="Arial" w:hAnsi="Arial" w:cs="Arial"/>
          <w:sz w:val="22"/>
          <w:szCs w:val="22"/>
          <w:lang w:val="en-US"/>
        </w:rPr>
      </w:pPr>
      <w:r w:rsidRPr="009D59E8">
        <w:rPr>
          <w:rFonts w:ascii="Arial" w:hAnsi="Arial" w:cs="Arial"/>
          <w:sz w:val="22"/>
          <w:szCs w:val="22"/>
          <w:lang w:val="en-US"/>
        </w:rPr>
        <w:t xml:space="preserve">A Mediterranean-style diet may also be beneficial. This approach includes vegetables, pulses, whole grains, nuts, fish and unsaturated fats. A meta-analysis of </w:t>
      </w:r>
      <w:proofErr w:type="spellStart"/>
      <w:r w:rsidRPr="009D59E8">
        <w:rPr>
          <w:rFonts w:ascii="Arial" w:hAnsi="Arial" w:cs="Arial"/>
          <w:sz w:val="22"/>
          <w:szCs w:val="22"/>
          <w:lang w:val="en-US"/>
        </w:rPr>
        <w:t>randomised</w:t>
      </w:r>
      <w:proofErr w:type="spellEnd"/>
      <w:r w:rsidRPr="009D59E8">
        <w:rPr>
          <w:rFonts w:ascii="Arial" w:hAnsi="Arial" w:cs="Arial"/>
          <w:sz w:val="22"/>
          <w:szCs w:val="22"/>
          <w:lang w:val="en-US"/>
        </w:rPr>
        <w:t xml:space="preserve"> controlled trials found modest improvements in HbA1c, fasting blood glucose, body mass index and markers of cardiovascular risk in adults with Type 2 diabetes (Wu et al., 2025). The practice nurse should work with each patient to </w:t>
      </w:r>
      <w:proofErr w:type="gramStart"/>
      <w:r w:rsidRPr="009D59E8">
        <w:rPr>
          <w:rFonts w:ascii="Arial" w:hAnsi="Arial" w:cs="Arial"/>
          <w:sz w:val="22"/>
          <w:szCs w:val="22"/>
          <w:lang w:val="en-US"/>
        </w:rPr>
        <w:t>agree</w:t>
      </w:r>
      <w:proofErr w:type="gramEnd"/>
      <w:r w:rsidRPr="009D59E8">
        <w:rPr>
          <w:rFonts w:ascii="Arial" w:hAnsi="Arial" w:cs="Arial"/>
          <w:sz w:val="22"/>
          <w:szCs w:val="22"/>
          <w:lang w:val="en-US"/>
        </w:rPr>
        <w:t xml:space="preserve"> realistic dietary changes and consider referral to a dietitian when additional specialist support is needed.</w:t>
      </w:r>
    </w:p>
    <w:p w14:paraId="40521319" w14:textId="77777777" w:rsidR="002B4014" w:rsidRPr="00BC2C22" w:rsidRDefault="002B4014" w:rsidP="002B4014">
      <w:pPr>
        <w:pStyle w:val="Heading2"/>
        <w:numPr>
          <w:ilvl w:val="0"/>
          <w:numId w:val="0"/>
        </w:numPr>
        <w:rPr>
          <w:rFonts w:ascii="Arial" w:hAnsi="Arial" w:cs="Arial"/>
          <w:sz w:val="28"/>
          <w:szCs w:val="28"/>
          <w:lang w:val="en-US"/>
        </w:rPr>
      </w:pPr>
      <w:bookmarkStart w:id="18" w:name="_Toc238820887"/>
      <w:r w:rsidRPr="00BC2C22">
        <w:rPr>
          <w:rFonts w:ascii="Arial" w:hAnsi="Arial" w:cs="Arial"/>
          <w:sz w:val="28"/>
          <w:szCs w:val="28"/>
          <w:lang w:val="en-US"/>
        </w:rPr>
        <w:t>5b. Role of Physical Activity</w:t>
      </w:r>
      <w:bookmarkEnd w:id="18"/>
    </w:p>
    <w:p w14:paraId="3EA44041" w14:textId="7DA01E12" w:rsidR="009D59E8" w:rsidRPr="009D59E8" w:rsidRDefault="009D59E8" w:rsidP="009D59E8">
      <w:pPr>
        <w:spacing w:before="100" w:beforeAutospacing="1" w:after="100" w:afterAutospacing="1" w:line="360" w:lineRule="auto"/>
        <w:rPr>
          <w:rFonts w:ascii="Arial" w:hAnsi="Arial" w:cs="Arial"/>
          <w:sz w:val="22"/>
          <w:szCs w:val="22"/>
          <w:lang w:val="en-US"/>
        </w:rPr>
      </w:pPr>
      <w:r w:rsidRPr="009D59E8">
        <w:rPr>
          <w:rFonts w:ascii="Arial" w:hAnsi="Arial" w:cs="Arial"/>
          <w:sz w:val="22"/>
          <w:szCs w:val="22"/>
          <w:lang w:val="en-US"/>
        </w:rPr>
        <w:t>During physical activity, skeletal muscles use more glucose for energy. Regular exercise also improves the body’s response to insulin, which can help lower blood glucose and HbA1c levels (Diabetes UK, 2024). UK guidance recommends at least 150 minutes of moderate-intensity aerobic activity or 75 minutes of vigorous activity each week. Muscle-strengthening activities should also be completed on at least two days each week (Department of Health and Social Care, 2026).</w:t>
      </w:r>
    </w:p>
    <w:p w14:paraId="2E4D5ABE" w14:textId="3E41CE9C" w:rsidR="002B4014" w:rsidRPr="002B4014" w:rsidRDefault="009D59E8" w:rsidP="009D59E8">
      <w:pPr>
        <w:spacing w:before="100" w:beforeAutospacing="1" w:after="100" w:afterAutospacing="1" w:line="360" w:lineRule="auto"/>
        <w:rPr>
          <w:rFonts w:ascii="Arial" w:hAnsi="Arial" w:cs="Arial"/>
          <w:sz w:val="22"/>
          <w:szCs w:val="22"/>
          <w:lang w:val="en-US"/>
        </w:rPr>
      </w:pPr>
      <w:r w:rsidRPr="009D59E8">
        <w:rPr>
          <w:rFonts w:ascii="Arial" w:hAnsi="Arial" w:cs="Arial"/>
          <w:sz w:val="22"/>
          <w:szCs w:val="22"/>
          <w:lang w:val="en-US"/>
        </w:rPr>
        <w:t xml:space="preserve">Brisk walking, cycling and swimming are suitable forms of aerobic exercise. Resistance bands, weights and body-weight exercises can be used to improve muscle strength. Patients should also reduce long periods of sitting by moving regularly throughout the day. Physical activity should be introduced gradually and adapted to the person’s abilities, preferences and any diabetes-related complications. People who use insulin or </w:t>
      </w:r>
      <w:proofErr w:type="spellStart"/>
      <w:r w:rsidRPr="009D59E8">
        <w:rPr>
          <w:rFonts w:ascii="Arial" w:hAnsi="Arial" w:cs="Arial"/>
          <w:sz w:val="22"/>
          <w:szCs w:val="22"/>
          <w:lang w:val="en-US"/>
        </w:rPr>
        <w:t>sulphonylureas</w:t>
      </w:r>
      <w:proofErr w:type="spellEnd"/>
      <w:r w:rsidRPr="009D59E8">
        <w:rPr>
          <w:rFonts w:ascii="Arial" w:hAnsi="Arial" w:cs="Arial"/>
          <w:sz w:val="22"/>
          <w:szCs w:val="22"/>
          <w:lang w:val="en-US"/>
        </w:rPr>
        <w:t xml:space="preserve"> may need </w:t>
      </w:r>
      <w:r w:rsidRPr="009D59E8">
        <w:rPr>
          <w:rFonts w:ascii="Arial" w:hAnsi="Arial" w:cs="Arial"/>
          <w:sz w:val="22"/>
          <w:szCs w:val="22"/>
          <w:lang w:val="en-US"/>
        </w:rPr>
        <w:lastRenderedPageBreak/>
        <w:t xml:space="preserve">additional advice about blood glucose monitoring and preventing </w:t>
      </w:r>
      <w:proofErr w:type="spellStart"/>
      <w:r w:rsidRPr="009D59E8">
        <w:rPr>
          <w:rFonts w:ascii="Arial" w:hAnsi="Arial" w:cs="Arial"/>
          <w:sz w:val="22"/>
          <w:szCs w:val="22"/>
          <w:lang w:val="en-US"/>
        </w:rPr>
        <w:t>hypoglycaemia</w:t>
      </w:r>
      <w:proofErr w:type="spellEnd"/>
      <w:r w:rsidRPr="009D59E8">
        <w:rPr>
          <w:rFonts w:ascii="Arial" w:hAnsi="Arial" w:cs="Arial"/>
          <w:sz w:val="22"/>
          <w:szCs w:val="22"/>
          <w:lang w:val="en-US"/>
        </w:rPr>
        <w:t xml:space="preserve"> during or after exercise</w:t>
      </w:r>
      <w:r w:rsidR="002B4014" w:rsidRPr="002B4014">
        <w:rPr>
          <w:rFonts w:ascii="Arial" w:hAnsi="Arial" w:cs="Arial"/>
          <w:sz w:val="22"/>
          <w:szCs w:val="22"/>
          <w:lang w:val="en-US"/>
        </w:rPr>
        <w:t>.</w:t>
      </w:r>
    </w:p>
    <w:p w14:paraId="689EEB29" w14:textId="77777777" w:rsidR="002B4014" w:rsidRPr="00BC2C22" w:rsidRDefault="002B4014" w:rsidP="002B4014">
      <w:pPr>
        <w:pStyle w:val="Heading2"/>
        <w:numPr>
          <w:ilvl w:val="0"/>
          <w:numId w:val="0"/>
        </w:numPr>
        <w:rPr>
          <w:rFonts w:ascii="Arial" w:hAnsi="Arial" w:cs="Arial"/>
          <w:sz w:val="28"/>
          <w:szCs w:val="28"/>
          <w:lang w:val="en-US"/>
        </w:rPr>
      </w:pPr>
      <w:bookmarkStart w:id="19" w:name="_Toc238820888"/>
      <w:r w:rsidRPr="00BC2C22">
        <w:rPr>
          <w:rFonts w:ascii="Arial" w:hAnsi="Arial" w:cs="Arial"/>
          <w:sz w:val="28"/>
          <w:szCs w:val="28"/>
          <w:lang w:val="en-US"/>
        </w:rPr>
        <w:t>5c. Impact of Smoking and Smoking-Cessation Support</w:t>
      </w:r>
      <w:bookmarkEnd w:id="19"/>
    </w:p>
    <w:p w14:paraId="2021E373" w14:textId="531E48DB" w:rsidR="009D59E8" w:rsidRPr="009D59E8" w:rsidRDefault="009D59E8" w:rsidP="009D59E8">
      <w:pPr>
        <w:spacing w:before="100" w:beforeAutospacing="1" w:after="100" w:afterAutospacing="1" w:line="360" w:lineRule="auto"/>
        <w:rPr>
          <w:rFonts w:ascii="Arial" w:hAnsi="Arial" w:cs="Arial"/>
          <w:sz w:val="22"/>
          <w:szCs w:val="22"/>
          <w:lang w:val="en-US"/>
        </w:rPr>
      </w:pPr>
      <w:r w:rsidRPr="009D59E8">
        <w:rPr>
          <w:rFonts w:ascii="Arial" w:hAnsi="Arial" w:cs="Arial"/>
          <w:sz w:val="22"/>
          <w:szCs w:val="22"/>
          <w:lang w:val="en-US"/>
        </w:rPr>
        <w:t>Smoking can increase insulin resistance and make blood glucose more difficult to manage (NHS Scotland, 2020). It also adds to the cardiovascular risks already associated with diabetes and increases the likelihood of complications affecting the heart, circulation and other organs (Diabetes UK, n</w:t>
      </w:r>
      <w:r w:rsidR="00F5246B">
        <w:rPr>
          <w:rFonts w:ascii="Arial" w:hAnsi="Arial" w:cs="Arial"/>
          <w:sz w:val="22"/>
          <w:szCs w:val="22"/>
          <w:lang w:val="en-US"/>
        </w:rPr>
        <w:t xml:space="preserve">o </w:t>
      </w:r>
      <w:r w:rsidRPr="009D59E8">
        <w:rPr>
          <w:rFonts w:ascii="Arial" w:hAnsi="Arial" w:cs="Arial"/>
          <w:sz w:val="22"/>
          <w:szCs w:val="22"/>
          <w:lang w:val="en-US"/>
        </w:rPr>
        <w:t>d</w:t>
      </w:r>
      <w:r w:rsidR="00F5246B">
        <w:rPr>
          <w:rFonts w:ascii="Arial" w:hAnsi="Arial" w:cs="Arial"/>
          <w:sz w:val="22"/>
          <w:szCs w:val="22"/>
          <w:lang w:val="en-US"/>
        </w:rPr>
        <w:t>ate</w:t>
      </w:r>
      <w:r w:rsidR="00975CD5">
        <w:rPr>
          <w:rFonts w:ascii="Arial" w:hAnsi="Arial" w:cs="Arial"/>
          <w:sz w:val="22"/>
          <w:szCs w:val="22"/>
          <w:lang w:val="en-US"/>
        </w:rPr>
        <w:t xml:space="preserve"> a</w:t>
      </w:r>
      <w:r w:rsidRPr="009D59E8">
        <w:rPr>
          <w:rFonts w:ascii="Arial" w:hAnsi="Arial" w:cs="Arial"/>
          <w:sz w:val="22"/>
          <w:szCs w:val="22"/>
          <w:lang w:val="en-US"/>
        </w:rPr>
        <w:t>). Smoking cessation should therefore be included in the care plan of every patient who smokes.</w:t>
      </w:r>
    </w:p>
    <w:p w14:paraId="33B07051" w14:textId="175189BF" w:rsidR="002B4014" w:rsidRPr="002B4014" w:rsidRDefault="009D59E8" w:rsidP="009D59E8">
      <w:pPr>
        <w:spacing w:before="100" w:beforeAutospacing="1" w:after="100" w:afterAutospacing="1" w:line="360" w:lineRule="auto"/>
        <w:rPr>
          <w:rFonts w:ascii="Arial" w:hAnsi="Arial" w:cs="Arial"/>
          <w:sz w:val="22"/>
          <w:szCs w:val="22"/>
          <w:lang w:val="en-US"/>
        </w:rPr>
      </w:pPr>
      <w:r w:rsidRPr="009D59E8">
        <w:rPr>
          <w:rFonts w:ascii="Arial" w:hAnsi="Arial" w:cs="Arial"/>
          <w:sz w:val="22"/>
          <w:szCs w:val="22"/>
          <w:lang w:val="en-US"/>
        </w:rPr>
        <w:t xml:space="preserve">The practice nurse should discuss smoking in a supportive and </w:t>
      </w:r>
      <w:proofErr w:type="spellStart"/>
      <w:r w:rsidRPr="009D59E8">
        <w:rPr>
          <w:rFonts w:ascii="Arial" w:hAnsi="Arial" w:cs="Arial"/>
          <w:sz w:val="22"/>
          <w:szCs w:val="22"/>
          <w:lang w:val="en-US"/>
        </w:rPr>
        <w:t>non-judgemental</w:t>
      </w:r>
      <w:proofErr w:type="spellEnd"/>
      <w:r w:rsidRPr="009D59E8">
        <w:rPr>
          <w:rFonts w:ascii="Arial" w:hAnsi="Arial" w:cs="Arial"/>
          <w:sz w:val="22"/>
          <w:szCs w:val="22"/>
          <w:lang w:val="en-US"/>
        </w:rPr>
        <w:t xml:space="preserve"> way. This includes assessing the patient’s readiness to stop, explaining the health benefits and helping them choose a quit date when they feel prepared. Patients should be offered a referral to a local NHS Stop Smoking Service, which can provide </w:t>
      </w:r>
      <w:proofErr w:type="spellStart"/>
      <w:r w:rsidRPr="009D59E8">
        <w:rPr>
          <w:rFonts w:ascii="Arial" w:hAnsi="Arial" w:cs="Arial"/>
          <w:sz w:val="22"/>
          <w:szCs w:val="22"/>
          <w:lang w:val="en-US"/>
        </w:rPr>
        <w:t>behavioural</w:t>
      </w:r>
      <w:proofErr w:type="spellEnd"/>
      <w:r w:rsidRPr="009D59E8">
        <w:rPr>
          <w:rFonts w:ascii="Arial" w:hAnsi="Arial" w:cs="Arial"/>
          <w:sz w:val="22"/>
          <w:szCs w:val="22"/>
          <w:lang w:val="en-US"/>
        </w:rPr>
        <w:t xml:space="preserve"> support and advice about nicotine replacement therapy or suitable stop-smoking medication (NHS, </w:t>
      </w:r>
      <w:r w:rsidR="00F5246B" w:rsidRPr="00F5246B">
        <w:rPr>
          <w:rFonts w:ascii="Arial" w:hAnsi="Arial" w:cs="Arial"/>
          <w:sz w:val="22"/>
          <w:szCs w:val="22"/>
          <w:lang w:val="en-US"/>
        </w:rPr>
        <w:t>no date</w:t>
      </w:r>
      <w:r w:rsidRPr="009D59E8">
        <w:rPr>
          <w:rFonts w:ascii="Arial" w:hAnsi="Arial" w:cs="Arial"/>
          <w:sz w:val="22"/>
          <w:szCs w:val="22"/>
          <w:lang w:val="en-US"/>
        </w:rPr>
        <w:t>). Progress and blood glucose levels should be reviewed regularly because glucose patterns and medication needs may change after the patient stops smoking.</w:t>
      </w:r>
    </w:p>
    <w:p w14:paraId="12D1A6E6" w14:textId="77777777" w:rsidR="002B4014" w:rsidRPr="002B4014" w:rsidRDefault="002B4014" w:rsidP="002B4014">
      <w:pPr>
        <w:spacing w:before="100" w:beforeAutospacing="1" w:after="100" w:afterAutospacing="1" w:line="360" w:lineRule="auto"/>
        <w:rPr>
          <w:rFonts w:ascii="Arial" w:hAnsi="Arial" w:cs="Arial"/>
          <w:sz w:val="22"/>
          <w:szCs w:val="22"/>
          <w:lang w:val="en-US"/>
        </w:rPr>
      </w:pPr>
    </w:p>
    <w:p w14:paraId="0FFC865F" w14:textId="3E26EA8A" w:rsidR="002B4014" w:rsidRPr="00BC2C22" w:rsidRDefault="002B4014" w:rsidP="002B4014">
      <w:pPr>
        <w:pStyle w:val="Heading1"/>
        <w:rPr>
          <w:rFonts w:ascii="Arial" w:hAnsi="Arial" w:cs="Arial"/>
          <w:sz w:val="32"/>
          <w:szCs w:val="32"/>
          <w:lang w:val="en-US"/>
        </w:rPr>
      </w:pPr>
      <w:bookmarkStart w:id="20" w:name="_Toc238820889"/>
      <w:r w:rsidRPr="00BC2C22">
        <w:rPr>
          <w:rFonts w:ascii="Arial" w:hAnsi="Arial" w:cs="Arial"/>
          <w:sz w:val="32"/>
          <w:szCs w:val="32"/>
          <w:lang w:val="en-US"/>
        </w:rPr>
        <w:t>Conclusion</w:t>
      </w:r>
      <w:bookmarkEnd w:id="20"/>
    </w:p>
    <w:p w14:paraId="65BBA28E" w14:textId="77777777" w:rsidR="002B4014" w:rsidRPr="00BC2C22" w:rsidRDefault="002B4014" w:rsidP="002B4014">
      <w:pPr>
        <w:pStyle w:val="Heading2"/>
        <w:numPr>
          <w:ilvl w:val="0"/>
          <w:numId w:val="0"/>
        </w:numPr>
        <w:rPr>
          <w:rFonts w:ascii="Arial" w:hAnsi="Arial" w:cs="Arial"/>
          <w:sz w:val="28"/>
          <w:szCs w:val="28"/>
          <w:lang w:val="en-US"/>
        </w:rPr>
      </w:pPr>
      <w:bookmarkStart w:id="21" w:name="_Toc238820890"/>
      <w:r w:rsidRPr="00BC2C22">
        <w:rPr>
          <w:rFonts w:ascii="Arial" w:hAnsi="Arial" w:cs="Arial"/>
          <w:sz w:val="28"/>
          <w:szCs w:val="28"/>
          <w:lang w:val="en-US"/>
        </w:rPr>
        <w:t>6a. Summary of the Physiological Processes</w:t>
      </w:r>
      <w:bookmarkEnd w:id="21"/>
    </w:p>
    <w:p w14:paraId="51519CD9" w14:textId="3F59C3CB" w:rsidR="002B4014" w:rsidRPr="002B4014" w:rsidRDefault="00BC2C22" w:rsidP="002B4014">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Blood glucose is regulated through negative feedback involving the pancreas, liver, insulin and glucagon. Insulin supports glucose uptake and storage, while glucagon causes the liver to release glucose. In Type 2 diabetes, insulin resistance and reduced beta-cell function disrupt this balance. Cells also use glucose and oxygen to produce ATP through aerobic respiration.</w:t>
      </w:r>
    </w:p>
    <w:p w14:paraId="42FB15E9" w14:textId="77777777" w:rsidR="002B4014" w:rsidRPr="00BC2C22" w:rsidRDefault="002B4014" w:rsidP="002B4014">
      <w:pPr>
        <w:pStyle w:val="Heading2"/>
        <w:numPr>
          <w:ilvl w:val="0"/>
          <w:numId w:val="0"/>
        </w:numPr>
        <w:rPr>
          <w:rFonts w:ascii="Arial" w:hAnsi="Arial" w:cs="Arial"/>
          <w:sz w:val="28"/>
          <w:szCs w:val="28"/>
          <w:lang w:val="en-US"/>
        </w:rPr>
      </w:pPr>
      <w:bookmarkStart w:id="22" w:name="_Toc238820891"/>
      <w:r w:rsidRPr="00BC2C22">
        <w:rPr>
          <w:rFonts w:ascii="Arial" w:hAnsi="Arial" w:cs="Arial"/>
          <w:sz w:val="28"/>
          <w:szCs w:val="28"/>
          <w:lang w:val="en-US"/>
        </w:rPr>
        <w:t>6b. Relationship Between Monitoring, Lifestyle and Patient Outcomes</w:t>
      </w:r>
      <w:bookmarkEnd w:id="22"/>
    </w:p>
    <w:p w14:paraId="3366F585" w14:textId="4685A061" w:rsidR="002B4014" w:rsidRPr="002B4014" w:rsidRDefault="00BC2C22" w:rsidP="002B4014">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 xml:space="preserve">Finger-prick testing, HbA1c and continuous glucose monitoring provide information about immediate glucose levels, longer-term management and daily patterns. Reviewing results helps patients and professionals </w:t>
      </w:r>
      <w:proofErr w:type="spellStart"/>
      <w:r w:rsidRPr="00BC2C22">
        <w:rPr>
          <w:rFonts w:ascii="Arial" w:hAnsi="Arial" w:cs="Arial"/>
          <w:sz w:val="22"/>
          <w:szCs w:val="22"/>
          <w:lang w:val="en-US"/>
        </w:rPr>
        <w:t>recognise</w:t>
      </w:r>
      <w:proofErr w:type="spellEnd"/>
      <w:r w:rsidRPr="00BC2C22">
        <w:rPr>
          <w:rFonts w:ascii="Arial" w:hAnsi="Arial" w:cs="Arial"/>
          <w:sz w:val="22"/>
          <w:szCs w:val="22"/>
          <w:lang w:val="en-US"/>
        </w:rPr>
        <w:t xml:space="preserve"> </w:t>
      </w:r>
      <w:proofErr w:type="spellStart"/>
      <w:r w:rsidRPr="00BC2C22">
        <w:rPr>
          <w:rFonts w:ascii="Arial" w:hAnsi="Arial" w:cs="Arial"/>
          <w:sz w:val="22"/>
          <w:szCs w:val="22"/>
          <w:lang w:val="en-US"/>
        </w:rPr>
        <w:t>hyperglycaemia</w:t>
      </w:r>
      <w:proofErr w:type="spellEnd"/>
      <w:r w:rsidRPr="00BC2C22">
        <w:rPr>
          <w:rFonts w:ascii="Arial" w:hAnsi="Arial" w:cs="Arial"/>
          <w:sz w:val="22"/>
          <w:szCs w:val="22"/>
          <w:lang w:val="en-US"/>
        </w:rPr>
        <w:t xml:space="preserve">, </w:t>
      </w:r>
      <w:proofErr w:type="spellStart"/>
      <w:r w:rsidRPr="00BC2C22">
        <w:rPr>
          <w:rFonts w:ascii="Arial" w:hAnsi="Arial" w:cs="Arial"/>
          <w:sz w:val="22"/>
          <w:szCs w:val="22"/>
          <w:lang w:val="en-US"/>
        </w:rPr>
        <w:t>hypoglycaemia</w:t>
      </w:r>
      <w:proofErr w:type="spellEnd"/>
      <w:r w:rsidRPr="00BC2C22">
        <w:rPr>
          <w:rFonts w:ascii="Arial" w:hAnsi="Arial" w:cs="Arial"/>
          <w:sz w:val="22"/>
          <w:szCs w:val="22"/>
          <w:lang w:val="en-US"/>
        </w:rPr>
        <w:t xml:space="preserve"> and responses to food, activity or medication. This supports </w:t>
      </w:r>
      <w:proofErr w:type="spellStart"/>
      <w:r w:rsidRPr="00BC2C22">
        <w:rPr>
          <w:rFonts w:ascii="Arial" w:hAnsi="Arial" w:cs="Arial"/>
          <w:sz w:val="22"/>
          <w:szCs w:val="22"/>
          <w:lang w:val="en-US"/>
        </w:rPr>
        <w:t>individualised</w:t>
      </w:r>
      <w:proofErr w:type="spellEnd"/>
      <w:r w:rsidRPr="00BC2C22">
        <w:rPr>
          <w:rFonts w:ascii="Arial" w:hAnsi="Arial" w:cs="Arial"/>
          <w:sz w:val="22"/>
          <w:szCs w:val="22"/>
          <w:lang w:val="en-US"/>
        </w:rPr>
        <w:t xml:space="preserve"> care planning. Diet, regular physical activity and smoking cessation can also improve glucose management and cardiovascular health</w:t>
      </w:r>
      <w:r w:rsidR="002B4014" w:rsidRPr="002B4014">
        <w:rPr>
          <w:rFonts w:ascii="Arial" w:hAnsi="Arial" w:cs="Arial"/>
          <w:sz w:val="22"/>
          <w:szCs w:val="22"/>
          <w:lang w:val="en-US"/>
        </w:rPr>
        <w:t>.</w:t>
      </w:r>
    </w:p>
    <w:p w14:paraId="0FE5CF61" w14:textId="77777777" w:rsidR="002B4014" w:rsidRPr="00BC2C22" w:rsidRDefault="002B4014" w:rsidP="002B4014">
      <w:pPr>
        <w:pStyle w:val="Heading2"/>
        <w:numPr>
          <w:ilvl w:val="0"/>
          <w:numId w:val="0"/>
        </w:numPr>
        <w:rPr>
          <w:rFonts w:ascii="Arial" w:hAnsi="Arial" w:cs="Arial"/>
          <w:sz w:val="28"/>
          <w:szCs w:val="28"/>
          <w:lang w:val="en-US"/>
        </w:rPr>
      </w:pPr>
      <w:bookmarkStart w:id="23" w:name="_Toc238820892"/>
      <w:r w:rsidRPr="00BC2C22">
        <w:rPr>
          <w:rFonts w:ascii="Arial" w:hAnsi="Arial" w:cs="Arial"/>
          <w:sz w:val="28"/>
          <w:szCs w:val="28"/>
          <w:lang w:val="en-US"/>
        </w:rPr>
        <w:lastRenderedPageBreak/>
        <w:t>6c. Overall Message for Effective Type 2 Diabetes Management</w:t>
      </w:r>
      <w:bookmarkEnd w:id="23"/>
    </w:p>
    <w:p w14:paraId="7E516A77" w14:textId="70729838" w:rsidR="002B4014" w:rsidRPr="002B4014" w:rsidRDefault="00BC2C22" w:rsidP="002B4014">
      <w:pPr>
        <w:spacing w:before="100" w:beforeAutospacing="1" w:after="100" w:afterAutospacing="1" w:line="360" w:lineRule="auto"/>
        <w:rPr>
          <w:rFonts w:ascii="Arial" w:hAnsi="Arial" w:cs="Arial"/>
          <w:sz w:val="22"/>
          <w:szCs w:val="22"/>
          <w:lang w:val="en-US"/>
        </w:rPr>
      </w:pPr>
      <w:r w:rsidRPr="00BC2C22">
        <w:rPr>
          <w:rFonts w:ascii="Arial" w:hAnsi="Arial" w:cs="Arial"/>
          <w:sz w:val="22"/>
          <w:szCs w:val="22"/>
          <w:lang w:val="en-US"/>
        </w:rPr>
        <w:t>Medication is only one part of managing Type 2 diabetes. Person-centred education can help patients understand their condition, use monitoring results and make realistic lifestyle changes. Combining education, regular monitoring, professional support and active patient involvement can improve blood glucose management and reduce the risk of complications</w:t>
      </w:r>
      <w:r w:rsidR="002B4014" w:rsidRPr="002B4014">
        <w:rPr>
          <w:rFonts w:ascii="Arial" w:hAnsi="Arial" w:cs="Arial"/>
          <w:sz w:val="22"/>
          <w:szCs w:val="22"/>
          <w:lang w:val="en-US"/>
        </w:rPr>
        <w:t>.</w:t>
      </w:r>
    </w:p>
    <w:p w14:paraId="68876A35" w14:textId="56193CA9" w:rsidR="002B4014" w:rsidRPr="00A840F1" w:rsidRDefault="002B4014" w:rsidP="002B4014">
      <w:pPr>
        <w:pStyle w:val="Heading1"/>
        <w:numPr>
          <w:ilvl w:val="0"/>
          <w:numId w:val="0"/>
        </w:numPr>
        <w:ind w:left="432" w:hanging="432"/>
        <w:rPr>
          <w:rFonts w:ascii="Arial" w:hAnsi="Arial" w:cs="Arial"/>
          <w:sz w:val="22"/>
          <w:szCs w:val="22"/>
          <w:lang w:val="en-US"/>
        </w:rPr>
      </w:pPr>
      <w:r>
        <w:rPr>
          <w:rFonts w:ascii="Arial" w:hAnsi="Arial" w:cs="Arial"/>
          <w:sz w:val="22"/>
          <w:szCs w:val="22"/>
          <w:lang w:val="en-US"/>
        </w:rPr>
        <w:br w:type="page"/>
      </w:r>
      <w:bookmarkStart w:id="24" w:name="_Toc238820893"/>
      <w:r w:rsidRPr="00A840F1">
        <w:rPr>
          <w:rFonts w:ascii="Arial" w:hAnsi="Arial" w:cs="Arial"/>
          <w:lang w:val="en-US"/>
        </w:rPr>
        <w:lastRenderedPageBreak/>
        <w:t>Reference List</w:t>
      </w:r>
      <w:bookmarkEnd w:id="24"/>
    </w:p>
    <w:p w14:paraId="2B3C0736"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Betts, J.G., Young, K.A., Wise, J.A., Johnson, E., Poe, B., Kruse, D.H., Korol, O., Johnson, J.E., Womble, M. and </w:t>
      </w:r>
      <w:proofErr w:type="spellStart"/>
      <w:r w:rsidRPr="00EB2CEC">
        <w:rPr>
          <w:rFonts w:ascii="Arial" w:eastAsia="Times New Roman" w:hAnsi="Arial" w:cs="Arial"/>
          <w:kern w:val="0"/>
          <w:sz w:val="22"/>
          <w:szCs w:val="22"/>
          <w:lang w:eastAsia="en-GB"/>
          <w14:ligatures w14:val="none"/>
        </w:rPr>
        <w:t>DeSaix</w:t>
      </w:r>
      <w:proofErr w:type="spellEnd"/>
      <w:r w:rsidRPr="00EB2CEC">
        <w:rPr>
          <w:rFonts w:ascii="Arial" w:eastAsia="Times New Roman" w:hAnsi="Arial" w:cs="Arial"/>
          <w:kern w:val="0"/>
          <w:sz w:val="22"/>
          <w:szCs w:val="22"/>
          <w:lang w:eastAsia="en-GB"/>
          <w14:ligatures w14:val="none"/>
        </w:rPr>
        <w:t xml:space="preserve">, P. (2022) </w:t>
      </w:r>
      <w:r w:rsidRPr="00EB2CEC">
        <w:rPr>
          <w:rFonts w:ascii="Arial" w:eastAsia="Times New Roman" w:hAnsi="Arial" w:cs="Arial"/>
          <w:i/>
          <w:iCs/>
          <w:kern w:val="0"/>
          <w:sz w:val="22"/>
          <w:szCs w:val="22"/>
          <w:lang w:eastAsia="en-GB"/>
          <w14:ligatures w14:val="none"/>
        </w:rPr>
        <w:t>Anatomy and physiology 2e</w:t>
      </w:r>
      <w:r w:rsidRPr="00EB2CEC">
        <w:rPr>
          <w:rFonts w:ascii="Arial" w:eastAsia="Times New Roman" w:hAnsi="Arial" w:cs="Arial"/>
          <w:kern w:val="0"/>
          <w:sz w:val="22"/>
          <w:szCs w:val="22"/>
          <w:lang w:eastAsia="en-GB"/>
          <w14:ligatures w14:val="none"/>
        </w:rPr>
        <w:t xml:space="preserve">. OpenStax. Available at: </w:t>
      </w:r>
      <w:hyperlink r:id="rId13" w:history="1">
        <w:r w:rsidRPr="00EB2CEC">
          <w:rPr>
            <w:rFonts w:ascii="Arial" w:eastAsia="Times New Roman" w:hAnsi="Arial" w:cs="Arial"/>
            <w:color w:val="0000FF"/>
            <w:kern w:val="0"/>
            <w:sz w:val="22"/>
            <w:szCs w:val="22"/>
            <w:u w:val="single"/>
            <w:lang w:eastAsia="en-GB"/>
            <w14:ligatures w14:val="none"/>
          </w:rPr>
          <w:t>https://openstax.org/books/anatomy-and-physiology-2e/pages/24-2-carbohydrate-metabolism</w:t>
        </w:r>
      </w:hyperlink>
      <w:r w:rsidRPr="00EB2CEC">
        <w:rPr>
          <w:rFonts w:ascii="Arial" w:eastAsia="Times New Roman" w:hAnsi="Arial" w:cs="Arial"/>
          <w:kern w:val="0"/>
          <w:sz w:val="22"/>
          <w:szCs w:val="22"/>
          <w:lang w:eastAsia="en-GB"/>
          <w14:ligatures w14:val="none"/>
        </w:rPr>
        <w:t xml:space="preserve"> (Accessed: 16 August 2026).</w:t>
      </w:r>
    </w:p>
    <w:p w14:paraId="38ED6B13"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Department of Health and Social Care (2026) </w:t>
      </w:r>
      <w:r w:rsidRPr="00EB2CEC">
        <w:rPr>
          <w:rFonts w:ascii="Arial" w:eastAsia="Times New Roman" w:hAnsi="Arial" w:cs="Arial"/>
          <w:i/>
          <w:iCs/>
          <w:kern w:val="0"/>
          <w:sz w:val="22"/>
          <w:szCs w:val="22"/>
          <w:lang w:eastAsia="en-GB"/>
          <w14:ligatures w14:val="none"/>
        </w:rPr>
        <w:t>UK Chief Medical Officers’ physical activity guidelines</w:t>
      </w:r>
      <w:r w:rsidRPr="00EB2CEC">
        <w:rPr>
          <w:rFonts w:ascii="Arial" w:eastAsia="Times New Roman" w:hAnsi="Arial" w:cs="Arial"/>
          <w:kern w:val="0"/>
          <w:sz w:val="22"/>
          <w:szCs w:val="22"/>
          <w:lang w:eastAsia="en-GB"/>
          <w14:ligatures w14:val="none"/>
        </w:rPr>
        <w:t xml:space="preserve">. Available at: </w:t>
      </w:r>
      <w:hyperlink r:id="rId14" w:history="1">
        <w:r w:rsidRPr="00EB2CEC">
          <w:rPr>
            <w:rFonts w:ascii="Arial" w:eastAsia="Times New Roman" w:hAnsi="Arial" w:cs="Arial"/>
            <w:color w:val="0000FF"/>
            <w:kern w:val="0"/>
            <w:sz w:val="22"/>
            <w:szCs w:val="22"/>
            <w:u w:val="single"/>
            <w:lang w:eastAsia="en-GB"/>
            <w14:ligatures w14:val="none"/>
          </w:rPr>
          <w:t>https://www.gov.uk/government/publications/physical-activity-guidelines-uk-chief-medical-officers-report/uk-chief-medical-officers-physical-activity-guidelines</w:t>
        </w:r>
      </w:hyperlink>
      <w:r w:rsidRPr="00EB2CEC">
        <w:rPr>
          <w:rFonts w:ascii="Arial" w:eastAsia="Times New Roman" w:hAnsi="Arial" w:cs="Arial"/>
          <w:kern w:val="0"/>
          <w:sz w:val="22"/>
          <w:szCs w:val="22"/>
          <w:lang w:eastAsia="en-GB"/>
          <w14:ligatures w14:val="none"/>
        </w:rPr>
        <w:t xml:space="preserve"> (Accessed: 16 August 2026).</w:t>
      </w:r>
    </w:p>
    <w:p w14:paraId="0731842F"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Diabetes UK (no date a) </w:t>
      </w:r>
      <w:r w:rsidRPr="00EB2CEC">
        <w:rPr>
          <w:rFonts w:ascii="Arial" w:eastAsia="Times New Roman" w:hAnsi="Arial" w:cs="Arial"/>
          <w:i/>
          <w:iCs/>
          <w:kern w:val="0"/>
          <w:sz w:val="22"/>
          <w:szCs w:val="22"/>
          <w:lang w:eastAsia="en-GB"/>
          <w14:ligatures w14:val="none"/>
        </w:rPr>
        <w:t>Help with giving up smoking</w:t>
      </w:r>
      <w:r w:rsidRPr="00EB2CEC">
        <w:rPr>
          <w:rFonts w:ascii="Arial" w:eastAsia="Times New Roman" w:hAnsi="Arial" w:cs="Arial"/>
          <w:kern w:val="0"/>
          <w:sz w:val="22"/>
          <w:szCs w:val="22"/>
          <w:lang w:eastAsia="en-GB"/>
          <w14:ligatures w14:val="none"/>
        </w:rPr>
        <w:t xml:space="preserve">. Available at: </w:t>
      </w:r>
      <w:hyperlink r:id="rId15" w:history="1">
        <w:r w:rsidRPr="00EB2CEC">
          <w:rPr>
            <w:rFonts w:ascii="Arial" w:eastAsia="Times New Roman" w:hAnsi="Arial" w:cs="Arial"/>
            <w:color w:val="0000FF"/>
            <w:kern w:val="0"/>
            <w:sz w:val="22"/>
            <w:szCs w:val="22"/>
            <w:u w:val="single"/>
            <w:lang w:eastAsia="en-GB"/>
            <w14:ligatures w14:val="none"/>
          </w:rPr>
          <w:t>https://www.diabetes.org.uk/living-with-diabetes/life-with-diabetes/help-with-giving-up-smoking</w:t>
        </w:r>
      </w:hyperlink>
      <w:r w:rsidRPr="00EB2CEC">
        <w:rPr>
          <w:rFonts w:ascii="Arial" w:eastAsia="Times New Roman" w:hAnsi="Arial" w:cs="Arial"/>
          <w:kern w:val="0"/>
          <w:sz w:val="22"/>
          <w:szCs w:val="22"/>
          <w:lang w:eastAsia="en-GB"/>
          <w14:ligatures w14:val="none"/>
        </w:rPr>
        <w:t xml:space="preserve"> (Accessed: 16 August 2026).</w:t>
      </w:r>
    </w:p>
    <w:p w14:paraId="11A8AF1B"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Diabetes UK (no date b) </w:t>
      </w:r>
      <w:r w:rsidRPr="00EB2CEC">
        <w:rPr>
          <w:rFonts w:ascii="Arial" w:eastAsia="Times New Roman" w:hAnsi="Arial" w:cs="Arial"/>
          <w:i/>
          <w:iCs/>
          <w:kern w:val="0"/>
          <w:sz w:val="22"/>
          <w:szCs w:val="22"/>
          <w:lang w:eastAsia="en-GB"/>
          <w14:ligatures w14:val="none"/>
        </w:rPr>
        <w:t>What causes type 2 diabetes?</w:t>
      </w:r>
      <w:r w:rsidRPr="00EB2CEC">
        <w:rPr>
          <w:rFonts w:ascii="Arial" w:eastAsia="Times New Roman" w:hAnsi="Arial" w:cs="Arial"/>
          <w:kern w:val="0"/>
          <w:sz w:val="22"/>
          <w:szCs w:val="22"/>
          <w:lang w:eastAsia="en-GB"/>
          <w14:ligatures w14:val="none"/>
        </w:rPr>
        <w:t xml:space="preserve"> Available at: </w:t>
      </w:r>
      <w:hyperlink r:id="rId16" w:history="1">
        <w:r w:rsidRPr="00EB2CEC">
          <w:rPr>
            <w:rFonts w:ascii="Arial" w:eastAsia="Times New Roman" w:hAnsi="Arial" w:cs="Arial"/>
            <w:color w:val="0000FF"/>
            <w:kern w:val="0"/>
            <w:sz w:val="22"/>
            <w:szCs w:val="22"/>
            <w:u w:val="single"/>
            <w:lang w:eastAsia="en-GB"/>
            <w14:ligatures w14:val="none"/>
          </w:rPr>
          <w:t>https://www.diabetes.org.uk/about-diabetes/type-2-diabetes/causes</w:t>
        </w:r>
      </w:hyperlink>
      <w:r w:rsidRPr="00EB2CEC">
        <w:rPr>
          <w:rFonts w:ascii="Arial" w:eastAsia="Times New Roman" w:hAnsi="Arial" w:cs="Arial"/>
          <w:kern w:val="0"/>
          <w:sz w:val="22"/>
          <w:szCs w:val="22"/>
          <w:lang w:eastAsia="en-GB"/>
          <w14:ligatures w14:val="none"/>
        </w:rPr>
        <w:t xml:space="preserve"> (Accessed: 16 August 2026).</w:t>
      </w:r>
    </w:p>
    <w:p w14:paraId="0F5262D9"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Diabetes UK (2024) </w:t>
      </w:r>
      <w:r w:rsidRPr="00EB2CEC">
        <w:rPr>
          <w:rFonts w:ascii="Arial" w:eastAsia="Times New Roman" w:hAnsi="Arial" w:cs="Arial"/>
          <w:i/>
          <w:iCs/>
          <w:kern w:val="0"/>
          <w:sz w:val="22"/>
          <w:szCs w:val="22"/>
          <w:lang w:eastAsia="en-GB"/>
          <w14:ligatures w14:val="none"/>
        </w:rPr>
        <w:t>Does exercise lower blood sugar levels?</w:t>
      </w:r>
      <w:r w:rsidRPr="00EB2CEC">
        <w:rPr>
          <w:rFonts w:ascii="Arial" w:eastAsia="Times New Roman" w:hAnsi="Arial" w:cs="Arial"/>
          <w:kern w:val="0"/>
          <w:sz w:val="22"/>
          <w:szCs w:val="22"/>
          <w:lang w:eastAsia="en-GB"/>
          <w14:ligatures w14:val="none"/>
        </w:rPr>
        <w:t xml:space="preserve"> Available at: </w:t>
      </w:r>
      <w:hyperlink r:id="rId17" w:history="1">
        <w:r w:rsidRPr="00EB2CEC">
          <w:rPr>
            <w:rFonts w:ascii="Arial" w:eastAsia="Times New Roman" w:hAnsi="Arial" w:cs="Arial"/>
            <w:color w:val="0000FF"/>
            <w:kern w:val="0"/>
            <w:sz w:val="22"/>
            <w:szCs w:val="22"/>
            <w:u w:val="single"/>
            <w:lang w:eastAsia="en-GB"/>
            <w14:ligatures w14:val="none"/>
          </w:rPr>
          <w:t>https://www.diabetes.org.uk/living-with-diabetes/exercise/blood-sugar-levels</w:t>
        </w:r>
      </w:hyperlink>
      <w:r w:rsidRPr="00EB2CEC">
        <w:rPr>
          <w:rFonts w:ascii="Arial" w:eastAsia="Times New Roman" w:hAnsi="Arial" w:cs="Arial"/>
          <w:kern w:val="0"/>
          <w:sz w:val="22"/>
          <w:szCs w:val="22"/>
          <w:lang w:eastAsia="en-GB"/>
          <w14:ligatures w14:val="none"/>
        </w:rPr>
        <w:t xml:space="preserve"> (Accessed: 16 August 2026).</w:t>
      </w:r>
    </w:p>
    <w:p w14:paraId="66A6CF9C"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Diabetes UK (2025) </w:t>
      </w:r>
      <w:r w:rsidRPr="00EB2CEC">
        <w:rPr>
          <w:rFonts w:ascii="Arial" w:eastAsia="Times New Roman" w:hAnsi="Arial" w:cs="Arial"/>
          <w:i/>
          <w:iCs/>
          <w:kern w:val="0"/>
          <w:sz w:val="22"/>
          <w:szCs w:val="22"/>
          <w:lang w:eastAsia="en-GB"/>
          <w14:ligatures w14:val="none"/>
        </w:rPr>
        <w:t>What are continuous glucose monitors?</w:t>
      </w:r>
      <w:r w:rsidRPr="00EB2CEC">
        <w:rPr>
          <w:rFonts w:ascii="Arial" w:eastAsia="Times New Roman" w:hAnsi="Arial" w:cs="Arial"/>
          <w:kern w:val="0"/>
          <w:sz w:val="22"/>
          <w:szCs w:val="22"/>
          <w:lang w:eastAsia="en-GB"/>
          <w14:ligatures w14:val="none"/>
        </w:rPr>
        <w:t xml:space="preserve"> Available at: </w:t>
      </w:r>
      <w:hyperlink r:id="rId18" w:history="1">
        <w:r w:rsidRPr="00EB2CEC">
          <w:rPr>
            <w:rFonts w:ascii="Arial" w:eastAsia="Times New Roman" w:hAnsi="Arial" w:cs="Arial"/>
            <w:color w:val="0000FF"/>
            <w:kern w:val="0"/>
            <w:sz w:val="22"/>
            <w:szCs w:val="22"/>
            <w:u w:val="single"/>
            <w:lang w:eastAsia="en-GB"/>
            <w14:ligatures w14:val="none"/>
          </w:rPr>
          <w:t>https://www.diabetes.org.uk/about-diabetes/looking-after-diabetes/technology/continuous-glucose-monitors</w:t>
        </w:r>
      </w:hyperlink>
      <w:r w:rsidRPr="00EB2CEC">
        <w:rPr>
          <w:rFonts w:ascii="Arial" w:eastAsia="Times New Roman" w:hAnsi="Arial" w:cs="Arial"/>
          <w:kern w:val="0"/>
          <w:sz w:val="22"/>
          <w:szCs w:val="22"/>
          <w:lang w:eastAsia="en-GB"/>
          <w14:ligatures w14:val="none"/>
        </w:rPr>
        <w:t xml:space="preserve"> (Accessed: 16 August 2026).</w:t>
      </w:r>
    </w:p>
    <w:p w14:paraId="28777707"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Galicia-Garcia, U., Benito-Vicente, A., </w:t>
      </w:r>
      <w:proofErr w:type="spellStart"/>
      <w:r w:rsidRPr="00EB2CEC">
        <w:rPr>
          <w:rFonts w:ascii="Arial" w:eastAsia="Times New Roman" w:hAnsi="Arial" w:cs="Arial"/>
          <w:kern w:val="0"/>
          <w:sz w:val="22"/>
          <w:szCs w:val="22"/>
          <w:lang w:eastAsia="en-GB"/>
          <w14:ligatures w14:val="none"/>
        </w:rPr>
        <w:t>Jebari</w:t>
      </w:r>
      <w:proofErr w:type="spellEnd"/>
      <w:r w:rsidRPr="00EB2CEC">
        <w:rPr>
          <w:rFonts w:ascii="Arial" w:eastAsia="Times New Roman" w:hAnsi="Arial" w:cs="Arial"/>
          <w:kern w:val="0"/>
          <w:sz w:val="22"/>
          <w:szCs w:val="22"/>
          <w:lang w:eastAsia="en-GB"/>
          <w14:ligatures w14:val="none"/>
        </w:rPr>
        <w:t>, S., Larrea-</w:t>
      </w:r>
      <w:proofErr w:type="spellStart"/>
      <w:r w:rsidRPr="00EB2CEC">
        <w:rPr>
          <w:rFonts w:ascii="Arial" w:eastAsia="Times New Roman" w:hAnsi="Arial" w:cs="Arial"/>
          <w:kern w:val="0"/>
          <w:sz w:val="22"/>
          <w:szCs w:val="22"/>
          <w:lang w:eastAsia="en-GB"/>
          <w14:ligatures w14:val="none"/>
        </w:rPr>
        <w:t>Sebal</w:t>
      </w:r>
      <w:proofErr w:type="spellEnd"/>
      <w:r w:rsidRPr="00EB2CEC">
        <w:rPr>
          <w:rFonts w:ascii="Arial" w:eastAsia="Times New Roman" w:hAnsi="Arial" w:cs="Arial"/>
          <w:kern w:val="0"/>
          <w:sz w:val="22"/>
          <w:szCs w:val="22"/>
          <w:lang w:eastAsia="en-GB"/>
          <w14:ligatures w14:val="none"/>
        </w:rPr>
        <w:t xml:space="preserve">, A., Siddiqi, H., Uribe, K.B., Ostolaza, H. and Martín, C. (2020) ‘Pathophysiology of Type 2 diabetes mellitus’, </w:t>
      </w:r>
      <w:r w:rsidRPr="00EB2CEC">
        <w:rPr>
          <w:rFonts w:ascii="Arial" w:eastAsia="Times New Roman" w:hAnsi="Arial" w:cs="Arial"/>
          <w:i/>
          <w:iCs/>
          <w:kern w:val="0"/>
          <w:sz w:val="22"/>
          <w:szCs w:val="22"/>
          <w:lang w:eastAsia="en-GB"/>
          <w14:ligatures w14:val="none"/>
        </w:rPr>
        <w:t>International Journal of Molecular Sciences</w:t>
      </w:r>
      <w:r w:rsidRPr="00EB2CEC">
        <w:rPr>
          <w:rFonts w:ascii="Arial" w:eastAsia="Times New Roman" w:hAnsi="Arial" w:cs="Arial"/>
          <w:kern w:val="0"/>
          <w:sz w:val="22"/>
          <w:szCs w:val="22"/>
          <w:lang w:eastAsia="en-GB"/>
          <w14:ligatures w14:val="none"/>
        </w:rPr>
        <w:t xml:space="preserve">, 21(17), article 6275. Available at: </w:t>
      </w:r>
      <w:hyperlink r:id="rId19" w:history="1">
        <w:r w:rsidRPr="00EB2CEC">
          <w:rPr>
            <w:rFonts w:ascii="Arial" w:eastAsia="Times New Roman" w:hAnsi="Arial" w:cs="Arial"/>
            <w:color w:val="0000FF"/>
            <w:kern w:val="0"/>
            <w:sz w:val="22"/>
            <w:szCs w:val="22"/>
            <w:u w:val="single"/>
            <w:lang w:eastAsia="en-GB"/>
            <w14:ligatures w14:val="none"/>
          </w:rPr>
          <w:t>https://doi.org/10.3390/ijms21176275</w:t>
        </w:r>
      </w:hyperlink>
    </w:p>
    <w:p w14:paraId="0A1E1BD7"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EB2CEC">
        <w:rPr>
          <w:rFonts w:ascii="Arial" w:eastAsia="Times New Roman" w:hAnsi="Arial" w:cs="Arial"/>
          <w:kern w:val="0"/>
          <w:sz w:val="22"/>
          <w:szCs w:val="22"/>
          <w:lang w:eastAsia="en-GB"/>
          <w14:ligatures w14:val="none"/>
        </w:rPr>
        <w:t>Mcstrother</w:t>
      </w:r>
      <w:proofErr w:type="spellEnd"/>
      <w:r w:rsidRPr="00EB2CEC">
        <w:rPr>
          <w:rFonts w:ascii="Arial" w:eastAsia="Times New Roman" w:hAnsi="Arial" w:cs="Arial"/>
          <w:kern w:val="0"/>
          <w:sz w:val="22"/>
          <w:szCs w:val="22"/>
          <w:lang w:eastAsia="en-GB"/>
          <w14:ligatures w14:val="none"/>
        </w:rPr>
        <w:t xml:space="preserve"> (2011) </w:t>
      </w:r>
      <w:r w:rsidRPr="00EB2CEC">
        <w:rPr>
          <w:rFonts w:ascii="Arial" w:eastAsia="Times New Roman" w:hAnsi="Arial" w:cs="Arial"/>
          <w:i/>
          <w:iCs/>
          <w:kern w:val="0"/>
          <w:sz w:val="22"/>
          <w:szCs w:val="22"/>
          <w:lang w:eastAsia="en-GB"/>
          <w14:ligatures w14:val="none"/>
        </w:rPr>
        <w:t>Glucose-day-English</w:t>
      </w:r>
      <w:r w:rsidRPr="00EB2CEC">
        <w:rPr>
          <w:rFonts w:ascii="Arial" w:eastAsia="Times New Roman" w:hAnsi="Arial" w:cs="Arial"/>
          <w:kern w:val="0"/>
          <w:sz w:val="22"/>
          <w:szCs w:val="22"/>
          <w:lang w:eastAsia="en-GB"/>
          <w14:ligatures w14:val="none"/>
        </w:rPr>
        <w:t xml:space="preserve">. Available at: </w:t>
      </w:r>
      <w:hyperlink r:id="rId20" w:history="1">
        <w:r w:rsidRPr="00EB2CEC">
          <w:rPr>
            <w:rFonts w:ascii="Arial" w:eastAsia="Times New Roman" w:hAnsi="Arial" w:cs="Arial"/>
            <w:color w:val="0000FF"/>
            <w:kern w:val="0"/>
            <w:sz w:val="22"/>
            <w:szCs w:val="22"/>
            <w:u w:val="single"/>
            <w:lang w:eastAsia="en-GB"/>
            <w14:ligatures w14:val="none"/>
          </w:rPr>
          <w:t>https://commons.wikimedia.org/wiki/File:Glucose-day-english.svg</w:t>
        </w:r>
      </w:hyperlink>
      <w:r w:rsidRPr="00EB2CEC">
        <w:rPr>
          <w:rFonts w:ascii="Arial" w:eastAsia="Times New Roman" w:hAnsi="Arial" w:cs="Arial"/>
          <w:kern w:val="0"/>
          <w:sz w:val="22"/>
          <w:szCs w:val="22"/>
          <w:lang w:eastAsia="en-GB"/>
          <w14:ligatures w14:val="none"/>
        </w:rPr>
        <w:t xml:space="preserve"> (Accessed: 16 August 2026).</w:t>
      </w:r>
    </w:p>
    <w:p w14:paraId="401EC7D8"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lastRenderedPageBreak/>
        <w:t xml:space="preserve">Minett, P. and Ginesi, L. (2020) </w:t>
      </w:r>
      <w:r w:rsidRPr="00EB2CEC">
        <w:rPr>
          <w:rFonts w:ascii="Arial" w:eastAsia="Times New Roman" w:hAnsi="Arial" w:cs="Arial"/>
          <w:i/>
          <w:iCs/>
          <w:kern w:val="0"/>
          <w:sz w:val="22"/>
          <w:szCs w:val="22"/>
          <w:lang w:eastAsia="en-GB"/>
          <w14:ligatures w14:val="none"/>
        </w:rPr>
        <w:t>Anatomy &amp; physiology: an introduction for nursing and healthcare</w:t>
      </w:r>
      <w:r w:rsidRPr="00EB2CEC">
        <w:rPr>
          <w:rFonts w:ascii="Arial" w:eastAsia="Times New Roman" w:hAnsi="Arial" w:cs="Arial"/>
          <w:kern w:val="0"/>
          <w:sz w:val="22"/>
          <w:szCs w:val="22"/>
          <w:lang w:eastAsia="en-GB"/>
          <w14:ligatures w14:val="none"/>
        </w:rPr>
        <w:t>. Lantern Publishing.</w:t>
      </w:r>
    </w:p>
    <w:p w14:paraId="77E580E8"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National Health Service [NHS] (no date) </w:t>
      </w:r>
      <w:r w:rsidRPr="00EB2CEC">
        <w:rPr>
          <w:rFonts w:ascii="Arial" w:eastAsia="Times New Roman" w:hAnsi="Arial" w:cs="Arial"/>
          <w:i/>
          <w:iCs/>
          <w:kern w:val="0"/>
          <w:sz w:val="22"/>
          <w:szCs w:val="22"/>
          <w:lang w:eastAsia="en-GB"/>
          <w14:ligatures w14:val="none"/>
        </w:rPr>
        <w:t>Find your local Stop Smoking Service</w:t>
      </w:r>
      <w:r w:rsidRPr="00EB2CEC">
        <w:rPr>
          <w:rFonts w:ascii="Arial" w:eastAsia="Times New Roman" w:hAnsi="Arial" w:cs="Arial"/>
          <w:kern w:val="0"/>
          <w:sz w:val="22"/>
          <w:szCs w:val="22"/>
          <w:lang w:eastAsia="en-GB"/>
          <w14:ligatures w14:val="none"/>
        </w:rPr>
        <w:t xml:space="preserve">. Available at: </w:t>
      </w:r>
      <w:hyperlink r:id="rId21" w:history="1">
        <w:r w:rsidRPr="00EB2CEC">
          <w:rPr>
            <w:rFonts w:ascii="Arial" w:eastAsia="Times New Roman" w:hAnsi="Arial" w:cs="Arial"/>
            <w:color w:val="0000FF"/>
            <w:kern w:val="0"/>
            <w:sz w:val="22"/>
            <w:szCs w:val="22"/>
            <w:u w:val="single"/>
            <w:lang w:eastAsia="en-GB"/>
            <w14:ligatures w14:val="none"/>
          </w:rPr>
          <w:t>https://www.nhs.uk/better-health/quit-smoking/ready-to-quit-smoking/find-your-local-stop-smoking-service/</w:t>
        </w:r>
      </w:hyperlink>
      <w:r w:rsidRPr="00EB2CEC">
        <w:rPr>
          <w:rFonts w:ascii="Arial" w:eastAsia="Times New Roman" w:hAnsi="Arial" w:cs="Arial"/>
          <w:kern w:val="0"/>
          <w:sz w:val="22"/>
          <w:szCs w:val="22"/>
          <w:lang w:eastAsia="en-GB"/>
          <w14:ligatures w14:val="none"/>
        </w:rPr>
        <w:t xml:space="preserve"> (Accessed: 16 August 2026).</w:t>
      </w:r>
    </w:p>
    <w:p w14:paraId="3A8F4383"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National Health Service [NHS] (2023) </w:t>
      </w:r>
      <w:r w:rsidRPr="00EB2CEC">
        <w:rPr>
          <w:rFonts w:ascii="Arial" w:eastAsia="Times New Roman" w:hAnsi="Arial" w:cs="Arial"/>
          <w:i/>
          <w:iCs/>
          <w:kern w:val="0"/>
          <w:sz w:val="22"/>
          <w:szCs w:val="22"/>
          <w:lang w:eastAsia="en-GB"/>
          <w14:ligatures w14:val="none"/>
        </w:rPr>
        <w:t>Diabetic ketoacidosis</w:t>
      </w:r>
      <w:r w:rsidRPr="00EB2CEC">
        <w:rPr>
          <w:rFonts w:ascii="Arial" w:eastAsia="Times New Roman" w:hAnsi="Arial" w:cs="Arial"/>
          <w:kern w:val="0"/>
          <w:sz w:val="22"/>
          <w:szCs w:val="22"/>
          <w:lang w:eastAsia="en-GB"/>
          <w14:ligatures w14:val="none"/>
        </w:rPr>
        <w:t xml:space="preserve">. Available at: </w:t>
      </w:r>
      <w:hyperlink r:id="rId22" w:history="1">
        <w:r w:rsidRPr="00EB2CEC">
          <w:rPr>
            <w:rFonts w:ascii="Arial" w:eastAsia="Times New Roman" w:hAnsi="Arial" w:cs="Arial"/>
            <w:color w:val="0000FF"/>
            <w:kern w:val="0"/>
            <w:sz w:val="22"/>
            <w:szCs w:val="22"/>
            <w:u w:val="single"/>
            <w:lang w:eastAsia="en-GB"/>
            <w14:ligatures w14:val="none"/>
          </w:rPr>
          <w:t>https://www.nhs.uk/conditions/diabetic-ketoacidosis/</w:t>
        </w:r>
      </w:hyperlink>
      <w:r w:rsidRPr="00EB2CEC">
        <w:rPr>
          <w:rFonts w:ascii="Arial" w:eastAsia="Times New Roman" w:hAnsi="Arial" w:cs="Arial"/>
          <w:kern w:val="0"/>
          <w:sz w:val="22"/>
          <w:szCs w:val="22"/>
          <w:lang w:eastAsia="en-GB"/>
          <w14:ligatures w14:val="none"/>
        </w:rPr>
        <w:t xml:space="preserve"> (Accessed: 16 August 2026).</w:t>
      </w:r>
    </w:p>
    <w:p w14:paraId="251DBC8D"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National Institute for Health and Care Excellence [NICE] (2026) </w:t>
      </w:r>
      <w:r w:rsidRPr="00EB2CEC">
        <w:rPr>
          <w:rFonts w:ascii="Arial" w:eastAsia="Times New Roman" w:hAnsi="Arial" w:cs="Arial"/>
          <w:i/>
          <w:iCs/>
          <w:kern w:val="0"/>
          <w:sz w:val="22"/>
          <w:szCs w:val="22"/>
          <w:lang w:eastAsia="en-GB"/>
          <w14:ligatures w14:val="none"/>
        </w:rPr>
        <w:t>Type 2 diabetes in adults: management (NG28)</w:t>
      </w:r>
      <w:r w:rsidRPr="00EB2CEC">
        <w:rPr>
          <w:rFonts w:ascii="Arial" w:eastAsia="Times New Roman" w:hAnsi="Arial" w:cs="Arial"/>
          <w:kern w:val="0"/>
          <w:sz w:val="22"/>
          <w:szCs w:val="22"/>
          <w:lang w:eastAsia="en-GB"/>
          <w14:ligatures w14:val="none"/>
        </w:rPr>
        <w:t xml:space="preserve">. Available at: </w:t>
      </w:r>
      <w:hyperlink r:id="rId23" w:history="1">
        <w:r w:rsidRPr="00EB2CEC">
          <w:rPr>
            <w:rFonts w:ascii="Arial" w:eastAsia="Times New Roman" w:hAnsi="Arial" w:cs="Arial"/>
            <w:color w:val="0000FF"/>
            <w:kern w:val="0"/>
            <w:sz w:val="22"/>
            <w:szCs w:val="22"/>
            <w:u w:val="single"/>
            <w:lang w:eastAsia="en-GB"/>
            <w14:ligatures w14:val="none"/>
          </w:rPr>
          <w:t>https://www.nice.org.uk/guidance/ng28</w:t>
        </w:r>
      </w:hyperlink>
      <w:r w:rsidRPr="00EB2CEC">
        <w:rPr>
          <w:rFonts w:ascii="Arial" w:eastAsia="Times New Roman" w:hAnsi="Arial" w:cs="Arial"/>
          <w:kern w:val="0"/>
          <w:sz w:val="22"/>
          <w:szCs w:val="22"/>
          <w:lang w:eastAsia="en-GB"/>
          <w14:ligatures w14:val="none"/>
        </w:rPr>
        <w:t xml:space="preserve"> (Accessed: 16 August 2026).</w:t>
      </w:r>
    </w:p>
    <w:p w14:paraId="00D73D66"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NHS Scotland (2020) </w:t>
      </w:r>
      <w:r w:rsidRPr="00EB2CEC">
        <w:rPr>
          <w:rFonts w:ascii="Arial" w:eastAsia="Times New Roman" w:hAnsi="Arial" w:cs="Arial"/>
          <w:i/>
          <w:iCs/>
          <w:kern w:val="0"/>
          <w:sz w:val="22"/>
          <w:szCs w:val="22"/>
          <w:lang w:eastAsia="en-GB"/>
          <w14:ligatures w14:val="none"/>
        </w:rPr>
        <w:t>Smoking and diabetes</w:t>
      </w:r>
      <w:r w:rsidRPr="00EB2CEC">
        <w:rPr>
          <w:rFonts w:ascii="Arial" w:eastAsia="Times New Roman" w:hAnsi="Arial" w:cs="Arial"/>
          <w:kern w:val="0"/>
          <w:sz w:val="22"/>
          <w:szCs w:val="22"/>
          <w:lang w:eastAsia="en-GB"/>
          <w14:ligatures w14:val="none"/>
        </w:rPr>
        <w:t xml:space="preserve">. Available at: </w:t>
      </w:r>
      <w:hyperlink r:id="rId24" w:history="1">
        <w:r w:rsidRPr="00EB2CEC">
          <w:rPr>
            <w:rFonts w:ascii="Arial" w:eastAsia="Times New Roman" w:hAnsi="Arial" w:cs="Arial"/>
            <w:color w:val="0000FF"/>
            <w:kern w:val="0"/>
            <w:sz w:val="22"/>
            <w:szCs w:val="22"/>
            <w:u w:val="single"/>
            <w:lang w:eastAsia="en-GB"/>
            <w14:ligatures w14:val="none"/>
          </w:rPr>
          <w:t>https://mydiabetesmyway.scot.nhs.uk/resources/internal/smoking-and-diabetes/</w:t>
        </w:r>
      </w:hyperlink>
      <w:r w:rsidRPr="00EB2CEC">
        <w:rPr>
          <w:rFonts w:ascii="Arial" w:eastAsia="Times New Roman" w:hAnsi="Arial" w:cs="Arial"/>
          <w:kern w:val="0"/>
          <w:sz w:val="22"/>
          <w:szCs w:val="22"/>
          <w:lang w:eastAsia="en-GB"/>
          <w14:ligatures w14:val="none"/>
        </w:rPr>
        <w:t xml:space="preserve"> (Accessed: 16 August 2026).</w:t>
      </w:r>
    </w:p>
    <w:p w14:paraId="5C5B332A"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OpenStax College (2013) </w:t>
      </w:r>
      <w:r w:rsidRPr="00EB2CEC">
        <w:rPr>
          <w:rFonts w:ascii="Arial" w:eastAsia="Times New Roman" w:hAnsi="Arial" w:cs="Arial"/>
          <w:i/>
          <w:iCs/>
          <w:kern w:val="0"/>
          <w:sz w:val="22"/>
          <w:szCs w:val="22"/>
          <w:lang w:eastAsia="en-GB"/>
          <w14:ligatures w14:val="none"/>
        </w:rPr>
        <w:t>The homeostatic regulation of blood glucose levels</w:t>
      </w:r>
      <w:r w:rsidRPr="00EB2CEC">
        <w:rPr>
          <w:rFonts w:ascii="Arial" w:eastAsia="Times New Roman" w:hAnsi="Arial" w:cs="Arial"/>
          <w:kern w:val="0"/>
          <w:sz w:val="22"/>
          <w:szCs w:val="22"/>
          <w:lang w:eastAsia="en-GB"/>
          <w14:ligatures w14:val="none"/>
        </w:rPr>
        <w:t xml:space="preserve">. Available at: </w:t>
      </w:r>
      <w:hyperlink r:id="rId25" w:history="1">
        <w:r w:rsidRPr="00EB2CEC">
          <w:rPr>
            <w:rFonts w:ascii="Arial" w:eastAsia="Times New Roman" w:hAnsi="Arial" w:cs="Arial"/>
            <w:color w:val="0000FF"/>
            <w:kern w:val="0"/>
            <w:sz w:val="22"/>
            <w:szCs w:val="22"/>
            <w:u w:val="single"/>
            <w:lang w:eastAsia="en-GB"/>
            <w14:ligatures w14:val="none"/>
          </w:rPr>
          <w:t>https://commons.wikimedia.org/wiki/File:1822_The_Homostatic_Regulation_of_Blood_Glucose_Levels.jpg</w:t>
        </w:r>
      </w:hyperlink>
      <w:r w:rsidRPr="00EB2CEC">
        <w:rPr>
          <w:rFonts w:ascii="Arial" w:eastAsia="Times New Roman" w:hAnsi="Arial" w:cs="Arial"/>
          <w:kern w:val="0"/>
          <w:sz w:val="22"/>
          <w:szCs w:val="22"/>
          <w:lang w:eastAsia="en-GB"/>
          <w14:ligatures w14:val="none"/>
        </w:rPr>
        <w:t xml:space="preserve"> (Accessed: 16 August 2026).</w:t>
      </w:r>
    </w:p>
    <w:p w14:paraId="31C6CC8B"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Peate, I. and Evans, S. (eds) (2026) </w:t>
      </w:r>
      <w:r w:rsidRPr="00EB2CEC">
        <w:rPr>
          <w:rFonts w:ascii="Arial" w:eastAsia="Times New Roman" w:hAnsi="Arial" w:cs="Arial"/>
          <w:i/>
          <w:iCs/>
          <w:kern w:val="0"/>
          <w:sz w:val="22"/>
          <w:szCs w:val="22"/>
          <w:lang w:eastAsia="en-GB"/>
          <w14:ligatures w14:val="none"/>
        </w:rPr>
        <w:t>Fundamentals of anatomy and physiology: for nursing and healthcare students</w:t>
      </w:r>
      <w:r w:rsidRPr="00EB2CEC">
        <w:rPr>
          <w:rFonts w:ascii="Arial" w:eastAsia="Times New Roman" w:hAnsi="Arial" w:cs="Arial"/>
          <w:kern w:val="0"/>
          <w:sz w:val="22"/>
          <w:szCs w:val="22"/>
          <w:lang w:eastAsia="en-GB"/>
          <w14:ligatures w14:val="none"/>
        </w:rPr>
        <w:t xml:space="preserve">. 4th </w:t>
      </w:r>
      <w:proofErr w:type="spellStart"/>
      <w:r w:rsidRPr="00EB2CEC">
        <w:rPr>
          <w:rFonts w:ascii="Arial" w:eastAsia="Times New Roman" w:hAnsi="Arial" w:cs="Arial"/>
          <w:kern w:val="0"/>
          <w:sz w:val="22"/>
          <w:szCs w:val="22"/>
          <w:lang w:eastAsia="en-GB"/>
          <w14:ligatures w14:val="none"/>
        </w:rPr>
        <w:t>edn</w:t>
      </w:r>
      <w:proofErr w:type="spellEnd"/>
      <w:r w:rsidRPr="00EB2CEC">
        <w:rPr>
          <w:rFonts w:ascii="Arial" w:eastAsia="Times New Roman" w:hAnsi="Arial" w:cs="Arial"/>
          <w:kern w:val="0"/>
          <w:sz w:val="22"/>
          <w:szCs w:val="22"/>
          <w:lang w:eastAsia="en-GB"/>
          <w14:ligatures w14:val="none"/>
        </w:rPr>
        <w:t>. Wiley.</w:t>
      </w:r>
    </w:p>
    <w:p w14:paraId="32A1C039"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proofErr w:type="spellStart"/>
      <w:r w:rsidRPr="00EB2CEC">
        <w:rPr>
          <w:rFonts w:ascii="Arial" w:eastAsia="Times New Roman" w:hAnsi="Arial" w:cs="Arial"/>
          <w:kern w:val="0"/>
          <w:sz w:val="22"/>
          <w:szCs w:val="22"/>
          <w:lang w:eastAsia="en-GB"/>
          <w14:ligatures w14:val="none"/>
        </w:rPr>
        <w:t>Suckale</w:t>
      </w:r>
      <w:proofErr w:type="spellEnd"/>
      <w:r w:rsidRPr="00EB2CEC">
        <w:rPr>
          <w:rFonts w:ascii="Arial" w:eastAsia="Times New Roman" w:hAnsi="Arial" w:cs="Arial"/>
          <w:kern w:val="0"/>
          <w:sz w:val="22"/>
          <w:szCs w:val="22"/>
          <w:lang w:eastAsia="en-GB"/>
          <w14:ligatures w14:val="none"/>
        </w:rPr>
        <w:t xml:space="preserve">, J. and </w:t>
      </w:r>
      <w:proofErr w:type="spellStart"/>
      <w:r w:rsidRPr="00EB2CEC">
        <w:rPr>
          <w:rFonts w:ascii="Arial" w:eastAsia="Times New Roman" w:hAnsi="Arial" w:cs="Arial"/>
          <w:kern w:val="0"/>
          <w:sz w:val="22"/>
          <w:szCs w:val="22"/>
          <w:lang w:eastAsia="en-GB"/>
          <w14:ligatures w14:val="none"/>
        </w:rPr>
        <w:t>Solimena</w:t>
      </w:r>
      <w:proofErr w:type="spellEnd"/>
      <w:r w:rsidRPr="00EB2CEC">
        <w:rPr>
          <w:rFonts w:ascii="Arial" w:eastAsia="Times New Roman" w:hAnsi="Arial" w:cs="Arial"/>
          <w:kern w:val="0"/>
          <w:sz w:val="22"/>
          <w:szCs w:val="22"/>
          <w:lang w:eastAsia="en-GB"/>
          <w14:ligatures w14:val="none"/>
        </w:rPr>
        <w:t xml:space="preserve">, M. (2008) ‘Pancreas islets in metabolic </w:t>
      </w:r>
      <w:proofErr w:type="spellStart"/>
      <w:r w:rsidRPr="00EB2CEC">
        <w:rPr>
          <w:rFonts w:ascii="Arial" w:eastAsia="Times New Roman" w:hAnsi="Arial" w:cs="Arial"/>
          <w:kern w:val="0"/>
          <w:sz w:val="22"/>
          <w:szCs w:val="22"/>
          <w:lang w:eastAsia="en-GB"/>
          <w14:ligatures w14:val="none"/>
        </w:rPr>
        <w:t>signaling</w:t>
      </w:r>
      <w:proofErr w:type="spellEnd"/>
      <w:r w:rsidRPr="00EB2CEC">
        <w:rPr>
          <w:rFonts w:ascii="Arial" w:eastAsia="Times New Roman" w:hAnsi="Arial" w:cs="Arial"/>
          <w:kern w:val="0"/>
          <w:sz w:val="22"/>
          <w:szCs w:val="22"/>
          <w:lang w:eastAsia="en-GB"/>
          <w14:ligatures w14:val="none"/>
        </w:rPr>
        <w:t xml:space="preserve"> – focus on the beta-cell’, </w:t>
      </w:r>
      <w:r w:rsidRPr="00EB2CEC">
        <w:rPr>
          <w:rFonts w:ascii="Arial" w:eastAsia="Times New Roman" w:hAnsi="Arial" w:cs="Arial"/>
          <w:i/>
          <w:iCs/>
          <w:kern w:val="0"/>
          <w:sz w:val="22"/>
          <w:szCs w:val="22"/>
          <w:lang w:eastAsia="en-GB"/>
          <w14:ligatures w14:val="none"/>
        </w:rPr>
        <w:t>Frontiers in Bioscience</w:t>
      </w:r>
      <w:r w:rsidRPr="00EB2CEC">
        <w:rPr>
          <w:rFonts w:ascii="Arial" w:eastAsia="Times New Roman" w:hAnsi="Arial" w:cs="Arial"/>
          <w:kern w:val="0"/>
          <w:sz w:val="22"/>
          <w:szCs w:val="22"/>
          <w:lang w:eastAsia="en-GB"/>
          <w14:ligatures w14:val="none"/>
        </w:rPr>
        <w:t xml:space="preserve">, 13, pp. 7156–7171. Available at: </w:t>
      </w:r>
      <w:hyperlink r:id="rId26" w:history="1">
        <w:r w:rsidRPr="00EB2CEC">
          <w:rPr>
            <w:rFonts w:ascii="Arial" w:eastAsia="Times New Roman" w:hAnsi="Arial" w:cs="Arial"/>
            <w:color w:val="0000FF"/>
            <w:kern w:val="0"/>
            <w:sz w:val="22"/>
            <w:szCs w:val="22"/>
            <w:u w:val="single"/>
            <w:lang w:eastAsia="en-GB"/>
            <w14:ligatures w14:val="none"/>
          </w:rPr>
          <w:t>https://pubmed.ncbi.nlm.nih.gov/18508724/</w:t>
        </w:r>
      </w:hyperlink>
      <w:r w:rsidRPr="00EB2CEC">
        <w:rPr>
          <w:rFonts w:ascii="Arial" w:eastAsia="Times New Roman" w:hAnsi="Arial" w:cs="Arial"/>
          <w:kern w:val="0"/>
          <w:sz w:val="22"/>
          <w:szCs w:val="22"/>
          <w:lang w:eastAsia="en-GB"/>
          <w14:ligatures w14:val="none"/>
        </w:rPr>
        <w:t xml:space="preserve"> (Accessed: 16 August 2026).</w:t>
      </w:r>
    </w:p>
    <w:p w14:paraId="02580861"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Waugh, A. and Grant, A. (2023) </w:t>
      </w:r>
      <w:r w:rsidRPr="00EB2CEC">
        <w:rPr>
          <w:rFonts w:ascii="Arial" w:eastAsia="Times New Roman" w:hAnsi="Arial" w:cs="Arial"/>
          <w:i/>
          <w:iCs/>
          <w:kern w:val="0"/>
          <w:sz w:val="22"/>
          <w:szCs w:val="22"/>
          <w:lang w:eastAsia="en-GB"/>
          <w14:ligatures w14:val="none"/>
        </w:rPr>
        <w:t>Ross &amp; Wilson anatomy and physiology in health and illness</w:t>
      </w:r>
      <w:r w:rsidRPr="00EB2CEC">
        <w:rPr>
          <w:rFonts w:ascii="Arial" w:eastAsia="Times New Roman" w:hAnsi="Arial" w:cs="Arial"/>
          <w:kern w:val="0"/>
          <w:sz w:val="22"/>
          <w:szCs w:val="22"/>
          <w:lang w:eastAsia="en-GB"/>
          <w14:ligatures w14:val="none"/>
        </w:rPr>
        <w:t xml:space="preserve">. 14th </w:t>
      </w:r>
      <w:proofErr w:type="spellStart"/>
      <w:r w:rsidRPr="00EB2CEC">
        <w:rPr>
          <w:rFonts w:ascii="Arial" w:eastAsia="Times New Roman" w:hAnsi="Arial" w:cs="Arial"/>
          <w:kern w:val="0"/>
          <w:sz w:val="22"/>
          <w:szCs w:val="22"/>
          <w:lang w:eastAsia="en-GB"/>
          <w14:ligatures w14:val="none"/>
        </w:rPr>
        <w:t>edn</w:t>
      </w:r>
      <w:proofErr w:type="spellEnd"/>
      <w:r w:rsidRPr="00EB2CEC">
        <w:rPr>
          <w:rFonts w:ascii="Arial" w:eastAsia="Times New Roman" w:hAnsi="Arial" w:cs="Arial"/>
          <w:kern w:val="0"/>
          <w:sz w:val="22"/>
          <w:szCs w:val="22"/>
          <w:lang w:eastAsia="en-GB"/>
          <w14:ligatures w14:val="none"/>
        </w:rPr>
        <w:t>. Elsevier.</w:t>
      </w:r>
    </w:p>
    <w:p w14:paraId="06461129" w14:textId="77777777" w:rsidR="002B4014" w:rsidRPr="00EB2CEC" w:rsidRDefault="002B4014" w:rsidP="00A840F1">
      <w:pPr>
        <w:spacing w:before="100" w:beforeAutospacing="1" w:after="100" w:afterAutospacing="1" w:line="360" w:lineRule="auto"/>
        <w:rPr>
          <w:rFonts w:ascii="Arial" w:eastAsia="Times New Roman" w:hAnsi="Arial" w:cs="Arial"/>
          <w:kern w:val="0"/>
          <w:sz w:val="22"/>
          <w:szCs w:val="22"/>
          <w:lang w:eastAsia="en-GB"/>
          <w14:ligatures w14:val="none"/>
        </w:rPr>
      </w:pPr>
      <w:r w:rsidRPr="00EB2CEC">
        <w:rPr>
          <w:rFonts w:ascii="Arial" w:eastAsia="Times New Roman" w:hAnsi="Arial" w:cs="Arial"/>
          <w:kern w:val="0"/>
          <w:sz w:val="22"/>
          <w:szCs w:val="22"/>
          <w:lang w:eastAsia="en-GB"/>
          <w14:ligatures w14:val="none"/>
        </w:rPr>
        <w:t xml:space="preserve">Wu, M.-J., Hung, C.-H., Yong, S.-B., Ching, G.S. and Hsu, H.-J. (2025) ‘Impact of the Mediterranean diet on </w:t>
      </w:r>
      <w:proofErr w:type="spellStart"/>
      <w:r w:rsidRPr="00EB2CEC">
        <w:rPr>
          <w:rFonts w:ascii="Arial" w:eastAsia="Times New Roman" w:hAnsi="Arial" w:cs="Arial"/>
          <w:kern w:val="0"/>
          <w:sz w:val="22"/>
          <w:szCs w:val="22"/>
          <w:lang w:eastAsia="en-GB"/>
          <w14:ligatures w14:val="none"/>
        </w:rPr>
        <w:t>glycemic</w:t>
      </w:r>
      <w:proofErr w:type="spellEnd"/>
      <w:r w:rsidRPr="00EB2CEC">
        <w:rPr>
          <w:rFonts w:ascii="Arial" w:eastAsia="Times New Roman" w:hAnsi="Arial" w:cs="Arial"/>
          <w:kern w:val="0"/>
          <w:sz w:val="22"/>
          <w:szCs w:val="22"/>
          <w:lang w:eastAsia="en-GB"/>
          <w14:ligatures w14:val="none"/>
        </w:rPr>
        <w:t xml:space="preserve"> control, body mass index, lipid profile, and blood pressure in Type 2 diabetes: a meta-analysis of randomized controlled trials’, </w:t>
      </w:r>
      <w:r w:rsidRPr="00EB2CEC">
        <w:rPr>
          <w:rFonts w:ascii="Arial" w:eastAsia="Times New Roman" w:hAnsi="Arial" w:cs="Arial"/>
          <w:i/>
          <w:iCs/>
          <w:kern w:val="0"/>
          <w:sz w:val="22"/>
          <w:szCs w:val="22"/>
          <w:lang w:eastAsia="en-GB"/>
          <w14:ligatures w14:val="none"/>
        </w:rPr>
        <w:t>Nutrients</w:t>
      </w:r>
      <w:r w:rsidRPr="00EB2CEC">
        <w:rPr>
          <w:rFonts w:ascii="Arial" w:eastAsia="Times New Roman" w:hAnsi="Arial" w:cs="Arial"/>
          <w:kern w:val="0"/>
          <w:sz w:val="22"/>
          <w:szCs w:val="22"/>
          <w:lang w:eastAsia="en-GB"/>
          <w14:ligatures w14:val="none"/>
        </w:rPr>
        <w:t xml:space="preserve">, 17(24), article 3908. Available at: </w:t>
      </w:r>
      <w:hyperlink r:id="rId27" w:history="1">
        <w:r w:rsidRPr="00EB2CEC">
          <w:rPr>
            <w:rFonts w:ascii="Arial" w:eastAsia="Times New Roman" w:hAnsi="Arial" w:cs="Arial"/>
            <w:color w:val="0000FF"/>
            <w:kern w:val="0"/>
            <w:sz w:val="22"/>
            <w:szCs w:val="22"/>
            <w:u w:val="single"/>
            <w:lang w:eastAsia="en-GB"/>
            <w14:ligatures w14:val="none"/>
          </w:rPr>
          <w:t>https://doi.org/10.3390/nu17243908</w:t>
        </w:r>
      </w:hyperlink>
    </w:p>
    <w:p w14:paraId="33B3F184" w14:textId="77777777" w:rsidR="002B4014" w:rsidRPr="00E37427" w:rsidRDefault="002B4014" w:rsidP="005C55C1">
      <w:pPr>
        <w:spacing w:before="100" w:beforeAutospacing="1" w:after="100" w:afterAutospacing="1" w:line="360" w:lineRule="auto"/>
        <w:rPr>
          <w:rFonts w:ascii="Arial" w:hAnsi="Arial" w:cs="Arial"/>
          <w:sz w:val="22"/>
          <w:szCs w:val="22"/>
          <w:lang w:val="en-US"/>
        </w:rPr>
      </w:pPr>
    </w:p>
    <w:sectPr w:rsidR="002B4014" w:rsidRPr="00E374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3758C7" w14:textId="77777777" w:rsidR="003C37BB" w:rsidRDefault="003C37BB" w:rsidP="00463881">
      <w:pPr>
        <w:spacing w:after="0" w:line="240" w:lineRule="auto"/>
      </w:pPr>
      <w:r>
        <w:separator/>
      </w:r>
    </w:p>
  </w:endnote>
  <w:endnote w:type="continuationSeparator" w:id="0">
    <w:p w14:paraId="51BB6C44" w14:textId="77777777" w:rsidR="003C37BB" w:rsidRDefault="003C37BB" w:rsidP="00463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7465675"/>
      <w:docPartObj>
        <w:docPartGallery w:val="Page Numbers (Bottom of Page)"/>
        <w:docPartUnique/>
      </w:docPartObj>
    </w:sdtPr>
    <w:sdtEndPr>
      <w:rPr>
        <w:noProof/>
      </w:rPr>
    </w:sdtEndPr>
    <w:sdtContent>
      <w:p w14:paraId="2C1A548C" w14:textId="05D4E251" w:rsidR="00463881" w:rsidRDefault="00463881">
        <w:pPr>
          <w:pStyle w:val="Footer"/>
          <w:jc w:val="center"/>
        </w:pPr>
        <w:r>
          <w:rPr>
            <w:noProof/>
          </w:rPr>
          <mc:AlternateContent>
            <mc:Choice Requires="wps">
              <w:drawing>
                <wp:inline distT="0" distB="0" distL="0" distR="0" wp14:anchorId="32CDDF5D" wp14:editId="2E0B4E6E">
                  <wp:extent cx="5467350" cy="45085"/>
                  <wp:effectExtent l="9525" t="9525" r="0" b="2540"/>
                  <wp:docPr id="871987593" name="Flowchart: Decision 1"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6cei="http://schemas.microsoft.com/office/word/2026/wordml/cei">
              <w:pict>
                <v:shapetype w14:anchorId="2BADEA32" id="_x0000_t110" coordsize="21600,21600" o:spt="110" path="m10800,l,10800,10800,21600,21600,10800xe">
                  <v:stroke joinstyle="miter"/>
                  <v:path gradientshapeok="t" o:connecttype="rect" textboxrect="5400,5400,16200,16200"/>
                </v:shapetype>
                <v:shape id="Flowchart: Decision 1"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" fillcolor="black" stroked="f">
                  <v:fill r:id="rId1" o:title="" type="pattern"/>
                  <w10:anchorlock/>
                </v:shape>
              </w:pict>
            </mc:Fallback>
          </mc:AlternateContent>
        </w:r>
      </w:p>
      <w:p w14:paraId="092A3855" w14:textId="7F01DEFF" w:rsidR="00463881" w:rsidRDefault="0046388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0B76A5" w14:textId="77777777" w:rsidR="00463881" w:rsidRDefault="004638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0C893A" w14:textId="77777777" w:rsidR="003C37BB" w:rsidRDefault="003C37BB" w:rsidP="00463881">
      <w:pPr>
        <w:spacing w:after="0" w:line="240" w:lineRule="auto"/>
      </w:pPr>
      <w:r>
        <w:separator/>
      </w:r>
    </w:p>
  </w:footnote>
  <w:footnote w:type="continuationSeparator" w:id="0">
    <w:p w14:paraId="3E22AA59" w14:textId="77777777" w:rsidR="003C37BB" w:rsidRDefault="003C37BB" w:rsidP="00463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C5340"/>
    <w:multiLevelType w:val="multilevel"/>
    <w:tmpl w:val="969EC21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0DDB3D70"/>
    <w:multiLevelType w:val="multilevel"/>
    <w:tmpl w:val="B6CEAEAE"/>
    <w:lvl w:ilvl="0">
      <w:start w:val="1"/>
      <w:numFmt w:val="decimal"/>
      <w:lvlText w:val="%1"/>
      <w:lvlJc w:val="left"/>
      <w:pPr>
        <w:ind w:left="432" w:hanging="432"/>
      </w:pPr>
    </w:lvl>
    <w:lvl w:ilvl="1">
      <w:start w:val="1"/>
      <w:numFmt w:val="decimal"/>
      <w:lvlText w:val="%2."/>
      <w:lvlJc w:val="left"/>
      <w:pPr>
        <w:ind w:left="360" w:hanging="360"/>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28814F4"/>
    <w:multiLevelType w:val="hybridMultilevel"/>
    <w:tmpl w:val="0EDED3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2E2725"/>
    <w:multiLevelType w:val="hybridMultilevel"/>
    <w:tmpl w:val="02387164"/>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7B5536B"/>
    <w:multiLevelType w:val="hybridMultilevel"/>
    <w:tmpl w:val="4C5A9C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956964"/>
    <w:multiLevelType w:val="hybridMultilevel"/>
    <w:tmpl w:val="EC7CD3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343029"/>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63349855">
    <w:abstractNumId w:val="4"/>
  </w:num>
  <w:num w:numId="2" w16cid:durableId="773326603">
    <w:abstractNumId w:val="6"/>
  </w:num>
  <w:num w:numId="3" w16cid:durableId="245192588">
    <w:abstractNumId w:val="0"/>
  </w:num>
  <w:num w:numId="4" w16cid:durableId="1958564977">
    <w:abstractNumId w:val="5"/>
  </w:num>
  <w:num w:numId="5" w16cid:durableId="563030739">
    <w:abstractNumId w:val="2"/>
  </w:num>
  <w:num w:numId="6" w16cid:durableId="1631323552">
    <w:abstractNumId w:val="3"/>
  </w:num>
  <w:num w:numId="7" w16cid:durableId="597106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F62"/>
    <w:rsid w:val="000064CC"/>
    <w:rsid w:val="00025AD5"/>
    <w:rsid w:val="00056BD5"/>
    <w:rsid w:val="000C13FC"/>
    <w:rsid w:val="000D79A5"/>
    <w:rsid w:val="00167D78"/>
    <w:rsid w:val="001712EB"/>
    <w:rsid w:val="002057AB"/>
    <w:rsid w:val="002B37DC"/>
    <w:rsid w:val="002B4014"/>
    <w:rsid w:val="002C6402"/>
    <w:rsid w:val="002C651F"/>
    <w:rsid w:val="003C37BB"/>
    <w:rsid w:val="00415B01"/>
    <w:rsid w:val="00463881"/>
    <w:rsid w:val="00464125"/>
    <w:rsid w:val="004724B1"/>
    <w:rsid w:val="00484F16"/>
    <w:rsid w:val="004A5B65"/>
    <w:rsid w:val="005006C9"/>
    <w:rsid w:val="00525F09"/>
    <w:rsid w:val="005C55C1"/>
    <w:rsid w:val="005F4979"/>
    <w:rsid w:val="006A41ED"/>
    <w:rsid w:val="006C2E33"/>
    <w:rsid w:val="00746F97"/>
    <w:rsid w:val="00771723"/>
    <w:rsid w:val="00783E58"/>
    <w:rsid w:val="007B5547"/>
    <w:rsid w:val="00871A91"/>
    <w:rsid w:val="00882ED3"/>
    <w:rsid w:val="008E6089"/>
    <w:rsid w:val="008F1F6B"/>
    <w:rsid w:val="00917F90"/>
    <w:rsid w:val="0092309F"/>
    <w:rsid w:val="00935ED7"/>
    <w:rsid w:val="00947435"/>
    <w:rsid w:val="009565A8"/>
    <w:rsid w:val="00975CD5"/>
    <w:rsid w:val="009D59E8"/>
    <w:rsid w:val="00A42B92"/>
    <w:rsid w:val="00A54A0D"/>
    <w:rsid w:val="00A840F1"/>
    <w:rsid w:val="00A87833"/>
    <w:rsid w:val="00AC023F"/>
    <w:rsid w:val="00B37915"/>
    <w:rsid w:val="00B4731D"/>
    <w:rsid w:val="00BC2C22"/>
    <w:rsid w:val="00C07500"/>
    <w:rsid w:val="00C34ED1"/>
    <w:rsid w:val="00C42F62"/>
    <w:rsid w:val="00C6346B"/>
    <w:rsid w:val="00C63627"/>
    <w:rsid w:val="00C806EB"/>
    <w:rsid w:val="00CB0824"/>
    <w:rsid w:val="00CC3260"/>
    <w:rsid w:val="00D1365C"/>
    <w:rsid w:val="00D44A94"/>
    <w:rsid w:val="00D756F4"/>
    <w:rsid w:val="00E150F3"/>
    <w:rsid w:val="00E37427"/>
    <w:rsid w:val="00E46DF8"/>
    <w:rsid w:val="00F5246B"/>
    <w:rsid w:val="00F92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2E7A88"/>
  <w15:chartTrackingRefBased/>
  <w15:docId w15:val="{B22F5AC6-193C-4C5C-97C3-66FE126A1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F62"/>
    <w:pPr>
      <w:keepNext/>
      <w:keepLines/>
      <w:numPr>
        <w:numId w:val="2"/>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42F62"/>
    <w:pPr>
      <w:keepNext/>
      <w:keepLines/>
      <w:numPr>
        <w:ilvl w:val="1"/>
        <w:numId w:val="2"/>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F62"/>
    <w:pPr>
      <w:keepNext/>
      <w:keepLines/>
      <w:numPr>
        <w:ilvl w:val="2"/>
        <w:numId w:val="2"/>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F62"/>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F62"/>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F62"/>
    <w:pPr>
      <w:keepNext/>
      <w:keepLines/>
      <w:numPr>
        <w:ilvl w:val="5"/>
        <w:numId w:val="2"/>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F62"/>
    <w:pPr>
      <w:keepNext/>
      <w:keepLines/>
      <w:numPr>
        <w:ilvl w:val="6"/>
        <w:numId w:val="2"/>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F62"/>
    <w:pPr>
      <w:keepNext/>
      <w:keepLines/>
      <w:numPr>
        <w:ilvl w:val="7"/>
        <w:numId w:val="2"/>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F62"/>
    <w:pPr>
      <w:keepNext/>
      <w:keepLines/>
      <w:numPr>
        <w:ilvl w:val="8"/>
        <w:numId w:val="2"/>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F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42F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F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F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F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F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F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F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F62"/>
    <w:rPr>
      <w:rFonts w:eastAsiaTheme="majorEastAsia" w:cstheme="majorBidi"/>
      <w:color w:val="272727" w:themeColor="text1" w:themeTint="D8"/>
    </w:rPr>
  </w:style>
  <w:style w:type="paragraph" w:styleId="Title">
    <w:name w:val="Title"/>
    <w:basedOn w:val="Normal"/>
    <w:next w:val="Normal"/>
    <w:link w:val="TitleChar"/>
    <w:uiPriority w:val="10"/>
    <w:qFormat/>
    <w:rsid w:val="00C42F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F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F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F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F62"/>
    <w:pPr>
      <w:spacing w:before="160"/>
      <w:jc w:val="center"/>
    </w:pPr>
    <w:rPr>
      <w:i/>
      <w:iCs/>
      <w:color w:val="404040" w:themeColor="text1" w:themeTint="BF"/>
    </w:rPr>
  </w:style>
  <w:style w:type="character" w:customStyle="1" w:styleId="QuoteChar">
    <w:name w:val="Quote Char"/>
    <w:basedOn w:val="DefaultParagraphFont"/>
    <w:link w:val="Quote"/>
    <w:uiPriority w:val="29"/>
    <w:rsid w:val="00C42F62"/>
    <w:rPr>
      <w:i/>
      <w:iCs/>
      <w:color w:val="404040" w:themeColor="text1" w:themeTint="BF"/>
    </w:rPr>
  </w:style>
  <w:style w:type="paragraph" w:styleId="ListParagraph">
    <w:name w:val="List Paragraph"/>
    <w:basedOn w:val="Normal"/>
    <w:uiPriority w:val="34"/>
    <w:qFormat/>
    <w:rsid w:val="00C42F62"/>
    <w:pPr>
      <w:ind w:left="720"/>
      <w:contextualSpacing/>
    </w:pPr>
  </w:style>
  <w:style w:type="character" w:styleId="IntenseEmphasis">
    <w:name w:val="Intense Emphasis"/>
    <w:basedOn w:val="DefaultParagraphFont"/>
    <w:uiPriority w:val="21"/>
    <w:qFormat/>
    <w:rsid w:val="00C42F62"/>
    <w:rPr>
      <w:i/>
      <w:iCs/>
      <w:color w:val="0F4761" w:themeColor="accent1" w:themeShade="BF"/>
    </w:rPr>
  </w:style>
  <w:style w:type="paragraph" w:styleId="IntenseQuote">
    <w:name w:val="Intense Quote"/>
    <w:basedOn w:val="Normal"/>
    <w:next w:val="Normal"/>
    <w:link w:val="IntenseQuoteChar"/>
    <w:uiPriority w:val="30"/>
    <w:qFormat/>
    <w:rsid w:val="00C42F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F62"/>
    <w:rPr>
      <w:i/>
      <w:iCs/>
      <w:color w:val="0F4761" w:themeColor="accent1" w:themeShade="BF"/>
    </w:rPr>
  </w:style>
  <w:style w:type="character" w:styleId="IntenseReference">
    <w:name w:val="Intense Reference"/>
    <w:basedOn w:val="DefaultParagraphFont"/>
    <w:uiPriority w:val="32"/>
    <w:qFormat/>
    <w:rsid w:val="00C42F62"/>
    <w:rPr>
      <w:b/>
      <w:bCs/>
      <w:smallCaps/>
      <w:color w:val="0F4761" w:themeColor="accent1" w:themeShade="BF"/>
      <w:spacing w:val="5"/>
    </w:rPr>
  </w:style>
  <w:style w:type="paragraph" w:styleId="Header">
    <w:name w:val="header"/>
    <w:basedOn w:val="Normal"/>
    <w:link w:val="HeaderChar"/>
    <w:uiPriority w:val="99"/>
    <w:unhideWhenUsed/>
    <w:rsid w:val="00463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3881"/>
  </w:style>
  <w:style w:type="paragraph" w:styleId="Footer">
    <w:name w:val="footer"/>
    <w:basedOn w:val="Normal"/>
    <w:link w:val="FooterChar"/>
    <w:uiPriority w:val="99"/>
    <w:unhideWhenUsed/>
    <w:rsid w:val="00463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3881"/>
  </w:style>
  <w:style w:type="paragraph" w:styleId="TOC1">
    <w:name w:val="toc 1"/>
    <w:basedOn w:val="Normal"/>
    <w:next w:val="Normal"/>
    <w:autoRedefine/>
    <w:uiPriority w:val="39"/>
    <w:unhideWhenUsed/>
    <w:rsid w:val="00B37915"/>
    <w:pPr>
      <w:tabs>
        <w:tab w:val="right" w:leader="dot" w:pos="9016"/>
      </w:tabs>
      <w:spacing w:before="100" w:beforeAutospacing="1" w:after="100" w:afterAutospacing="1" w:line="360" w:lineRule="auto"/>
    </w:pPr>
  </w:style>
  <w:style w:type="character" w:styleId="Hyperlink">
    <w:name w:val="Hyperlink"/>
    <w:basedOn w:val="DefaultParagraphFont"/>
    <w:uiPriority w:val="99"/>
    <w:unhideWhenUsed/>
    <w:rsid w:val="00463881"/>
    <w:rPr>
      <w:color w:val="467886" w:themeColor="hyperlink"/>
      <w:u w:val="single"/>
    </w:rPr>
  </w:style>
  <w:style w:type="paragraph" w:styleId="TOC2">
    <w:name w:val="toc 2"/>
    <w:basedOn w:val="Normal"/>
    <w:next w:val="Normal"/>
    <w:autoRedefine/>
    <w:uiPriority w:val="39"/>
    <w:unhideWhenUsed/>
    <w:rsid w:val="00D756F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openstax.org/books/anatomy-and-physiology-2e/pages/24-2-carbohydrate-metabolism" TargetMode="External"/><Relationship Id="rId18" Type="http://schemas.openxmlformats.org/officeDocument/2006/relationships/hyperlink" Target="https://www.diabetes.org.uk/about-diabetes/looking-after-diabetes/technology/continuous-glucose-monitors" TargetMode="External"/><Relationship Id="rId26" Type="http://schemas.openxmlformats.org/officeDocument/2006/relationships/hyperlink" Target="https://pubmed.ncbi.nlm.nih.gov/18508724/" TargetMode="External"/><Relationship Id="rId3" Type="http://schemas.openxmlformats.org/officeDocument/2006/relationships/styles" Target="styles.xml"/><Relationship Id="rId21" Type="http://schemas.openxmlformats.org/officeDocument/2006/relationships/hyperlink" Target="https://www.nhs.uk/better-health/quit-smoking/ready-to-quit-smoking/find-your-local-stop-smoking-service/"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diabetes.org.uk/living-with-diabetes/exercise/blood-sugar-levels" TargetMode="External"/><Relationship Id="rId25" Type="http://schemas.openxmlformats.org/officeDocument/2006/relationships/hyperlink" Target="https://commons.wikimedia.org/wiki/File:1822_The_Homostatic_Regulation_of_Blood_Glucose_Levels.jpg" TargetMode="External"/><Relationship Id="rId2" Type="http://schemas.openxmlformats.org/officeDocument/2006/relationships/numbering" Target="numbering.xml"/><Relationship Id="rId16" Type="http://schemas.openxmlformats.org/officeDocument/2006/relationships/hyperlink" Target="https://www.diabetes.org.uk/about-diabetes/type-2-diabetes/causes" TargetMode="External"/><Relationship Id="rId20" Type="http://schemas.openxmlformats.org/officeDocument/2006/relationships/hyperlink" Target="https://commons.wikimedia.org/wiki/File:Glucose-day-english.svg"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mydiabetesmyway.scot.nhs.uk/resources/internal/smoking-and-diabetes/" TargetMode="External"/><Relationship Id="rId5" Type="http://schemas.openxmlformats.org/officeDocument/2006/relationships/webSettings" Target="webSettings.xml"/><Relationship Id="rId15" Type="http://schemas.openxmlformats.org/officeDocument/2006/relationships/hyperlink" Target="https://www.diabetes.org.uk/living-with-diabetes/life-with-diabetes/help-with-giving-up-smoking" TargetMode="External"/><Relationship Id="rId23" Type="http://schemas.openxmlformats.org/officeDocument/2006/relationships/hyperlink" Target="https://www.nice.org.uk/guidance/ng28" TargetMode="External"/><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3390/ijms21176275"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gov.uk/government/publications/physical-activity-guidelines-uk-chief-medical-officers-report/uk-chief-medical-officers-physical-activity-guidelines" TargetMode="External"/><Relationship Id="rId22" Type="http://schemas.openxmlformats.org/officeDocument/2006/relationships/hyperlink" Target="https://www.nhs.uk/conditions/diabetic-ketoacidosis/" TargetMode="External"/><Relationship Id="rId27" Type="http://schemas.openxmlformats.org/officeDocument/2006/relationships/hyperlink" Target="https://doi.org/10.3390/nu17243908"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13F72B-AAFA-4634-B00F-C82E98D296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3489</Words>
  <Characters>19891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Poznanska</dc:creator>
  <cp:keywords/>
  <dc:description/>
  <cp:lastModifiedBy>Anna Poznanska</cp:lastModifiedBy>
  <cp:revision>3</cp:revision>
  <dcterms:created xsi:type="dcterms:W3CDTF">2026-08-30T12:43:00Z</dcterms:created>
  <dcterms:modified xsi:type="dcterms:W3CDTF">2026-08-30T12:44:00Z</dcterms:modified>
</cp:coreProperties>
</file>