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E31F" w14:textId="2EC2B4D3" w:rsidR="008A3370" w:rsidRPr="00323D42" w:rsidRDefault="00323D42">
      <w:pPr>
        <w:rPr>
          <w:b/>
          <w:bCs/>
          <w:u w:val="single"/>
        </w:rPr>
      </w:pPr>
      <w:r w:rsidRPr="00323D42">
        <w:rPr>
          <w:b/>
          <w:bCs/>
          <w:u w:val="single"/>
        </w:rPr>
        <w:t>Digital support for grassroots football development: A review of literature informing the design of a performance support website for Sandfields football club.</w:t>
      </w:r>
    </w:p>
    <w:p w14:paraId="7CC99011" w14:textId="77777777" w:rsidR="00323D42" w:rsidRPr="00323D42" w:rsidRDefault="00323D42">
      <w:pPr>
        <w:rPr>
          <w:b/>
          <w:bCs/>
          <w:u w:val="single"/>
        </w:rPr>
      </w:pPr>
    </w:p>
    <w:p w14:paraId="5279665F" w14:textId="77777777" w:rsidR="00323D42" w:rsidRPr="00323D42" w:rsidRDefault="00323D42">
      <w:pPr>
        <w:rPr>
          <w:b/>
          <w:bCs/>
          <w:u w:val="single"/>
        </w:rPr>
      </w:pPr>
    </w:p>
    <w:p w14:paraId="757AA53F" w14:textId="5DF043E2" w:rsidR="00323D42" w:rsidRDefault="00323D42">
      <w:pPr>
        <w:rPr>
          <w:b/>
          <w:bCs/>
        </w:rPr>
      </w:pPr>
      <w:r>
        <w:rPr>
          <w:b/>
          <w:bCs/>
        </w:rPr>
        <w:t>Aim of the project</w:t>
      </w:r>
    </w:p>
    <w:p w14:paraId="0B749975" w14:textId="77777777" w:rsidR="00323D42" w:rsidRDefault="00323D42"/>
    <w:p w14:paraId="2E9559A4" w14:textId="079D724B" w:rsidR="003F51CF" w:rsidRDefault="003F51CF">
      <w:r>
        <w:t>The aim of this project is to design and then develop a website that will support both the players and coaches at Sandfields football club in Swansea by providing them with access to digital resources that will enhance their skill development and performance outcomes. The project seeks to integrate a variety of principles ranging from sports coaching theories, digital learning and a user-centred web design that will address all the developmental needs of grassroot football environments.  Research indicates that in community football clubs there is a lack of structured digital platforms that can provide players and coaches with the necessary tools to better themselves and their abelites outside of the traditional settings such as training sessions and matchdays, which is what this project aims to address. The intention of the website is to function and act as a supplementary performance tool that aligns with coaching practices backed up by evidence-based learning approaches. By establishing the website with the design of existing academic literature, the project aims to ensure both theoretical validity</w:t>
      </w:r>
      <w:r w:rsidR="00BE1C26">
        <w:t xml:space="preserve"> and practical relevance. </w:t>
      </w:r>
    </w:p>
    <w:p w14:paraId="4557877C" w14:textId="77777777" w:rsidR="00BE1C26" w:rsidRDefault="00BE1C26"/>
    <w:p w14:paraId="6826D896" w14:textId="5A1E9DF7" w:rsidR="00BE1C26" w:rsidRDefault="00BE1C26">
      <w:pPr>
        <w:rPr>
          <w:b/>
          <w:bCs/>
        </w:rPr>
      </w:pPr>
      <w:r>
        <w:rPr>
          <w:b/>
          <w:bCs/>
        </w:rPr>
        <w:t>Introduction</w:t>
      </w:r>
    </w:p>
    <w:p w14:paraId="645905AE" w14:textId="77777777" w:rsidR="00BE1C26" w:rsidRDefault="00BE1C26"/>
    <w:p w14:paraId="66F4AFF6" w14:textId="02AABD5E" w:rsidR="002D5506" w:rsidRDefault="00BE1C26">
      <w:r>
        <w:t xml:space="preserve">As the use of digital technology has advanced significantly within the sporting world over the past two decades, it has become imperative to athlete and coach performance and growth that technology is utilised. It has influenced coaching methods, athlete development and performance analysis across multiple levels of participation. Web-based platforms have been used heavily in recent years due to their accessibility, scalability and the ability that these platforms have to deliver a structured method of learning.  Within football digital resources are being used increasingly in order to support all aspects of development and performance ranging from tactical understanding to technical skill acquisition to reflective practices amongst both players and coaches. Despite the level of growth seen in this area of sport, much of the existing research has heavy focus on elite and professional sporting environments which leaves the grassroots community far behind and unrepresented in the literature. </w:t>
      </w:r>
      <w:r w:rsidR="002D5506">
        <w:t xml:space="preserve">Grassroots football clubs such as Sandfields football club have typically operated with limited financial and human resources, relying heavily on volunteer coaches with lack of training and experience This therefore creates challenges in delivering consistent and high-quality coaching support beyond the training sessions and games. Digital platforms can offer a potential solution to this problem by providing these clubs with a centralised platform of key information and support for player learning outside of the physical sessions and environments. Learning theories suggest that athletes benefit from extended repeated exposure to instructional material, reflective opportunities and environments where they can have self-directed learning, all of which can be provide through a well-designed website that they have access to. Furthermore, coach development literature highlights the level of importance of an accessible platform of education that coaches can access to help support reflective practices and long-term skill acquisition. Reviewing literature related to digital learning in sport, user experience design, coaching theory and grassroots development </w:t>
      </w:r>
      <w:r w:rsidR="00A17F47">
        <w:t xml:space="preserve">in this area is essential to justify the development of a website for Sandfields football club. This literature review critically examines the key academic sources in this area to inform the design and implementation of a digital support platform that is tailored to the needs of both the coaches and players within a community football setting. </w:t>
      </w:r>
    </w:p>
    <w:p w14:paraId="7EC44CD9" w14:textId="77777777" w:rsidR="00993604" w:rsidRDefault="00993604"/>
    <w:p w14:paraId="662395E9" w14:textId="04700DBA" w:rsidR="00993604" w:rsidRDefault="00993604">
      <w:r>
        <w:rPr>
          <w:b/>
          <w:bCs/>
        </w:rPr>
        <w:t>Main literature review</w:t>
      </w:r>
    </w:p>
    <w:p w14:paraId="66960103" w14:textId="77777777" w:rsidR="00993604" w:rsidRDefault="00993604"/>
    <w:p w14:paraId="765A2CE2" w14:textId="6A078092" w:rsidR="00993604" w:rsidRDefault="00993604">
      <w:r>
        <w:t>The use of digital technologies has become integral to contemporary sport performance environments, enabling enhanced communication, learning opportunities and analysis. Web-based platforms allow the storage and dissemination of multimedia content, including diagrams, videos</w:t>
      </w:r>
      <w:r w:rsidR="00F35155">
        <w:t xml:space="preserve"> and instructional text which are effective for skill acquisition and athlete development in football.  Research suggests that the use of visual learning tools can improve players understanding of tactical and practical concepts whilst improving their decision-making processes. </w:t>
      </w:r>
      <w:r w:rsidR="009D7D94">
        <w:t>Web-based platforms provide asynchronous learning opportunities that allow athletes to engage with performance-related content at times that suit their individual schedules, which is extremely valuable in the community football settings. In football, where technical and tactical understanding develops progressively, the ability to revisit extensive learning content has been identified as a huge selling point and key advantage of digital platforms. Digital platforms also enable coaches to supplement physical training sessions with theoretical explanations, reinforcing the learning aspect of the sport, this is especially valuable as within the grassroots environment games and sessions can get called oof regularly and this would allow coaches and players to continue their development if and when this happens.  Research support systems have also been proven to reduce cognitive overload by presenting information in both structured and manageable formats.</w:t>
      </w:r>
      <w:r w:rsidR="00C63DE7">
        <w:t xml:space="preserve"> This becomes particularly relevant within youth environments and amateur players who may struggle to process a variety of complex information during tactical training sessions. Websites with the ability to organise content by age group, position or skill level can further the personalised feel of the digital content and would also enhance engagement and understanding.</w:t>
      </w:r>
      <w:r w:rsidR="009D7D94">
        <w:t xml:space="preserve"> Online</w:t>
      </w:r>
      <w:r w:rsidR="00F35155">
        <w:t xml:space="preserve"> platforms have also been known to enable athletes to revisit learning material on multiple occasions which support a deeper level of cognitive processing and knowledge retention of information. From the perspective of coaches, digital tools can provide them with the opportunity to standardise coaching messages and ensure consistency across training sessions and matchdays. Studies completed have shown that digital support platforms can enhance coach-athlete communication by providing structured feedback outside of physical environments. In grassroots settings, where contact time is often limited for these clubs the use of digital platforms may play a critical role in extending learning beyond the pitch. However, the effectiveness of digital tools is influenced by usability and relevance to its user’s context, highlighting the importance of a tailored design for the website. </w:t>
      </w:r>
    </w:p>
    <w:p w14:paraId="0867C331" w14:textId="77777777" w:rsidR="00F35155" w:rsidRDefault="00F35155"/>
    <w:p w14:paraId="1ECC344F" w14:textId="2AAC44C7" w:rsidR="00F35155" w:rsidRDefault="00F35155">
      <w:r>
        <w:t xml:space="preserve">Skill acquisition within football is underpinned by establishing learning theories that emphasise feedback, practice and reflection. Behaviourist approaches highlight the importance </w:t>
      </w:r>
      <w:r w:rsidR="004C3A56">
        <w:t xml:space="preserve">of reinforcement and repetition, which can be encouraged through instructional drills hosted on digital platforms. Cognitive learning theories emphasise understanding, problem-solving and decision-making, which are all critical components of football performance. </w:t>
      </w:r>
      <w:r w:rsidR="00C63DE7">
        <w:t xml:space="preserve">Digital platforms can help support behaviourist principles by providing drill libraries and practice guidance that both players and coaches can access on a regular basis. However, behaviourist approaches alone are an insufficient way to explain complex decision-making processes that are required within the football setting. Cognitive learning theory has also highlighted the massive importance of players and coaches understanding mental representation and having the necessary </w:t>
      </w:r>
      <w:r w:rsidR="00E545D6">
        <w:t>problem-solving</w:t>
      </w:r>
      <w:r w:rsidR="00C63DE7">
        <w:t xml:space="preserve"> skills to further develop their game.</w:t>
      </w:r>
      <w:r w:rsidR="00E545D6">
        <w:t xml:space="preserve"> Web-based instructional content can allow players</w:t>
      </w:r>
      <w:r w:rsidR="00C63DE7">
        <w:t xml:space="preserve"> </w:t>
      </w:r>
      <w:r w:rsidR="00E545D6">
        <w:t xml:space="preserve">to develop mental models of the game and in-game situations which can support and develop tactical awareness. </w:t>
      </w:r>
      <w:r w:rsidR="004C3A56">
        <w:t>Constructivist perspectives suggest that learners can actively construct knowledge through reflection and experiences, reinforcing the value that self-directed digital learning tools can have on the sporting environment.</w:t>
      </w:r>
      <w:r w:rsidR="00E545D6">
        <w:t xml:space="preserve"> </w:t>
      </w:r>
      <w:r w:rsidR="004C3A56">
        <w:t xml:space="preserve"> Kolb’s experiential learning cycle proposes that effective learning occurs through a process of experience, reflection and experimentation which can be facilitated through the development of online resources and websites. The use of digital platforms allows players to reflect on a performance by reviewing instructional content and then applying the concepts in subsequent training sessions. </w:t>
      </w:r>
      <w:r w:rsidR="00E545D6">
        <w:t xml:space="preserve">A website can provide this cycle by providing reflective prompts, explanatory resources and many practical suggestions that can enhance development. </w:t>
      </w:r>
      <w:r w:rsidR="004C3A56">
        <w:t>Coach education literature emphasises that learning is most effective when resources are contextualised an</w:t>
      </w:r>
      <w:r w:rsidR="00E545D6">
        <w:t>d</w:t>
      </w:r>
      <w:r w:rsidR="004C3A56">
        <w:t xml:space="preserve"> relevant to the </w:t>
      </w:r>
      <w:proofErr w:type="gramStart"/>
      <w:r w:rsidR="004C3A56">
        <w:t>learners</w:t>
      </w:r>
      <w:proofErr w:type="gramEnd"/>
      <w:r w:rsidR="004C3A56">
        <w:t xml:space="preserve"> environment.</w:t>
      </w:r>
      <w:r w:rsidR="00E545D6">
        <w:t xml:space="preserve"> Autonomy-supportive environments that both players and coaches can learn in are extremely important for youth and amateur sports contexts where intrinsic motivation is utilised in participation.</w:t>
      </w:r>
      <w:r w:rsidR="004C3A56">
        <w:t xml:space="preserve"> Therefore, a website designed for Sandfields football club should align with the learners needs and be tailored to their experiences and the realities of </w:t>
      </w:r>
      <w:r w:rsidR="00F80B91">
        <w:t xml:space="preserve">grassroots football participation. </w:t>
      </w:r>
    </w:p>
    <w:p w14:paraId="1E39363B" w14:textId="77777777" w:rsidR="00F80B91" w:rsidRDefault="00F80B91"/>
    <w:p w14:paraId="66E93D12" w14:textId="37450C26" w:rsidR="00F80B91" w:rsidRDefault="00F80B91">
      <w:r>
        <w:t xml:space="preserve">Coaches play a central role in player development, </w:t>
      </w:r>
      <w:proofErr w:type="gramStart"/>
      <w:r>
        <w:t>in particular within</w:t>
      </w:r>
      <w:proofErr w:type="gramEnd"/>
      <w:r>
        <w:t xml:space="preserve"> the football setting where a formal education pathway can be limited.</w:t>
      </w:r>
      <w:r w:rsidR="00E545D6">
        <w:t xml:space="preserve"> Research suggests that many coaches within this sport setting have a lack of access to the formal coaching education routes.</w:t>
      </w:r>
      <w:r>
        <w:t xml:space="preserve"> Research indicates that many grassroots coaches rely on an informal learning setting such as peer interactions and personal experiences rather than a structured education programme.</w:t>
      </w:r>
      <w:r w:rsidR="00E545D6">
        <w:t xml:space="preserve"> Whilst much research does suggest that informal learning can be beneficial to coach development the lack of formal learning can lead to inconsistent coaching practice and a very limited exposure to evidence-based methods. A website could help bridge the gap for coaches in the community footballing world.</w:t>
      </w:r>
      <w:r>
        <w:t xml:space="preserve"> Digital platforms can support development by providing them with access to evidence-based resources and reflective tools. Online learning environments can enable coaches to engage in continuous professional development at their own paces, addressing time constraints common in volunteer roles. Websites that can integrate coaching frameworks and session planning tools have been proven to enhance coaching competence and confidence leading to overall development and progression. Additionally, digital resources can promote reflective practices, which has been widely recognised as a key component of effective coaching and development.</w:t>
      </w:r>
      <w:r w:rsidR="00E545D6">
        <w:t xml:space="preserve"> Websites that can provide coaches with new and fresh session plans can improve the quality of their sessions and effect how enjoyable they are leading to the players retaining more information and being </w:t>
      </w:r>
      <w:r w:rsidR="00904744">
        <w:t>more focused whilst being more likely to retain information. Digital platforms can also facilitate knowledge sharing between clubs, promoting a shared coaching identity and philosophy. Within community football settings, this combined and shared understanding can improve player development pathways and retention whilst help the growth and sustainability of grassroots football.</w:t>
      </w:r>
      <w:r>
        <w:t xml:space="preserve"> By supporting coaches learning needs, digital platforms indirectly contribute to improved player experiences and long-term performance outcomes. Literature supports the development of a website that provides players and coaches with structured and tailored support for a club like Sandfields. </w:t>
      </w:r>
    </w:p>
    <w:p w14:paraId="626AA951" w14:textId="77777777" w:rsidR="00F80B91" w:rsidRDefault="00F80B91"/>
    <w:p w14:paraId="46E5DDBA" w14:textId="0B68CA19" w:rsidR="00F80B91" w:rsidRDefault="001D40C1">
      <w:r>
        <w:t xml:space="preserve">User experience design is a critical factor in the effectiveness of digital learning platforms. Research suggests that a poorly designed website can reduce user engagement and limit the educational benefit of the digital resources provided. </w:t>
      </w:r>
      <w:r w:rsidR="00904744">
        <w:t xml:space="preserve">Due to the range of </w:t>
      </w:r>
      <w:proofErr w:type="gramStart"/>
      <w:r w:rsidR="00904744">
        <w:t>users</w:t>
      </w:r>
      <w:proofErr w:type="gramEnd"/>
      <w:r w:rsidR="00904744">
        <w:t xml:space="preserve"> digital literacy skills and the literacy levels of the individuals, general accessibility is extremely important and this should be heavily focused on in the design of the website. </w:t>
      </w:r>
      <w:r w:rsidR="005C2E01">
        <w:t xml:space="preserve">Responsive design will ensure that content is accessible across devices, enhancing both usability and engagement for its users. </w:t>
      </w:r>
      <w:r>
        <w:t xml:space="preserve">Usability principles emphasises simplicity, clarity and accessibility partnered with a well-structured layout which is important for users with a variety of digital literacy levels. In sport context, users will often access digital content </w:t>
      </w:r>
      <w:proofErr w:type="gramStart"/>
      <w:r>
        <w:t>through the use of</w:t>
      </w:r>
      <w:proofErr w:type="gramEnd"/>
      <w:r>
        <w:t xml:space="preserve"> their mobile devices which highlights the importance of responsive design.</w:t>
      </w:r>
      <w:r w:rsidR="005C2E01">
        <w:t xml:space="preserve"> Another way of ensuring that the digital information is used effectively and in the desired ways is by providing its users with the option to track and save their progress whilst using the website. In the grassroots football settings, accessibility for its users when regarding to the website is also heavily influenced by time constraints and competing commitments making it essential for users to have the digital information provided in the most efficient and simplistic way possible.</w:t>
      </w:r>
      <w:r>
        <w:t xml:space="preserve"> Engagement can be enhanced when content is visually appealing, is easy to navigate and is directly relevant to its </w:t>
      </w:r>
      <w:proofErr w:type="gramStart"/>
      <w:r>
        <w:t>users</w:t>
      </w:r>
      <w:proofErr w:type="gramEnd"/>
      <w:r>
        <w:t xml:space="preserve"> goals. Motivational design theories suggest that autonomy, competence and relatedness can increase user engagement which can also be supported via interactive website features. For grassroots football clubs a user centred design ensures that digital platforms remain both sustainable and practical for its users. Therefore, a website developed for Sandfields football club must prioritise usability and engagement to maximise its desired impact. </w:t>
      </w:r>
    </w:p>
    <w:p w14:paraId="2FDE3FF4" w14:textId="77777777" w:rsidR="001D40C1" w:rsidRDefault="001D40C1"/>
    <w:p w14:paraId="5310997F" w14:textId="4BDEA5F4" w:rsidR="001165B6" w:rsidRDefault="001D40C1">
      <w:r>
        <w:t>Whilst extensive research exists on digital technology in the elite sporting environments, limited attention has been focused on community-based sporting settings. Few studies explore the development of club-specific websites that are designed to support both coaches and players simultaneously.</w:t>
      </w:r>
      <w:r w:rsidR="001165B6">
        <w:t xml:space="preserve"> Additionally, the literature lacks practical implementation of digital platforms in community football environments.</w:t>
      </w:r>
      <w:r w:rsidR="00E27F17">
        <w:t xml:space="preserve"> Within community settings, enhanced levels of communication </w:t>
      </w:r>
      <w:proofErr w:type="gramStart"/>
      <w:r w:rsidR="00E27F17">
        <w:t>has</w:t>
      </w:r>
      <w:proofErr w:type="gramEnd"/>
      <w:r w:rsidR="00E27F17">
        <w:t xml:space="preserve"> been linked to both coach and player overall satisfaction. </w:t>
      </w:r>
      <w:r w:rsidR="005C2E01">
        <w:t xml:space="preserve">With all the research indicating that there are many inconsistencies in coaching quality within the grassroots environment due to the many variations in coaching education and experiences. </w:t>
      </w:r>
      <w:r w:rsidR="00E27F17">
        <w:t xml:space="preserve">Despite these potential benefits, the literature reveals a lack of empirical research that examines digital interventions in the grassroots football context. </w:t>
      </w:r>
      <w:r w:rsidR="005C2E01">
        <w:t>With the majority of existing research suggesting that academies and elite sporting environments being the only people to have access to such resources it can hinder athlete and coach development at a community level.</w:t>
      </w:r>
      <w:r w:rsidR="001165B6">
        <w:t xml:space="preserve"> This gap highlights the need for applied projects in grassroots sport that can translate theory into practice. Developing a website for Sandfields football club provides an opportunity to address this gap and contribute to applied sport technology research. </w:t>
      </w:r>
    </w:p>
    <w:p w14:paraId="37958B68" w14:textId="77777777" w:rsidR="00904744" w:rsidRDefault="00904744"/>
    <w:p w14:paraId="6D07C66D" w14:textId="43564160" w:rsidR="00904744" w:rsidRDefault="00E27F17">
      <w:r>
        <w:t xml:space="preserve">The literature consistently highlights the vast potential of digital platforms and their ability to enhance learning and performance in the footballing world. However, there is limited research examining how these tools have been or can be implemented within the current grassroots environment. There are few studies that explore the design and evaluation of club-specific websites that can support both coaches and players simultaneously. Additionally, the existing research often lacks contextual detail, making it difficult for many community clubs to apply the findings in practice and utilise any tools that may already be available. Applied development projects have provided opportunities to test theoretical principles in the current real-world settings. The proposed website for Sandfields football club offers a practical means to translate any of the necessary academic theory and information into some actionable solutions to the current problem. This approach aligns with calls for practice-informed research within the sports coaching literature. </w:t>
      </w:r>
      <w:r w:rsidR="003548A5">
        <w:t xml:space="preserve">Research on user experience and player engagement further reinforces the level of importance of contextually appropriate design for the website. Whilst in general, usability principles have been well established, their application within the grassroots football websites remain under-researched and analysed. Community football clubs in many cases often serve a diverse user base, including the coaches, players, parents and administrators who each have distinct needs and levels of digital literacy </w:t>
      </w:r>
      <w:proofErr w:type="gramStart"/>
      <w:r w:rsidR="003548A5">
        <w:t>in order to</w:t>
      </w:r>
      <w:proofErr w:type="gramEnd"/>
      <w:r w:rsidR="003548A5">
        <w:t xml:space="preserve"> perform in their roles. The literature on hand lacks any detailed case studies examining how digital platforms can affectively accommodate these varied stakeholders within a single system. This absence of applied evidence highlights the value of practical website development projects informed by academic theory. Looking at it from a broader perspective, sport coaching research has increasingly called for practice-based inquiry that bridges the gap between both theory and application. Any use of applied projects can enable researchers and practitioners to test theoretical frameworks in authentic environments, generating contextually relevant insights to look at and use. The development of a website for Sandfields football club responds directly to the call by operationalising learning theories, coaching frameworks, and usability principles within the real-world grassroots setting. This approach aligns with the contemporary research paradigms that value situated learning and reflective practices.</w:t>
      </w:r>
      <w:r w:rsidR="00C2767B">
        <w:t xml:space="preserve"> The justification for applied digital development is further strengthened by the community role of a grassroots football club in the UK. Clubs such as Sandfields football club serve not only as sporting organisations but also as a social hub and an education environment. The use of digital platforms can enhance this role by supporting communication, inclusion and long-term participation. However, without applied research examining implementation at club level, these potential benefits remain largely theoretical. The development of a website like this can provide an opportunity to evaluate how digital learning principles can be adapted to grassroots football constraints. It can also enable the examination of how coaches and players engage with digital resources within the community sport context. By addressing these gaps, the project contributes to both academic understanding and practical innovation in football development for both coaches and players at the desired level. This </w:t>
      </w:r>
      <w:proofErr w:type="gramStart"/>
      <w:r w:rsidR="00C2767B">
        <w:t>particular analysis</w:t>
      </w:r>
      <w:proofErr w:type="gramEnd"/>
      <w:r w:rsidR="00C2767B">
        <w:t xml:space="preserve"> directly justifies progression to element 3, which focuses on the applied design, development, and evolution of the proposed website. Element 3 will operationalise the theoretical insights identified within this literature review, therefore translating them into a functional digital platform tailored to Sandfields football club. The completion of element 3 is therefore essential to demonstrate both the practicality and sustainability of the website.</w:t>
      </w:r>
    </w:p>
    <w:p w14:paraId="5A56E923" w14:textId="77777777" w:rsidR="001165B6" w:rsidRDefault="001165B6"/>
    <w:p w14:paraId="115E2D0D" w14:textId="544EF757" w:rsidR="001165B6" w:rsidRPr="001165B6" w:rsidRDefault="001165B6">
      <w:r>
        <w:rPr>
          <w:b/>
          <w:bCs/>
        </w:rPr>
        <w:t>Conclusion</w:t>
      </w:r>
    </w:p>
    <w:p w14:paraId="5146E533" w14:textId="77777777" w:rsidR="001165B6" w:rsidRDefault="001165B6"/>
    <w:p w14:paraId="78AC8913" w14:textId="57461108" w:rsidR="001D40C1" w:rsidRDefault="001165B6">
      <w:r>
        <w:t xml:space="preserve">This literature review has demonstrated that digital platforms have the significant potential to support skill development and performance within football environments.  Theoretical frameworks from learning science and coaching research support the development and use of web-based resources to enhance both player and coach development. User experience literature emphasises the necessity and importance of an accessible and engaging design, particularly in the grassroots contexts. Despite this, existing research levels have a lack of applied digital solutions tailored to community football clubs. The proposed website for Sandfields football club is therefore justified as a practical response to the identified gaps in the literature. Element 3 will build upon this review by applying theoretical insights to the design, development and evaluation of a functional digital platfrom. Completing element 3 is essential to demonstrate how academic theory can inform real-world solutions that enhance coaching </w:t>
      </w:r>
      <w:r w:rsidR="009D7D94">
        <w:t xml:space="preserve">practice and player development within grassroots football. </w:t>
      </w:r>
      <w:r w:rsidR="006D4E3D">
        <w:t xml:space="preserve">The reviewed literature demonstrates that digital platforms are becoming increasingly recognised as effective tools for enhancing learning, communication and performance in football environments. However, it is evident that much of the existing research has focused more on the elite sporting environments and professional football settings, which limits its direct applicability to grassroots football clubs. This imbalance highlights a clear need for context-specific digital solutions that align with the realities of community-based football organisations. The literature on skill acquisition and learning theory emphasises that effective player development requires opportunities for repetition, reflection and conceptual understanding. Digital platforms are well suited to support these processes by enabling players to access instructional resources beyond formal training sessions. Research also suggests that self-directed and autonomy-supportive learning environments enhance motivation and engagement for both players and coaches particularly in youth and amateur sport contexts. </w:t>
      </w:r>
      <w:r w:rsidR="00652A98">
        <w:t xml:space="preserve">Despite </w:t>
      </w:r>
      <w:proofErr w:type="gramStart"/>
      <w:r w:rsidR="00652A98">
        <w:t>all of</w:t>
      </w:r>
      <w:proofErr w:type="gramEnd"/>
      <w:r w:rsidR="00652A98">
        <w:t xml:space="preserve"> this there is limited guidance on how digital learning principles can and should be operationalised within grassroots football clubs. This major gap reinforces the importance of applied projects that translate theoretical learning frameworks into practical tools for community clubs. Overall, this literature review has highlighted the importance of the use of digital tools to the development of both the development of players and coaches, it also highlights the massive gaps between grassroots and elite sporting environments that needs to be closed.</w:t>
      </w:r>
    </w:p>
    <w:p w14:paraId="74572929" w14:textId="77777777" w:rsidR="00652A98" w:rsidRDefault="00652A98"/>
    <w:p w14:paraId="0EB90F8B" w14:textId="1B140DB2" w:rsidR="00652A98" w:rsidRPr="00652A98" w:rsidRDefault="00652A98">
      <w:pPr>
        <w:rPr>
          <w:b/>
          <w:bCs/>
        </w:rPr>
      </w:pPr>
      <w:r w:rsidRPr="00652A98">
        <w:rPr>
          <w:b/>
          <w:bCs/>
        </w:rPr>
        <w:t>Reference list</w:t>
      </w:r>
    </w:p>
    <w:p w14:paraId="41C5B23F" w14:textId="77777777" w:rsidR="00F35155" w:rsidRPr="00993604" w:rsidRDefault="00F35155"/>
    <w:p w14:paraId="16F7D226" w14:textId="77777777" w:rsidR="00BE1C26" w:rsidRDefault="00BE1C26"/>
    <w:p w14:paraId="17B46E83"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Anderson, J. R. (1982). Acquisition of cognitive skill.</w:t>
      </w:r>
      <w:r>
        <w:rPr>
          <w:rStyle w:val="normaltextrun"/>
          <w:rFonts w:ascii="Arial" w:eastAsiaTheme="majorEastAsia" w:hAnsi="Arial" w:cs="Arial"/>
          <w:color w:val="000000"/>
        </w:rPr>
        <w:t> </w:t>
      </w:r>
      <w:r>
        <w:rPr>
          <w:rStyle w:val="normaltextrun"/>
          <w:rFonts w:eastAsiaTheme="majorEastAsia"/>
          <w:i/>
          <w:iCs/>
          <w:color w:val="000000"/>
        </w:rPr>
        <w:t>Psychological Review</w:t>
      </w:r>
      <w:r>
        <w:rPr>
          <w:rStyle w:val="normaltextrun"/>
          <w:rFonts w:eastAsiaTheme="majorEastAsia"/>
          <w:color w:val="000000"/>
        </w:rPr>
        <w:t>, 89(4), 369–406.</w:t>
      </w:r>
      <w:r>
        <w:rPr>
          <w:rStyle w:val="scxw171735308"/>
          <w:rFonts w:eastAsiaTheme="majorEastAsia"/>
          <w:color w:val="000000"/>
        </w:rPr>
        <w:t> </w:t>
      </w:r>
      <w:r>
        <w:rPr>
          <w:color w:val="000000"/>
        </w:rPr>
        <w:br/>
      </w:r>
      <w:r>
        <w:rPr>
          <w:rStyle w:val="normaltextrun"/>
          <w:rFonts w:eastAsiaTheme="majorEastAsia"/>
          <w:color w:val="000000"/>
        </w:rPr>
        <w:t>Anderson, G. (2019). </w:t>
      </w:r>
      <w:r>
        <w:rPr>
          <w:rStyle w:val="normaltextrun"/>
          <w:rFonts w:eastAsiaTheme="majorEastAsia"/>
          <w:i/>
          <w:iCs/>
          <w:color w:val="000000"/>
        </w:rPr>
        <w:t>Digital learning in sport</w:t>
      </w:r>
      <w:r>
        <w:rPr>
          <w:rStyle w:val="normaltextrun"/>
          <w:rFonts w:eastAsiaTheme="majorEastAsia"/>
          <w:color w:val="000000"/>
        </w:rPr>
        <w:t>.</w:t>
      </w:r>
      <w:r>
        <w:rPr>
          <w:rStyle w:val="apple-converted-space"/>
          <w:rFonts w:eastAsiaTheme="majorEastAsia"/>
          <w:color w:val="000000"/>
        </w:rPr>
        <w:t> </w:t>
      </w:r>
      <w:r>
        <w:rPr>
          <w:rStyle w:val="normaltextrun"/>
          <w:rFonts w:eastAsiaTheme="majorEastAsia"/>
          <w:color w:val="000000"/>
        </w:rPr>
        <w:t>Routledge.</w:t>
      </w:r>
      <w:r>
        <w:rPr>
          <w:rStyle w:val="eop"/>
          <w:rFonts w:eastAsiaTheme="majorEastAsia"/>
          <w:color w:val="000000"/>
        </w:rPr>
        <w:t> </w:t>
      </w:r>
    </w:p>
    <w:p w14:paraId="00004E38"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Carling, C., Williams, A. M., &amp; Reilly, T. (2014). </w:t>
      </w:r>
      <w:r>
        <w:rPr>
          <w:rStyle w:val="normaltextrun"/>
          <w:rFonts w:eastAsiaTheme="majorEastAsia"/>
          <w:i/>
          <w:iCs/>
          <w:color w:val="000000"/>
        </w:rPr>
        <w:t>Handbook of soccer match analysis: A systematic approach to improving performance</w:t>
      </w:r>
      <w:r>
        <w:rPr>
          <w:rStyle w:val="normaltextrun"/>
          <w:rFonts w:eastAsiaTheme="majorEastAsia"/>
          <w:color w:val="000000"/>
        </w:rPr>
        <w:t>.</w:t>
      </w:r>
      <w:r>
        <w:rPr>
          <w:rStyle w:val="apple-converted-space"/>
          <w:rFonts w:eastAsiaTheme="majorEastAsia"/>
          <w:color w:val="000000"/>
        </w:rPr>
        <w:t> </w:t>
      </w:r>
      <w:r>
        <w:rPr>
          <w:rStyle w:val="normaltextrun"/>
          <w:rFonts w:eastAsiaTheme="majorEastAsia"/>
          <w:color w:val="000000"/>
        </w:rPr>
        <w:t>Routledge.</w:t>
      </w:r>
      <w:r>
        <w:rPr>
          <w:rStyle w:val="eop"/>
          <w:rFonts w:eastAsiaTheme="majorEastAsia"/>
          <w:color w:val="000000"/>
        </w:rPr>
        <w:t> </w:t>
      </w:r>
    </w:p>
    <w:p w14:paraId="26C5576B" w14:textId="77777777" w:rsidR="00652A98" w:rsidRDefault="00652A98" w:rsidP="00652A98">
      <w:pPr>
        <w:pStyle w:val="paragraph"/>
        <w:spacing w:before="0" w:after="0"/>
        <w:textAlignment w:val="baseline"/>
        <w:rPr>
          <w:rFonts w:ascii="Segoe UI" w:hAnsi="Segoe UI" w:cs="Segoe UI"/>
          <w:sz w:val="18"/>
          <w:szCs w:val="18"/>
        </w:rPr>
      </w:pPr>
      <w:proofErr w:type="spellStart"/>
      <w:r>
        <w:rPr>
          <w:rStyle w:val="normaltextrun"/>
          <w:rFonts w:eastAsiaTheme="majorEastAsia"/>
          <w:color w:val="000000"/>
        </w:rPr>
        <w:t>Côté</w:t>
      </w:r>
      <w:proofErr w:type="spellEnd"/>
      <w:r>
        <w:rPr>
          <w:rStyle w:val="normaltextrun"/>
          <w:rFonts w:eastAsiaTheme="majorEastAsia"/>
          <w:color w:val="000000"/>
        </w:rPr>
        <w:t>, J., &amp; Gilbert, W. (2009). An integrative definition of coaching effectiveness and</w:t>
      </w:r>
      <w:r>
        <w:rPr>
          <w:rStyle w:val="apple-converted-space"/>
          <w:rFonts w:eastAsiaTheme="majorEastAsia"/>
          <w:color w:val="000000"/>
        </w:rPr>
        <w:t> </w:t>
      </w:r>
      <w:r>
        <w:rPr>
          <w:rStyle w:val="normaltextrun"/>
          <w:rFonts w:eastAsiaTheme="majorEastAsia"/>
          <w:color w:val="000000"/>
        </w:rPr>
        <w:t>expertise. </w:t>
      </w:r>
      <w:r>
        <w:rPr>
          <w:rStyle w:val="normaltextrun"/>
          <w:rFonts w:eastAsiaTheme="majorEastAsia"/>
          <w:i/>
          <w:iCs/>
          <w:color w:val="000000"/>
        </w:rPr>
        <w:t>International Journal of Sports Science &amp; Coaching</w:t>
      </w:r>
      <w:r>
        <w:rPr>
          <w:rStyle w:val="normaltextrun"/>
          <w:rFonts w:eastAsiaTheme="majorEastAsia"/>
          <w:color w:val="000000"/>
        </w:rPr>
        <w:t>, 4(3), 307–323.</w:t>
      </w:r>
      <w:r>
        <w:rPr>
          <w:rStyle w:val="eop"/>
          <w:rFonts w:eastAsiaTheme="majorEastAsia"/>
          <w:color w:val="000000"/>
        </w:rPr>
        <w:t> </w:t>
      </w:r>
    </w:p>
    <w:p w14:paraId="7BB769A1"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Cushion, C. J., &amp; Jones, R. L. (2006). Power, discourse, and symbolic violence in professional youth soccer: The case of Albion Football Club. </w:t>
      </w:r>
      <w:r>
        <w:rPr>
          <w:rStyle w:val="normaltextrun"/>
          <w:rFonts w:eastAsiaTheme="majorEastAsia"/>
          <w:i/>
          <w:iCs/>
          <w:color w:val="000000"/>
        </w:rPr>
        <w:t>Sociology of Sport Journal</w:t>
      </w:r>
      <w:r>
        <w:rPr>
          <w:rStyle w:val="normaltextrun"/>
          <w:rFonts w:eastAsiaTheme="majorEastAsia"/>
          <w:color w:val="000000"/>
        </w:rPr>
        <w:t>, 23(2), 142–161.</w:t>
      </w:r>
      <w:r>
        <w:rPr>
          <w:rStyle w:val="eop"/>
          <w:rFonts w:eastAsiaTheme="majorEastAsia"/>
          <w:color w:val="000000"/>
        </w:rPr>
        <w:t> </w:t>
      </w:r>
    </w:p>
    <w:p w14:paraId="465C313C"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Cushion, C. J., Armour, K. M., &amp; Jones, R. L. (2012). Coach education and coaching practice: A critical review. </w:t>
      </w:r>
      <w:r>
        <w:rPr>
          <w:rStyle w:val="normaltextrun"/>
          <w:rFonts w:eastAsiaTheme="majorEastAsia"/>
          <w:i/>
          <w:iCs/>
          <w:color w:val="000000"/>
        </w:rPr>
        <w:t>Quest</w:t>
      </w:r>
      <w:r>
        <w:rPr>
          <w:rStyle w:val="normaltextrun"/>
          <w:rFonts w:eastAsiaTheme="majorEastAsia"/>
          <w:color w:val="000000"/>
        </w:rPr>
        <w:t>, 55(3), 215–234.</w:t>
      </w:r>
      <w:r>
        <w:rPr>
          <w:rStyle w:val="eop"/>
          <w:rFonts w:eastAsiaTheme="majorEastAsia"/>
          <w:color w:val="000000"/>
        </w:rPr>
        <w:t> </w:t>
      </w:r>
    </w:p>
    <w:p w14:paraId="59D9AC47"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Deci, E. L., &amp; Ryan, R. M. (2000). The “what” and “why” of goal pursuits: Human needs and the self-determination of</w:t>
      </w:r>
      <w:r>
        <w:rPr>
          <w:rStyle w:val="apple-converted-space"/>
          <w:rFonts w:eastAsiaTheme="majorEastAsia"/>
          <w:color w:val="000000"/>
        </w:rPr>
        <w:t> </w:t>
      </w:r>
      <w:proofErr w:type="spellStart"/>
      <w:r>
        <w:rPr>
          <w:rStyle w:val="normaltextrun"/>
          <w:rFonts w:eastAsiaTheme="majorEastAsia"/>
          <w:color w:val="000000"/>
        </w:rPr>
        <w:t>behavior</w:t>
      </w:r>
      <w:proofErr w:type="spellEnd"/>
      <w:r>
        <w:rPr>
          <w:rStyle w:val="normaltextrun"/>
          <w:rFonts w:eastAsiaTheme="majorEastAsia"/>
          <w:color w:val="000000"/>
        </w:rPr>
        <w:t>. </w:t>
      </w:r>
      <w:r>
        <w:rPr>
          <w:rStyle w:val="normaltextrun"/>
          <w:rFonts w:eastAsiaTheme="majorEastAsia"/>
          <w:i/>
          <w:iCs/>
          <w:color w:val="000000"/>
        </w:rPr>
        <w:t>Psychological Inquiry</w:t>
      </w:r>
      <w:r>
        <w:rPr>
          <w:rStyle w:val="normaltextrun"/>
          <w:rFonts w:eastAsiaTheme="majorEastAsia"/>
          <w:color w:val="000000"/>
        </w:rPr>
        <w:t>, 11(4), 227–268.</w:t>
      </w:r>
      <w:r>
        <w:rPr>
          <w:rStyle w:val="eop"/>
          <w:rFonts w:eastAsiaTheme="majorEastAsia"/>
          <w:color w:val="000000"/>
        </w:rPr>
        <w:t> </w:t>
      </w:r>
    </w:p>
    <w:p w14:paraId="0EB305B3"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 xml:space="preserve">Gilbert, W. D., &amp; </w:t>
      </w:r>
      <w:proofErr w:type="spellStart"/>
      <w:r>
        <w:rPr>
          <w:rStyle w:val="normaltextrun"/>
          <w:rFonts w:eastAsiaTheme="majorEastAsia"/>
          <w:color w:val="000000"/>
        </w:rPr>
        <w:t>Trudel</w:t>
      </w:r>
      <w:proofErr w:type="spellEnd"/>
      <w:r>
        <w:rPr>
          <w:rStyle w:val="normaltextrun"/>
          <w:rFonts w:eastAsiaTheme="majorEastAsia"/>
          <w:color w:val="000000"/>
        </w:rPr>
        <w:t>, P. (2001). Learning to coach through experience: Reflection in model youth sport coaches. </w:t>
      </w:r>
      <w:r>
        <w:rPr>
          <w:rStyle w:val="normaltextrun"/>
          <w:rFonts w:eastAsiaTheme="majorEastAsia"/>
          <w:i/>
          <w:iCs/>
          <w:color w:val="000000"/>
        </w:rPr>
        <w:t>Journal of Teaching in Physical Education</w:t>
      </w:r>
      <w:r>
        <w:rPr>
          <w:rStyle w:val="normaltextrun"/>
          <w:rFonts w:eastAsiaTheme="majorEastAsia"/>
          <w:color w:val="000000"/>
        </w:rPr>
        <w:t>, 21(1), 16–34.</w:t>
      </w:r>
      <w:r>
        <w:rPr>
          <w:rStyle w:val="eop"/>
          <w:rFonts w:eastAsiaTheme="majorEastAsia"/>
          <w:color w:val="000000"/>
        </w:rPr>
        <w:t> </w:t>
      </w:r>
    </w:p>
    <w:p w14:paraId="04EE58B5"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Groom, R., Cushion, C., &amp; Nelson, L. (2019). </w:t>
      </w:r>
      <w:r>
        <w:rPr>
          <w:rStyle w:val="normaltextrun"/>
          <w:rFonts w:eastAsiaTheme="majorEastAsia"/>
          <w:i/>
          <w:iCs/>
          <w:color w:val="000000"/>
        </w:rPr>
        <w:t>Sports coaching: Professionalisation and practice</w:t>
      </w:r>
      <w:r>
        <w:rPr>
          <w:rStyle w:val="normaltextrun"/>
          <w:rFonts w:eastAsiaTheme="majorEastAsia"/>
          <w:color w:val="000000"/>
        </w:rPr>
        <w:t>. Elsevier.</w:t>
      </w:r>
      <w:r>
        <w:rPr>
          <w:rStyle w:val="eop"/>
          <w:rFonts w:eastAsiaTheme="majorEastAsia"/>
          <w:color w:val="000000"/>
        </w:rPr>
        <w:t> </w:t>
      </w:r>
    </w:p>
    <w:p w14:paraId="46CDBF77"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Hughes, M., &amp; Franks, I. M. (2015). </w:t>
      </w:r>
      <w:r>
        <w:rPr>
          <w:rStyle w:val="normaltextrun"/>
          <w:rFonts w:eastAsiaTheme="majorEastAsia"/>
          <w:i/>
          <w:iCs/>
          <w:color w:val="000000"/>
        </w:rPr>
        <w:t>Essentials of performance analysis in sport</w:t>
      </w:r>
      <w:r>
        <w:rPr>
          <w:rStyle w:val="normaltextrun"/>
          <w:rFonts w:eastAsiaTheme="majorEastAsia"/>
          <w:color w:val="000000"/>
        </w:rPr>
        <w:t>.</w:t>
      </w:r>
      <w:r>
        <w:rPr>
          <w:rStyle w:val="apple-converted-space"/>
          <w:rFonts w:eastAsiaTheme="majorEastAsia"/>
          <w:color w:val="000000"/>
        </w:rPr>
        <w:t> </w:t>
      </w:r>
      <w:r>
        <w:rPr>
          <w:rStyle w:val="normaltextrun"/>
          <w:rFonts w:eastAsiaTheme="majorEastAsia"/>
          <w:color w:val="000000"/>
        </w:rPr>
        <w:t>Routledge.</w:t>
      </w:r>
      <w:r>
        <w:rPr>
          <w:rStyle w:val="eop"/>
          <w:rFonts w:eastAsiaTheme="majorEastAsia"/>
          <w:color w:val="000000"/>
        </w:rPr>
        <w:t> </w:t>
      </w:r>
    </w:p>
    <w:p w14:paraId="5E371C68"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International</w:t>
      </w:r>
      <w:r>
        <w:rPr>
          <w:rStyle w:val="apple-converted-space"/>
          <w:rFonts w:eastAsiaTheme="majorEastAsia"/>
          <w:color w:val="000000"/>
        </w:rPr>
        <w:t> </w:t>
      </w:r>
      <w:r>
        <w:rPr>
          <w:rStyle w:val="normaltextrun"/>
          <w:rFonts w:eastAsiaTheme="majorEastAsia"/>
          <w:color w:val="000000"/>
        </w:rPr>
        <w:t>Organization</w:t>
      </w:r>
      <w:r>
        <w:rPr>
          <w:rStyle w:val="apple-converted-space"/>
          <w:rFonts w:eastAsiaTheme="majorEastAsia"/>
          <w:color w:val="000000"/>
        </w:rPr>
        <w:t> </w:t>
      </w:r>
      <w:r>
        <w:rPr>
          <w:rStyle w:val="normaltextrun"/>
          <w:rFonts w:eastAsiaTheme="majorEastAsia"/>
          <w:color w:val="000000"/>
        </w:rPr>
        <w:t>for</w:t>
      </w:r>
      <w:r>
        <w:rPr>
          <w:rStyle w:val="apple-converted-space"/>
          <w:rFonts w:eastAsiaTheme="majorEastAsia"/>
          <w:color w:val="000000"/>
        </w:rPr>
        <w:t> </w:t>
      </w:r>
      <w:r>
        <w:rPr>
          <w:rStyle w:val="normaltextrun"/>
          <w:rFonts w:eastAsiaTheme="majorEastAsia"/>
          <w:color w:val="000000"/>
        </w:rPr>
        <w:t>Standardization. (2018). </w:t>
      </w:r>
      <w:r>
        <w:rPr>
          <w:rStyle w:val="normaltextrun"/>
          <w:rFonts w:eastAsiaTheme="majorEastAsia"/>
          <w:i/>
          <w:iCs/>
          <w:color w:val="000000"/>
        </w:rPr>
        <w:t>ISO 9241-210: Ergonomics of human-system interaction — Human-centred design for interactive systems</w:t>
      </w:r>
      <w:r>
        <w:rPr>
          <w:rStyle w:val="normaltextrun"/>
          <w:rFonts w:eastAsiaTheme="majorEastAsia"/>
          <w:color w:val="000000"/>
        </w:rPr>
        <w:t>. ISO.</w:t>
      </w:r>
      <w:r>
        <w:rPr>
          <w:rStyle w:val="eop"/>
          <w:rFonts w:eastAsiaTheme="majorEastAsia"/>
          <w:color w:val="000000"/>
        </w:rPr>
        <w:t> </w:t>
      </w:r>
    </w:p>
    <w:p w14:paraId="0349BC5E" w14:textId="77777777" w:rsidR="00652A98" w:rsidRDefault="00652A98" w:rsidP="00652A98">
      <w:pPr>
        <w:pStyle w:val="paragraph"/>
        <w:spacing w:before="0" w:after="0"/>
        <w:textAlignment w:val="baseline"/>
        <w:rPr>
          <w:rFonts w:ascii="Segoe UI" w:hAnsi="Segoe UI" w:cs="Segoe UI"/>
          <w:sz w:val="18"/>
          <w:szCs w:val="18"/>
        </w:rPr>
      </w:pPr>
      <w:r>
        <w:rPr>
          <w:rStyle w:val="normaltextrun"/>
          <w:rFonts w:eastAsiaTheme="majorEastAsia"/>
          <w:color w:val="000000"/>
        </w:rPr>
        <w:t>Jones, R. L., Edwards, C., &amp;</w:t>
      </w:r>
      <w:r>
        <w:rPr>
          <w:rStyle w:val="apple-converted-space"/>
          <w:rFonts w:eastAsiaTheme="majorEastAsia"/>
          <w:color w:val="000000"/>
        </w:rPr>
        <w:t> </w:t>
      </w:r>
      <w:proofErr w:type="spellStart"/>
      <w:r>
        <w:rPr>
          <w:rStyle w:val="normaltextrun"/>
          <w:rFonts w:eastAsiaTheme="majorEastAsia"/>
          <w:color w:val="000000"/>
        </w:rPr>
        <w:t>Viotto</w:t>
      </w:r>
      <w:proofErr w:type="spellEnd"/>
      <w:r>
        <w:rPr>
          <w:rStyle w:val="apple-converted-space"/>
          <w:rFonts w:eastAsiaTheme="majorEastAsia"/>
          <w:color w:val="000000"/>
        </w:rPr>
        <w:t> </w:t>
      </w:r>
      <w:r>
        <w:rPr>
          <w:rStyle w:val="normaltextrun"/>
          <w:rFonts w:eastAsiaTheme="majorEastAsia"/>
          <w:color w:val="000000"/>
        </w:rPr>
        <w:t>Filho, I. T.</w:t>
      </w:r>
      <w:r>
        <w:rPr>
          <w:rStyle w:val="eop"/>
          <w:rFonts w:eastAsiaTheme="majorEastAsia"/>
          <w:color w:val="000000"/>
        </w:rPr>
        <w:t> </w:t>
      </w:r>
    </w:p>
    <w:p w14:paraId="3ECC1BEB" w14:textId="77777777" w:rsidR="00652A98" w:rsidRDefault="00652A98" w:rsidP="00652A9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75F7A77" w14:textId="77777777" w:rsidR="00BE1C26" w:rsidRDefault="00BE1C26"/>
    <w:p w14:paraId="3C8241D2" w14:textId="77777777" w:rsidR="002D5506" w:rsidRDefault="002D5506"/>
    <w:p w14:paraId="39269BD5" w14:textId="77777777" w:rsidR="002D5506" w:rsidRDefault="002D5506"/>
    <w:p w14:paraId="25F92723" w14:textId="77777777" w:rsidR="002D5506" w:rsidRDefault="002D5506"/>
    <w:p w14:paraId="77B01E4B" w14:textId="77777777" w:rsidR="002D5506" w:rsidRDefault="002D5506"/>
    <w:p w14:paraId="6EBAF543" w14:textId="77777777" w:rsidR="002D5506" w:rsidRDefault="002D5506"/>
    <w:p w14:paraId="1DBF26AA" w14:textId="77777777" w:rsidR="002D5506" w:rsidRDefault="002D5506"/>
    <w:p w14:paraId="7B6DE8CC" w14:textId="77777777" w:rsidR="002D5506" w:rsidRDefault="002D5506"/>
    <w:p w14:paraId="13C507EC" w14:textId="77777777" w:rsidR="002D5506" w:rsidRDefault="002D5506"/>
    <w:p w14:paraId="560511B9" w14:textId="77777777" w:rsidR="002D5506" w:rsidRDefault="002D5506"/>
    <w:p w14:paraId="77B7A06A" w14:textId="77777777" w:rsidR="002D5506" w:rsidRDefault="002D5506"/>
    <w:p w14:paraId="2AFB1A45" w14:textId="77777777" w:rsidR="002D5506" w:rsidRDefault="002D5506"/>
    <w:p w14:paraId="68D969B0" w14:textId="77777777" w:rsidR="002D5506" w:rsidRDefault="002D5506"/>
    <w:p w14:paraId="793531A6" w14:textId="77777777" w:rsidR="002D5506" w:rsidRDefault="002D5506"/>
    <w:p w14:paraId="14E273AF" w14:textId="77777777" w:rsidR="002D5506" w:rsidRDefault="002D5506"/>
    <w:p w14:paraId="2447638A" w14:textId="77777777" w:rsidR="002D5506" w:rsidRDefault="002D5506"/>
    <w:p w14:paraId="79F331A4" w14:textId="77777777" w:rsidR="002D5506" w:rsidRDefault="002D5506"/>
    <w:p w14:paraId="62B6AD60" w14:textId="77777777" w:rsidR="002D5506" w:rsidRDefault="002D5506"/>
    <w:p w14:paraId="71AE8F8F" w14:textId="77777777" w:rsidR="002D5506" w:rsidRDefault="002D5506"/>
    <w:p w14:paraId="615C9706" w14:textId="77777777" w:rsidR="002D5506" w:rsidRDefault="002D5506"/>
    <w:p w14:paraId="707A77D2" w14:textId="77777777" w:rsidR="002D5506" w:rsidRDefault="002D5506"/>
    <w:p w14:paraId="15E62849" w14:textId="77777777" w:rsidR="002D5506" w:rsidRDefault="002D5506"/>
    <w:p w14:paraId="6CFEA75D" w14:textId="77777777" w:rsidR="002D5506" w:rsidRDefault="002D5506"/>
    <w:p w14:paraId="1E8FB1AB" w14:textId="77777777" w:rsidR="002D5506" w:rsidRDefault="002D5506"/>
    <w:p w14:paraId="4BA4905B" w14:textId="77777777" w:rsidR="002D5506" w:rsidRPr="00BE1C26" w:rsidRDefault="002D5506"/>
    <w:sectPr w:rsidR="002D5506" w:rsidRPr="00BE1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42"/>
    <w:rsid w:val="000122FF"/>
    <w:rsid w:val="001165B6"/>
    <w:rsid w:val="001D40C1"/>
    <w:rsid w:val="002D5506"/>
    <w:rsid w:val="00323D42"/>
    <w:rsid w:val="003256F2"/>
    <w:rsid w:val="003548A5"/>
    <w:rsid w:val="003F51CF"/>
    <w:rsid w:val="004C3A56"/>
    <w:rsid w:val="005C2E01"/>
    <w:rsid w:val="00652A98"/>
    <w:rsid w:val="006D4E3D"/>
    <w:rsid w:val="008A3370"/>
    <w:rsid w:val="00904744"/>
    <w:rsid w:val="00926F2A"/>
    <w:rsid w:val="0098580D"/>
    <w:rsid w:val="00993604"/>
    <w:rsid w:val="009D7D94"/>
    <w:rsid w:val="00A17F47"/>
    <w:rsid w:val="00BE1C26"/>
    <w:rsid w:val="00C2767B"/>
    <w:rsid w:val="00C63DE7"/>
    <w:rsid w:val="00E27F17"/>
    <w:rsid w:val="00E545D6"/>
    <w:rsid w:val="00F35155"/>
    <w:rsid w:val="00F80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D13DFB"/>
  <w15:chartTrackingRefBased/>
  <w15:docId w15:val="{CE31E2D4-ED44-2149-BBC0-34A3F2931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D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D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D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D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D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D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D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D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D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D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D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D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D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D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D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D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D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D42"/>
    <w:rPr>
      <w:rFonts w:eastAsiaTheme="majorEastAsia" w:cstheme="majorBidi"/>
      <w:color w:val="272727" w:themeColor="text1" w:themeTint="D8"/>
    </w:rPr>
  </w:style>
  <w:style w:type="paragraph" w:styleId="Title">
    <w:name w:val="Title"/>
    <w:basedOn w:val="Normal"/>
    <w:next w:val="Normal"/>
    <w:link w:val="TitleChar"/>
    <w:uiPriority w:val="10"/>
    <w:qFormat/>
    <w:rsid w:val="00323D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D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D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D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D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3D42"/>
    <w:rPr>
      <w:i/>
      <w:iCs/>
      <w:color w:val="404040" w:themeColor="text1" w:themeTint="BF"/>
    </w:rPr>
  </w:style>
  <w:style w:type="paragraph" w:styleId="ListParagraph">
    <w:name w:val="List Paragraph"/>
    <w:basedOn w:val="Normal"/>
    <w:uiPriority w:val="34"/>
    <w:qFormat/>
    <w:rsid w:val="00323D42"/>
    <w:pPr>
      <w:ind w:left="720"/>
      <w:contextualSpacing/>
    </w:pPr>
  </w:style>
  <w:style w:type="character" w:styleId="IntenseEmphasis">
    <w:name w:val="Intense Emphasis"/>
    <w:basedOn w:val="DefaultParagraphFont"/>
    <w:uiPriority w:val="21"/>
    <w:qFormat/>
    <w:rsid w:val="00323D42"/>
    <w:rPr>
      <w:i/>
      <w:iCs/>
      <w:color w:val="0F4761" w:themeColor="accent1" w:themeShade="BF"/>
    </w:rPr>
  </w:style>
  <w:style w:type="paragraph" w:styleId="IntenseQuote">
    <w:name w:val="Intense Quote"/>
    <w:basedOn w:val="Normal"/>
    <w:next w:val="Normal"/>
    <w:link w:val="IntenseQuoteChar"/>
    <w:uiPriority w:val="30"/>
    <w:qFormat/>
    <w:rsid w:val="00323D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D42"/>
    <w:rPr>
      <w:i/>
      <w:iCs/>
      <w:color w:val="0F4761" w:themeColor="accent1" w:themeShade="BF"/>
    </w:rPr>
  </w:style>
  <w:style w:type="character" w:styleId="IntenseReference">
    <w:name w:val="Intense Reference"/>
    <w:basedOn w:val="DefaultParagraphFont"/>
    <w:uiPriority w:val="32"/>
    <w:qFormat/>
    <w:rsid w:val="00323D42"/>
    <w:rPr>
      <w:b/>
      <w:bCs/>
      <w:smallCaps/>
      <w:color w:val="0F4761" w:themeColor="accent1" w:themeShade="BF"/>
      <w:spacing w:val="5"/>
    </w:rPr>
  </w:style>
  <w:style w:type="paragraph" w:customStyle="1" w:styleId="paragraph">
    <w:name w:val="paragraph"/>
    <w:basedOn w:val="Normal"/>
    <w:rsid w:val="00652A9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52A98"/>
  </w:style>
  <w:style w:type="character" w:customStyle="1" w:styleId="scxw171735308">
    <w:name w:val="scxw171735308"/>
    <w:basedOn w:val="DefaultParagraphFont"/>
    <w:rsid w:val="00652A98"/>
  </w:style>
  <w:style w:type="character" w:customStyle="1" w:styleId="apple-converted-space">
    <w:name w:val="apple-converted-space"/>
    <w:basedOn w:val="DefaultParagraphFont"/>
    <w:rsid w:val="00652A98"/>
  </w:style>
  <w:style w:type="character" w:customStyle="1" w:styleId="eop">
    <w:name w:val="eop"/>
    <w:basedOn w:val="DefaultParagraphFont"/>
    <w:rsid w:val="00652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846609">
      <w:bodyDiv w:val="1"/>
      <w:marLeft w:val="0"/>
      <w:marRight w:val="0"/>
      <w:marTop w:val="0"/>
      <w:marBottom w:val="0"/>
      <w:divBdr>
        <w:top w:val="none" w:sz="0" w:space="0" w:color="auto"/>
        <w:left w:val="none" w:sz="0" w:space="0" w:color="auto"/>
        <w:bottom w:val="none" w:sz="0" w:space="0" w:color="auto"/>
        <w:right w:val="none" w:sz="0" w:space="0" w:color="auto"/>
      </w:divBdr>
      <w:divsChild>
        <w:div w:id="861626935">
          <w:marLeft w:val="0"/>
          <w:marRight w:val="0"/>
          <w:marTop w:val="0"/>
          <w:marBottom w:val="0"/>
          <w:divBdr>
            <w:top w:val="none" w:sz="0" w:space="0" w:color="auto"/>
            <w:left w:val="none" w:sz="0" w:space="0" w:color="auto"/>
            <w:bottom w:val="none" w:sz="0" w:space="0" w:color="auto"/>
            <w:right w:val="none" w:sz="0" w:space="0" w:color="auto"/>
          </w:divBdr>
        </w:div>
        <w:div w:id="233122443">
          <w:marLeft w:val="0"/>
          <w:marRight w:val="0"/>
          <w:marTop w:val="0"/>
          <w:marBottom w:val="0"/>
          <w:divBdr>
            <w:top w:val="none" w:sz="0" w:space="0" w:color="auto"/>
            <w:left w:val="none" w:sz="0" w:space="0" w:color="auto"/>
            <w:bottom w:val="none" w:sz="0" w:space="0" w:color="auto"/>
            <w:right w:val="none" w:sz="0" w:space="0" w:color="auto"/>
          </w:divBdr>
        </w:div>
        <w:div w:id="802036703">
          <w:marLeft w:val="0"/>
          <w:marRight w:val="0"/>
          <w:marTop w:val="0"/>
          <w:marBottom w:val="0"/>
          <w:divBdr>
            <w:top w:val="none" w:sz="0" w:space="0" w:color="auto"/>
            <w:left w:val="none" w:sz="0" w:space="0" w:color="auto"/>
            <w:bottom w:val="none" w:sz="0" w:space="0" w:color="auto"/>
            <w:right w:val="none" w:sz="0" w:space="0" w:color="auto"/>
          </w:divBdr>
        </w:div>
        <w:div w:id="1255045595">
          <w:marLeft w:val="0"/>
          <w:marRight w:val="0"/>
          <w:marTop w:val="0"/>
          <w:marBottom w:val="0"/>
          <w:divBdr>
            <w:top w:val="none" w:sz="0" w:space="0" w:color="auto"/>
            <w:left w:val="none" w:sz="0" w:space="0" w:color="auto"/>
            <w:bottom w:val="none" w:sz="0" w:space="0" w:color="auto"/>
            <w:right w:val="none" w:sz="0" w:space="0" w:color="auto"/>
          </w:divBdr>
        </w:div>
        <w:div w:id="1945337655">
          <w:marLeft w:val="0"/>
          <w:marRight w:val="0"/>
          <w:marTop w:val="0"/>
          <w:marBottom w:val="0"/>
          <w:divBdr>
            <w:top w:val="none" w:sz="0" w:space="0" w:color="auto"/>
            <w:left w:val="none" w:sz="0" w:space="0" w:color="auto"/>
            <w:bottom w:val="none" w:sz="0" w:space="0" w:color="auto"/>
            <w:right w:val="none" w:sz="0" w:space="0" w:color="auto"/>
          </w:divBdr>
        </w:div>
        <w:div w:id="110828093">
          <w:marLeft w:val="0"/>
          <w:marRight w:val="0"/>
          <w:marTop w:val="0"/>
          <w:marBottom w:val="0"/>
          <w:divBdr>
            <w:top w:val="none" w:sz="0" w:space="0" w:color="auto"/>
            <w:left w:val="none" w:sz="0" w:space="0" w:color="auto"/>
            <w:bottom w:val="none" w:sz="0" w:space="0" w:color="auto"/>
            <w:right w:val="none" w:sz="0" w:space="0" w:color="auto"/>
          </w:divBdr>
        </w:div>
        <w:div w:id="706220962">
          <w:marLeft w:val="0"/>
          <w:marRight w:val="0"/>
          <w:marTop w:val="0"/>
          <w:marBottom w:val="0"/>
          <w:divBdr>
            <w:top w:val="none" w:sz="0" w:space="0" w:color="auto"/>
            <w:left w:val="none" w:sz="0" w:space="0" w:color="auto"/>
            <w:bottom w:val="none" w:sz="0" w:space="0" w:color="auto"/>
            <w:right w:val="none" w:sz="0" w:space="0" w:color="auto"/>
          </w:divBdr>
        </w:div>
        <w:div w:id="1002852755">
          <w:marLeft w:val="0"/>
          <w:marRight w:val="0"/>
          <w:marTop w:val="0"/>
          <w:marBottom w:val="0"/>
          <w:divBdr>
            <w:top w:val="none" w:sz="0" w:space="0" w:color="auto"/>
            <w:left w:val="none" w:sz="0" w:space="0" w:color="auto"/>
            <w:bottom w:val="none" w:sz="0" w:space="0" w:color="auto"/>
            <w:right w:val="none" w:sz="0" w:space="0" w:color="auto"/>
          </w:divBdr>
        </w:div>
        <w:div w:id="141242937">
          <w:marLeft w:val="0"/>
          <w:marRight w:val="0"/>
          <w:marTop w:val="0"/>
          <w:marBottom w:val="0"/>
          <w:divBdr>
            <w:top w:val="none" w:sz="0" w:space="0" w:color="auto"/>
            <w:left w:val="none" w:sz="0" w:space="0" w:color="auto"/>
            <w:bottom w:val="none" w:sz="0" w:space="0" w:color="auto"/>
            <w:right w:val="none" w:sz="0" w:space="0" w:color="auto"/>
          </w:divBdr>
        </w:div>
        <w:div w:id="1037050099">
          <w:marLeft w:val="0"/>
          <w:marRight w:val="0"/>
          <w:marTop w:val="0"/>
          <w:marBottom w:val="0"/>
          <w:divBdr>
            <w:top w:val="none" w:sz="0" w:space="0" w:color="auto"/>
            <w:left w:val="none" w:sz="0" w:space="0" w:color="auto"/>
            <w:bottom w:val="none" w:sz="0" w:space="0" w:color="auto"/>
            <w:right w:val="none" w:sz="0" w:space="0" w:color="auto"/>
          </w:divBdr>
        </w:div>
        <w:div w:id="298531419">
          <w:marLeft w:val="0"/>
          <w:marRight w:val="0"/>
          <w:marTop w:val="0"/>
          <w:marBottom w:val="0"/>
          <w:divBdr>
            <w:top w:val="none" w:sz="0" w:space="0" w:color="auto"/>
            <w:left w:val="none" w:sz="0" w:space="0" w:color="auto"/>
            <w:bottom w:val="none" w:sz="0" w:space="0" w:color="auto"/>
            <w:right w:val="none" w:sz="0" w:space="0" w:color="auto"/>
          </w:divBdr>
        </w:div>
        <w:div w:id="1115754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Richards (2319131)</dc:creator>
  <cp:keywords/>
  <dc:description/>
  <cp:lastModifiedBy/>
  <cp:revision>1</cp:revision>
  <dcterms:created xsi:type="dcterms:W3CDTF">2026-01-02T11:40:00Z</dcterms:created>
</cp:coreProperties>
</file>