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134BF0" w14:textId="1831F3D6"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217C3310"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b/>
          <w:bCs/>
          <w:kern w:val="0"/>
          <w:sz w:val="22"/>
          <w:szCs w:val="22"/>
          <w:lang w:eastAsia="en-GB"/>
          <w14:ligatures w14:val="none"/>
        </w:rPr>
        <w:t>Student Name:</w:t>
      </w:r>
      <w:r w:rsidRPr="005B4A5C">
        <w:rPr>
          <w:rFonts w:ascii="Arial" w:eastAsia="Times New Roman" w:hAnsi="Arial" w:cs="Arial"/>
          <w:kern w:val="0"/>
          <w:sz w:val="22"/>
          <w:szCs w:val="22"/>
          <w:lang w:eastAsia="en-GB"/>
          <w14:ligatures w14:val="none"/>
        </w:rPr>
        <w:t xml:space="preserve"> Sabrina</w:t>
      </w:r>
      <w:r w:rsidRPr="002E5F15">
        <w:rPr>
          <w:rFonts w:ascii="Arial" w:eastAsia="Times New Roman" w:hAnsi="Arial" w:cs="Arial"/>
          <w:kern w:val="0"/>
          <w:sz w:val="22"/>
          <w:szCs w:val="22"/>
          <w:lang w:eastAsia="en-GB"/>
          <w14:ligatures w14:val="none"/>
        </w:rPr>
        <w:t xml:space="preserve"> Khan </w:t>
      </w:r>
    </w:p>
    <w:p w14:paraId="36F0A2FF" w14:textId="77777777" w:rsidR="005B4A5C" w:rsidRPr="002E5F15" w:rsidRDefault="005B4A5C" w:rsidP="002E5F15">
      <w:pPr>
        <w:spacing w:before="100" w:beforeAutospacing="1" w:after="100" w:afterAutospacing="1" w:line="360" w:lineRule="auto"/>
        <w:rPr>
          <w:rFonts w:ascii="Arial" w:eastAsia="Times New Roman" w:hAnsi="Arial" w:cs="Arial"/>
          <w:i/>
          <w:iCs/>
          <w:kern w:val="0"/>
          <w:sz w:val="22"/>
          <w:szCs w:val="22"/>
          <w:lang w:eastAsia="en-GB"/>
          <w14:ligatures w14:val="none"/>
        </w:rPr>
      </w:pPr>
      <w:r w:rsidRPr="005B4A5C">
        <w:rPr>
          <w:rFonts w:ascii="Arial" w:eastAsia="Times New Roman" w:hAnsi="Arial" w:cs="Arial"/>
          <w:kern w:val="0"/>
          <w:sz w:val="22"/>
          <w:szCs w:val="22"/>
          <w:lang w:eastAsia="en-GB"/>
          <w14:ligatures w14:val="none"/>
        </w:rPr>
        <w:br/>
      </w:r>
      <w:r w:rsidRPr="005B4A5C">
        <w:rPr>
          <w:rFonts w:ascii="Arial" w:eastAsia="Times New Roman" w:hAnsi="Arial" w:cs="Arial"/>
          <w:b/>
          <w:bCs/>
          <w:kern w:val="0"/>
          <w:sz w:val="22"/>
          <w:szCs w:val="22"/>
          <w:lang w:eastAsia="en-GB"/>
          <w14:ligatures w14:val="none"/>
        </w:rPr>
        <w:t>Student Number:</w:t>
      </w:r>
      <w:r w:rsidRPr="005B4A5C">
        <w:rPr>
          <w:rFonts w:ascii="Arial" w:eastAsia="Times New Roman" w:hAnsi="Arial" w:cs="Arial"/>
          <w:kern w:val="0"/>
          <w:sz w:val="22"/>
          <w:szCs w:val="22"/>
          <w:lang w:eastAsia="en-GB"/>
          <w14:ligatures w14:val="none"/>
        </w:rPr>
        <w:t xml:space="preserve"> </w:t>
      </w:r>
      <w:r w:rsidRPr="002E5F15">
        <w:rPr>
          <w:rFonts w:ascii="Arial" w:eastAsia="Times New Roman" w:hAnsi="Arial" w:cs="Arial"/>
          <w:i/>
          <w:iCs/>
          <w:kern w:val="0"/>
          <w:sz w:val="22"/>
          <w:szCs w:val="22"/>
          <w:lang w:eastAsia="en-GB"/>
          <w14:ligatures w14:val="none"/>
        </w:rPr>
        <w:t>2221348</w:t>
      </w:r>
    </w:p>
    <w:p w14:paraId="35F4A5C4"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br/>
      </w:r>
      <w:r w:rsidRPr="005B4A5C">
        <w:rPr>
          <w:rFonts w:ascii="Arial" w:eastAsia="Times New Roman" w:hAnsi="Arial" w:cs="Arial"/>
          <w:b/>
          <w:bCs/>
          <w:kern w:val="0"/>
          <w:sz w:val="22"/>
          <w:szCs w:val="22"/>
          <w:lang w:eastAsia="en-GB"/>
          <w14:ligatures w14:val="none"/>
        </w:rPr>
        <w:t>Module Title:</w:t>
      </w:r>
      <w:r w:rsidRPr="005B4A5C">
        <w:rPr>
          <w:rFonts w:ascii="Arial" w:eastAsia="Times New Roman" w:hAnsi="Arial" w:cs="Arial"/>
          <w:kern w:val="0"/>
          <w:sz w:val="22"/>
          <w:szCs w:val="22"/>
          <w:lang w:eastAsia="en-GB"/>
          <w14:ligatures w14:val="none"/>
        </w:rPr>
        <w:t xml:space="preserve"> </w:t>
      </w:r>
      <w:r w:rsidRPr="002E5F15">
        <w:rPr>
          <w:rFonts w:ascii="Arial" w:eastAsia="Times New Roman" w:hAnsi="Arial" w:cs="Arial"/>
          <w:kern w:val="0"/>
          <w:sz w:val="22"/>
          <w:szCs w:val="22"/>
          <w:lang w:eastAsia="en-GB"/>
          <w14:ligatures w14:val="none"/>
        </w:rPr>
        <w:t>Health, Wellbeing and Sustainable development</w:t>
      </w:r>
    </w:p>
    <w:p w14:paraId="08B6C0AB" w14:textId="666FA088" w:rsidR="005B4A5C" w:rsidRPr="00ED0FB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br/>
      </w:r>
      <w:r w:rsidRPr="005B4A5C">
        <w:rPr>
          <w:rFonts w:ascii="Arial" w:eastAsia="Times New Roman" w:hAnsi="Arial" w:cs="Arial"/>
          <w:b/>
          <w:bCs/>
          <w:kern w:val="0"/>
          <w:sz w:val="22"/>
          <w:szCs w:val="22"/>
          <w:lang w:eastAsia="en-GB"/>
          <w14:ligatures w14:val="none"/>
        </w:rPr>
        <w:t>Assignment Title:</w:t>
      </w:r>
      <w:r w:rsidR="00ED0FBC">
        <w:rPr>
          <w:rFonts w:ascii="Arial" w:eastAsia="Times New Roman" w:hAnsi="Arial" w:cs="Arial"/>
          <w:b/>
          <w:bCs/>
          <w:kern w:val="0"/>
          <w:sz w:val="22"/>
          <w:szCs w:val="22"/>
          <w:lang w:eastAsia="en-GB"/>
          <w14:ligatures w14:val="none"/>
        </w:rPr>
        <w:t xml:space="preserve"> </w:t>
      </w:r>
      <w:r w:rsidR="00ED0FBC" w:rsidRPr="00ED0FBC">
        <w:rPr>
          <w:rFonts w:ascii="Arial" w:eastAsia="Times New Roman" w:hAnsi="Arial" w:cs="Arial"/>
          <w:kern w:val="0"/>
          <w:sz w:val="22"/>
          <w:szCs w:val="22"/>
          <w:lang w:eastAsia="en-GB"/>
          <w14:ligatures w14:val="none"/>
        </w:rPr>
        <w:t>Component 2</w:t>
      </w:r>
      <w:r w:rsidRPr="005B4A5C">
        <w:rPr>
          <w:rFonts w:ascii="Arial" w:eastAsia="Times New Roman" w:hAnsi="Arial" w:cs="Arial"/>
          <w:kern w:val="0"/>
          <w:sz w:val="22"/>
          <w:szCs w:val="22"/>
          <w:lang w:eastAsia="en-GB"/>
          <w14:ligatures w14:val="none"/>
        </w:rPr>
        <w:t xml:space="preserve"> </w:t>
      </w:r>
      <w:r w:rsidR="00DA29EF" w:rsidRPr="00ED0FBC">
        <w:rPr>
          <w:rFonts w:ascii="Arial" w:eastAsia="Times New Roman" w:hAnsi="Arial" w:cs="Arial"/>
          <w:kern w:val="0"/>
          <w:sz w:val="22"/>
          <w:szCs w:val="22"/>
          <w:lang w:eastAsia="en-GB"/>
          <w14:ligatures w14:val="none"/>
        </w:rPr>
        <w:t>Written Report</w:t>
      </w:r>
    </w:p>
    <w:p w14:paraId="7A38A457" w14:textId="3F750E6A"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br/>
      </w:r>
      <w:r w:rsidRPr="005B4A5C">
        <w:rPr>
          <w:rFonts w:ascii="Arial" w:eastAsia="Times New Roman" w:hAnsi="Arial" w:cs="Arial"/>
          <w:b/>
          <w:bCs/>
          <w:kern w:val="0"/>
          <w:sz w:val="22"/>
          <w:szCs w:val="22"/>
          <w:lang w:eastAsia="en-GB"/>
          <w14:ligatures w14:val="none"/>
        </w:rPr>
        <w:t>Submission Date:</w:t>
      </w:r>
      <w:r w:rsidRPr="005B4A5C">
        <w:rPr>
          <w:rFonts w:ascii="Arial" w:eastAsia="Times New Roman" w:hAnsi="Arial" w:cs="Arial"/>
          <w:kern w:val="0"/>
          <w:sz w:val="22"/>
          <w:szCs w:val="22"/>
          <w:lang w:eastAsia="en-GB"/>
          <w14:ligatures w14:val="none"/>
        </w:rPr>
        <w:t xml:space="preserve"> 21 July 2025</w:t>
      </w:r>
    </w:p>
    <w:p w14:paraId="732DCF42"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2B28CB8F"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7F914D45"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4DB1BEA2"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795A21E3"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670DADA0" w14:textId="77777777" w:rsidR="005B4A5C" w:rsidRPr="002E5F15"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2344A1A7" w14:textId="77777777" w:rsidR="002E5F15" w:rsidRDefault="002E5F15" w:rsidP="002E5F15">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0DA94687" w14:textId="77777777" w:rsidR="002E5F15" w:rsidRDefault="002E5F15" w:rsidP="002E5F15">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482ED2E6" w14:textId="77777777" w:rsidR="002E5F15" w:rsidRDefault="002E5F15" w:rsidP="002E5F15">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6DF9B988" w14:textId="77777777" w:rsidR="002E5F15" w:rsidRDefault="002E5F15" w:rsidP="002E5F15">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274EFC0F" w14:textId="77777777" w:rsidR="002E5F15" w:rsidRDefault="002E5F15" w:rsidP="002E5F15">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5D6B444A" w14:textId="77777777" w:rsidR="002E5F15" w:rsidRDefault="002E5F15" w:rsidP="002E5F15">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1BE30F3C" w14:textId="77777777" w:rsidR="00ED0FBC" w:rsidRDefault="00ED0FBC" w:rsidP="002E5F15">
      <w:pPr>
        <w:spacing w:before="100" w:beforeAutospacing="1" w:after="100" w:afterAutospacing="1" w:line="360" w:lineRule="auto"/>
        <w:rPr>
          <w:rFonts w:ascii="Arial" w:eastAsia="Times New Roman" w:hAnsi="Arial" w:cs="Arial"/>
          <w:b/>
          <w:bCs/>
          <w:kern w:val="36"/>
          <w:sz w:val="22"/>
          <w:szCs w:val="22"/>
          <w:lang w:eastAsia="en-GB"/>
          <w14:ligatures w14:val="none"/>
        </w:rPr>
      </w:pPr>
    </w:p>
    <w:p w14:paraId="140D3C60" w14:textId="7727A10C" w:rsidR="005B4A5C" w:rsidRPr="005B4A5C" w:rsidRDefault="005B4A5C" w:rsidP="002E5F15">
      <w:pPr>
        <w:spacing w:before="100" w:beforeAutospacing="1" w:after="100" w:afterAutospacing="1" w:line="360" w:lineRule="auto"/>
        <w:rPr>
          <w:rFonts w:ascii="Arial" w:eastAsia="Times New Roman" w:hAnsi="Arial" w:cs="Arial"/>
          <w:b/>
          <w:bCs/>
          <w:kern w:val="0"/>
          <w:sz w:val="22"/>
          <w:szCs w:val="22"/>
          <w:lang w:eastAsia="en-GB"/>
          <w14:ligatures w14:val="none"/>
        </w:rPr>
      </w:pPr>
      <w:r w:rsidRPr="005B4A5C">
        <w:rPr>
          <w:rFonts w:ascii="Arial" w:eastAsia="Times New Roman" w:hAnsi="Arial" w:cs="Arial"/>
          <w:b/>
          <w:bCs/>
          <w:kern w:val="36"/>
          <w:sz w:val="22"/>
          <w:szCs w:val="22"/>
          <w:lang w:eastAsia="en-GB"/>
          <w14:ligatures w14:val="none"/>
        </w:rPr>
        <w:lastRenderedPageBreak/>
        <w:t>CONTENTS PAGE</w:t>
      </w:r>
    </w:p>
    <w:p w14:paraId="5AD1F7EE" w14:textId="26088245"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p>
    <w:p w14:paraId="4421431F" w14:textId="77777777" w:rsidR="005B4A5C" w:rsidRPr="005B4A5C" w:rsidRDefault="005B4A5C" w:rsidP="002E5F15">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Introduction ..................................................................................... 1</w:t>
      </w:r>
    </w:p>
    <w:p w14:paraId="4B18D80C" w14:textId="77777777" w:rsidR="005B4A5C" w:rsidRPr="005B4A5C" w:rsidRDefault="005B4A5C" w:rsidP="002E5F15">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SDG 3: Good Health and Wellbeing ............................................. 2</w:t>
      </w:r>
      <w:r w:rsidRPr="005B4A5C">
        <w:rPr>
          <w:rFonts w:ascii="Arial" w:eastAsia="Times New Roman" w:hAnsi="Arial" w:cs="Arial"/>
          <w:kern w:val="0"/>
          <w:sz w:val="22"/>
          <w:szCs w:val="22"/>
          <w:lang w:eastAsia="en-GB"/>
          <w14:ligatures w14:val="none"/>
        </w:rPr>
        <w:br/>
        <w:t>2.1 Overview of SDG 3</w:t>
      </w:r>
      <w:r w:rsidRPr="005B4A5C">
        <w:rPr>
          <w:rFonts w:ascii="Arial" w:eastAsia="Times New Roman" w:hAnsi="Arial" w:cs="Arial"/>
          <w:kern w:val="0"/>
          <w:sz w:val="22"/>
          <w:szCs w:val="22"/>
          <w:lang w:eastAsia="en-GB"/>
          <w14:ligatures w14:val="none"/>
        </w:rPr>
        <w:br/>
        <w:t>2.2 Global Policies and Initiatives</w:t>
      </w:r>
      <w:r w:rsidRPr="005B4A5C">
        <w:rPr>
          <w:rFonts w:ascii="Arial" w:eastAsia="Times New Roman" w:hAnsi="Arial" w:cs="Arial"/>
          <w:kern w:val="0"/>
          <w:sz w:val="22"/>
          <w:szCs w:val="22"/>
          <w:lang w:eastAsia="en-GB"/>
          <w14:ligatures w14:val="none"/>
        </w:rPr>
        <w:br/>
        <w:t>2.3 National Policies (UK)</w:t>
      </w:r>
      <w:r w:rsidRPr="005B4A5C">
        <w:rPr>
          <w:rFonts w:ascii="Arial" w:eastAsia="Times New Roman" w:hAnsi="Arial" w:cs="Arial"/>
          <w:kern w:val="0"/>
          <w:sz w:val="22"/>
          <w:szCs w:val="22"/>
          <w:lang w:eastAsia="en-GB"/>
          <w14:ligatures w14:val="none"/>
        </w:rPr>
        <w:br/>
        <w:t>2.4 Local Policies (Wolverhampton &amp; Black Country ICS)</w:t>
      </w:r>
      <w:r w:rsidRPr="005B4A5C">
        <w:rPr>
          <w:rFonts w:ascii="Arial" w:eastAsia="Times New Roman" w:hAnsi="Arial" w:cs="Arial"/>
          <w:kern w:val="0"/>
          <w:sz w:val="22"/>
          <w:szCs w:val="22"/>
          <w:lang w:eastAsia="en-GB"/>
          <w14:ligatures w14:val="none"/>
        </w:rPr>
        <w:br/>
        <w:t>2.5 Application of Theories and Models</w:t>
      </w:r>
      <w:r w:rsidRPr="005B4A5C">
        <w:rPr>
          <w:rFonts w:ascii="Arial" w:eastAsia="Times New Roman" w:hAnsi="Arial" w:cs="Arial"/>
          <w:kern w:val="0"/>
          <w:sz w:val="22"/>
          <w:szCs w:val="22"/>
          <w:lang w:eastAsia="en-GB"/>
          <w14:ligatures w14:val="none"/>
        </w:rPr>
        <w:br/>
        <w:t>2.6 Critical Evaluation</w:t>
      </w:r>
      <w:r w:rsidRPr="005B4A5C">
        <w:rPr>
          <w:rFonts w:ascii="Arial" w:eastAsia="Times New Roman" w:hAnsi="Arial" w:cs="Arial"/>
          <w:kern w:val="0"/>
          <w:sz w:val="22"/>
          <w:szCs w:val="22"/>
          <w:lang w:eastAsia="en-GB"/>
          <w14:ligatures w14:val="none"/>
        </w:rPr>
        <w:br/>
        <w:t>2.7 Recommendations</w:t>
      </w:r>
    </w:p>
    <w:p w14:paraId="132531C2" w14:textId="77777777" w:rsidR="005B4A5C" w:rsidRPr="005B4A5C" w:rsidRDefault="005B4A5C" w:rsidP="002E5F15">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SDG 5: Gender Equality ................................................................. 8</w:t>
      </w:r>
      <w:r w:rsidRPr="005B4A5C">
        <w:rPr>
          <w:rFonts w:ascii="Arial" w:eastAsia="Times New Roman" w:hAnsi="Arial" w:cs="Arial"/>
          <w:kern w:val="0"/>
          <w:sz w:val="22"/>
          <w:szCs w:val="22"/>
          <w:lang w:eastAsia="en-GB"/>
          <w14:ligatures w14:val="none"/>
        </w:rPr>
        <w:br/>
        <w:t>3.1 Overview of SDG 5</w:t>
      </w:r>
      <w:r w:rsidRPr="005B4A5C">
        <w:rPr>
          <w:rFonts w:ascii="Arial" w:eastAsia="Times New Roman" w:hAnsi="Arial" w:cs="Arial"/>
          <w:kern w:val="0"/>
          <w:sz w:val="22"/>
          <w:szCs w:val="22"/>
          <w:lang w:eastAsia="en-GB"/>
          <w14:ligatures w14:val="none"/>
        </w:rPr>
        <w:br/>
        <w:t>3.2 Global Policies and Initiatives</w:t>
      </w:r>
      <w:r w:rsidRPr="005B4A5C">
        <w:rPr>
          <w:rFonts w:ascii="Arial" w:eastAsia="Times New Roman" w:hAnsi="Arial" w:cs="Arial"/>
          <w:kern w:val="0"/>
          <w:sz w:val="22"/>
          <w:szCs w:val="22"/>
          <w:lang w:eastAsia="en-GB"/>
          <w14:ligatures w14:val="none"/>
        </w:rPr>
        <w:br/>
        <w:t>3.3 National Policies (UK)</w:t>
      </w:r>
      <w:r w:rsidRPr="005B4A5C">
        <w:rPr>
          <w:rFonts w:ascii="Arial" w:eastAsia="Times New Roman" w:hAnsi="Arial" w:cs="Arial"/>
          <w:kern w:val="0"/>
          <w:sz w:val="22"/>
          <w:szCs w:val="22"/>
          <w:lang w:eastAsia="en-GB"/>
          <w14:ligatures w14:val="none"/>
        </w:rPr>
        <w:br/>
        <w:t>3.4 Local Policies (Wolverhampton &amp; West Midlands)</w:t>
      </w:r>
      <w:r w:rsidRPr="005B4A5C">
        <w:rPr>
          <w:rFonts w:ascii="Arial" w:eastAsia="Times New Roman" w:hAnsi="Arial" w:cs="Arial"/>
          <w:kern w:val="0"/>
          <w:sz w:val="22"/>
          <w:szCs w:val="22"/>
          <w:lang w:eastAsia="en-GB"/>
          <w14:ligatures w14:val="none"/>
        </w:rPr>
        <w:br/>
        <w:t>3.5 Application of Theories and Models</w:t>
      </w:r>
      <w:r w:rsidRPr="005B4A5C">
        <w:rPr>
          <w:rFonts w:ascii="Arial" w:eastAsia="Times New Roman" w:hAnsi="Arial" w:cs="Arial"/>
          <w:kern w:val="0"/>
          <w:sz w:val="22"/>
          <w:szCs w:val="22"/>
          <w:lang w:eastAsia="en-GB"/>
          <w14:ligatures w14:val="none"/>
        </w:rPr>
        <w:br/>
        <w:t>3.6 Critical Evaluation</w:t>
      </w:r>
      <w:r w:rsidRPr="005B4A5C">
        <w:rPr>
          <w:rFonts w:ascii="Arial" w:eastAsia="Times New Roman" w:hAnsi="Arial" w:cs="Arial"/>
          <w:kern w:val="0"/>
          <w:sz w:val="22"/>
          <w:szCs w:val="22"/>
          <w:lang w:eastAsia="en-GB"/>
          <w14:ligatures w14:val="none"/>
        </w:rPr>
        <w:br/>
        <w:t>3.7 Recommendations</w:t>
      </w:r>
    </w:p>
    <w:p w14:paraId="14F29A73" w14:textId="77777777" w:rsidR="005B4A5C" w:rsidRPr="005B4A5C" w:rsidRDefault="005B4A5C" w:rsidP="002E5F15">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Conclusion ..................................................................................... 15</w:t>
      </w:r>
    </w:p>
    <w:p w14:paraId="3A1BDF61" w14:textId="77777777" w:rsidR="005B4A5C" w:rsidRPr="005B4A5C" w:rsidRDefault="005B4A5C" w:rsidP="002E5F15">
      <w:pPr>
        <w:numPr>
          <w:ilvl w:val="0"/>
          <w:numId w:val="25"/>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Reference List ............................................................................... 16</w:t>
      </w:r>
    </w:p>
    <w:p w14:paraId="1AA40EA5" w14:textId="5147AEAE" w:rsidR="005B4A5C" w:rsidRPr="005B4A5C" w:rsidRDefault="005B4A5C" w:rsidP="002E5F15">
      <w:pPr>
        <w:spacing w:after="0" w:line="360" w:lineRule="auto"/>
        <w:rPr>
          <w:rFonts w:ascii="Arial" w:eastAsia="Times New Roman" w:hAnsi="Arial" w:cs="Arial"/>
          <w:kern w:val="0"/>
          <w:sz w:val="22"/>
          <w:szCs w:val="22"/>
          <w:lang w:eastAsia="en-GB"/>
          <w14:ligatures w14:val="none"/>
        </w:rPr>
      </w:pPr>
    </w:p>
    <w:p w14:paraId="03A3538B" w14:textId="64D2EEB9"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73EA6B57"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35D9AEDA"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0ACC5B6C"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7F6F86C8"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3979D346"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65264E8D"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68B40911"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1105BBE7"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1FDE28FC"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5E15F76A" w14:textId="77777777" w:rsidR="005B4A5C" w:rsidRPr="002E5F15" w:rsidRDefault="005B4A5C" w:rsidP="002E5F15">
      <w:pPr>
        <w:spacing w:after="0" w:line="360" w:lineRule="auto"/>
        <w:rPr>
          <w:rFonts w:ascii="Arial" w:eastAsia="Times New Roman" w:hAnsi="Arial" w:cs="Arial"/>
          <w:kern w:val="0"/>
          <w:sz w:val="22"/>
          <w:szCs w:val="22"/>
          <w:lang w:eastAsia="en-GB"/>
          <w14:ligatures w14:val="none"/>
        </w:rPr>
      </w:pPr>
    </w:p>
    <w:p w14:paraId="4609249F" w14:textId="77777777" w:rsidR="00427193" w:rsidRDefault="00427193" w:rsidP="002E5F15">
      <w:pPr>
        <w:spacing w:before="100" w:beforeAutospacing="1" w:after="100" w:afterAutospacing="1" w:line="360" w:lineRule="auto"/>
        <w:outlineLvl w:val="1"/>
        <w:rPr>
          <w:rFonts w:ascii="Arial" w:eastAsia="Times New Roman" w:hAnsi="Arial" w:cs="Arial"/>
          <w:kern w:val="0"/>
          <w:sz w:val="22"/>
          <w:szCs w:val="22"/>
          <w:lang w:eastAsia="en-GB"/>
          <w14:ligatures w14:val="none"/>
        </w:rPr>
      </w:pPr>
    </w:p>
    <w:p w14:paraId="2BC8B185" w14:textId="68920CFD" w:rsidR="005B4A5C" w:rsidRPr="005B4A5C" w:rsidRDefault="005B4A5C" w:rsidP="002E5F15">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lastRenderedPageBreak/>
        <w:t>Introduction</w:t>
      </w:r>
    </w:p>
    <w:p w14:paraId="4D4F13BB"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Sustainable Development Goals (SDGs) provide a global framework for addressing interconnected challenges relating to health, wellbeing, equality, and sustainability. This report critically examines </w:t>
      </w:r>
      <w:r w:rsidRPr="005B4A5C">
        <w:rPr>
          <w:rFonts w:ascii="Arial" w:eastAsia="Times New Roman" w:hAnsi="Arial" w:cs="Arial"/>
          <w:b/>
          <w:bCs/>
          <w:kern w:val="0"/>
          <w:sz w:val="22"/>
          <w:szCs w:val="22"/>
          <w:lang w:eastAsia="en-GB"/>
          <w14:ligatures w14:val="none"/>
        </w:rPr>
        <w:t>SDG 3 (Good Health and Wellbeing)</w:t>
      </w:r>
      <w:r w:rsidRPr="005B4A5C">
        <w:rPr>
          <w:rFonts w:ascii="Arial" w:eastAsia="Times New Roman" w:hAnsi="Arial" w:cs="Arial"/>
          <w:kern w:val="0"/>
          <w:sz w:val="22"/>
          <w:szCs w:val="22"/>
          <w:lang w:eastAsia="en-GB"/>
          <w14:ligatures w14:val="none"/>
        </w:rPr>
        <w:t xml:space="preserve"> and </w:t>
      </w:r>
      <w:r w:rsidRPr="005B4A5C">
        <w:rPr>
          <w:rFonts w:ascii="Arial" w:eastAsia="Times New Roman" w:hAnsi="Arial" w:cs="Arial"/>
          <w:b/>
          <w:bCs/>
          <w:kern w:val="0"/>
          <w:sz w:val="22"/>
          <w:szCs w:val="22"/>
          <w:lang w:eastAsia="en-GB"/>
          <w14:ligatures w14:val="none"/>
        </w:rPr>
        <w:t>SDG 5 (Gender Equality)</w:t>
      </w:r>
      <w:r w:rsidRPr="005B4A5C">
        <w:rPr>
          <w:rFonts w:ascii="Arial" w:eastAsia="Times New Roman" w:hAnsi="Arial" w:cs="Arial"/>
          <w:kern w:val="0"/>
          <w:sz w:val="22"/>
          <w:szCs w:val="22"/>
          <w:lang w:eastAsia="en-GB"/>
          <w14:ligatures w14:val="none"/>
        </w:rPr>
        <w:t>, focusing on how global, national, and local policies shape progress in the UK, particularly within the West Midlands. SDG 3 aims to ensure healthy lives and promote wellbeing for all, while SDG 5 seeks to eliminate discrimination and violence against women and girls, ensure access to reproductive health, and promote equal participation in society (United Nations, 2015). These goals are deeply interlinked: gender inequality is a major determinant of health outcomes, influencing access to services, exposure to violence, reproductive rights, and socioeconomic opportunities (WHO, 2022a).</w:t>
      </w:r>
    </w:p>
    <w:p w14:paraId="6DB4D3A8"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report evaluates global frameworks such as the WHO Universal Health Coverage agenda and UN Women’s gender equality strategies, alongside UK national policies including the NHS Long Term Plan, the Women’s Health Strategy for England, and the Domestic Abuse Act (2021). Local initiatives in Wolverhampton and the Black Country Integrated Care System (ICS) are also examined. The analysis applies behavioural and social theories — including the </w:t>
      </w:r>
      <w:r w:rsidRPr="005B4A5C">
        <w:rPr>
          <w:rFonts w:ascii="Arial" w:eastAsia="Times New Roman" w:hAnsi="Arial" w:cs="Arial"/>
          <w:b/>
          <w:bCs/>
          <w:kern w:val="0"/>
          <w:sz w:val="22"/>
          <w:szCs w:val="22"/>
          <w:lang w:eastAsia="en-GB"/>
          <w14:ligatures w14:val="none"/>
        </w:rPr>
        <w:t>Health Belief Model (HBM)</w:t>
      </w:r>
      <w:r w:rsidRPr="005B4A5C">
        <w:rPr>
          <w:rFonts w:ascii="Arial" w:eastAsia="Times New Roman" w:hAnsi="Arial" w:cs="Arial"/>
          <w:kern w:val="0"/>
          <w:sz w:val="22"/>
          <w:szCs w:val="22"/>
          <w:lang w:eastAsia="en-GB"/>
          <w14:ligatures w14:val="none"/>
        </w:rPr>
        <w:t xml:space="preserve">, </w:t>
      </w:r>
      <w:r w:rsidRPr="005B4A5C">
        <w:rPr>
          <w:rFonts w:ascii="Arial" w:eastAsia="Times New Roman" w:hAnsi="Arial" w:cs="Arial"/>
          <w:b/>
          <w:bCs/>
          <w:kern w:val="0"/>
          <w:sz w:val="22"/>
          <w:szCs w:val="22"/>
          <w:lang w:eastAsia="en-GB"/>
          <w14:ligatures w14:val="none"/>
        </w:rPr>
        <w:t>Social Cognitive Theory (SCT)</w:t>
      </w:r>
      <w:r w:rsidRPr="005B4A5C">
        <w:rPr>
          <w:rFonts w:ascii="Arial" w:eastAsia="Times New Roman" w:hAnsi="Arial" w:cs="Arial"/>
          <w:kern w:val="0"/>
          <w:sz w:val="22"/>
          <w:szCs w:val="22"/>
          <w:lang w:eastAsia="en-GB"/>
          <w14:ligatures w14:val="none"/>
        </w:rPr>
        <w:t xml:space="preserve">, and the </w:t>
      </w:r>
      <w:r w:rsidRPr="005B4A5C">
        <w:rPr>
          <w:rFonts w:ascii="Arial" w:eastAsia="Times New Roman" w:hAnsi="Arial" w:cs="Arial"/>
          <w:b/>
          <w:bCs/>
          <w:kern w:val="0"/>
          <w:sz w:val="22"/>
          <w:szCs w:val="22"/>
          <w:lang w:eastAsia="en-GB"/>
          <w14:ligatures w14:val="none"/>
        </w:rPr>
        <w:t>Socio</w:t>
      </w:r>
      <w:r w:rsidRPr="005B4A5C">
        <w:rPr>
          <w:rFonts w:ascii="Arial" w:eastAsia="Times New Roman" w:hAnsi="Arial" w:cs="Arial"/>
          <w:b/>
          <w:bCs/>
          <w:kern w:val="0"/>
          <w:sz w:val="22"/>
          <w:szCs w:val="22"/>
          <w:lang w:eastAsia="en-GB"/>
          <w14:ligatures w14:val="none"/>
        </w:rPr>
        <w:noBreakHyphen/>
        <w:t>Ecological Model (SEM)</w:t>
      </w:r>
      <w:r w:rsidRPr="005B4A5C">
        <w:rPr>
          <w:rFonts w:ascii="Arial" w:eastAsia="Times New Roman" w:hAnsi="Arial" w:cs="Arial"/>
          <w:kern w:val="0"/>
          <w:sz w:val="22"/>
          <w:szCs w:val="22"/>
          <w:lang w:eastAsia="en-GB"/>
          <w14:ligatures w14:val="none"/>
        </w:rPr>
        <w:t xml:space="preserve"> — to assess how effectively policies address behavioural, social, and structural determinants of health and gender inequality.</w:t>
      </w:r>
    </w:p>
    <w:p w14:paraId="4D28D55B"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The report concludes with evidence</w:t>
      </w:r>
      <w:r w:rsidRPr="005B4A5C">
        <w:rPr>
          <w:rFonts w:ascii="Arial" w:eastAsia="Times New Roman" w:hAnsi="Arial" w:cs="Arial"/>
          <w:kern w:val="0"/>
          <w:sz w:val="22"/>
          <w:szCs w:val="22"/>
          <w:lang w:eastAsia="en-GB"/>
          <w14:ligatures w14:val="none"/>
        </w:rPr>
        <w:noBreakHyphen/>
        <w:t>informed recommendations to strengthen policy coherence, improve equity, and enhance community</w:t>
      </w:r>
      <w:r w:rsidRPr="005B4A5C">
        <w:rPr>
          <w:rFonts w:ascii="Arial" w:eastAsia="Times New Roman" w:hAnsi="Arial" w:cs="Arial"/>
          <w:kern w:val="0"/>
          <w:sz w:val="22"/>
          <w:szCs w:val="22"/>
          <w:lang w:eastAsia="en-GB"/>
          <w14:ligatures w14:val="none"/>
        </w:rPr>
        <w:noBreakHyphen/>
        <w:t>level impact. Through this multi</w:t>
      </w:r>
      <w:r w:rsidRPr="005B4A5C">
        <w:rPr>
          <w:rFonts w:ascii="Arial" w:eastAsia="Times New Roman" w:hAnsi="Arial" w:cs="Arial"/>
          <w:kern w:val="0"/>
          <w:sz w:val="22"/>
          <w:szCs w:val="22"/>
          <w:lang w:eastAsia="en-GB"/>
          <w14:ligatures w14:val="none"/>
        </w:rPr>
        <w:noBreakHyphen/>
        <w:t>level analysis, the report highlights the importance of integrated approaches to achieving SDG 3 and SDG 5 in the UK context.</w:t>
      </w:r>
    </w:p>
    <w:p w14:paraId="505AE356" w14:textId="77777777" w:rsidR="005B4A5C" w:rsidRPr="002E5F15" w:rsidRDefault="005B4A5C" w:rsidP="002E5F15">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2. SDG 3: Good Health and Wellbeing</w:t>
      </w:r>
    </w:p>
    <w:p w14:paraId="0941C799" w14:textId="6BC06E78" w:rsidR="005B4A5C" w:rsidRPr="005B4A5C" w:rsidRDefault="005B4A5C" w:rsidP="002E5F15">
      <w:pPr>
        <w:spacing w:before="100" w:beforeAutospacing="1" w:after="100" w:afterAutospacing="1" w:line="360" w:lineRule="auto"/>
        <w:outlineLvl w:val="1"/>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2.1 Overview of SDG 3</w:t>
      </w:r>
    </w:p>
    <w:p w14:paraId="3B92F6A0"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SDG 3 aims to “ensure healthy lives and promote wellbeing for all at all ages” (United Nations, 2015). Its targets include reducing maternal mortality, ending epidemics, tackling non</w:t>
      </w:r>
      <w:r w:rsidRPr="005B4A5C">
        <w:rPr>
          <w:rFonts w:ascii="Arial" w:eastAsia="Times New Roman" w:hAnsi="Arial" w:cs="Arial"/>
          <w:kern w:val="0"/>
          <w:sz w:val="22"/>
          <w:szCs w:val="22"/>
          <w:lang w:eastAsia="en-GB"/>
          <w14:ligatures w14:val="none"/>
        </w:rPr>
        <w:noBreakHyphen/>
        <w:t>communicable diseases (NCDs), strengthening health systems, and improving mental health. Globally, progress has been uneven, with widening inequalities between and within countries (WHO, 2023). In the UK, SDG 3 aligns closely with NHS priorities around prevention, integrated care, and reducing health inequalities.</w:t>
      </w:r>
    </w:p>
    <w:p w14:paraId="100C1AE4" w14:textId="42C2F22F" w:rsidR="005B4A5C" w:rsidRPr="005B4A5C" w:rsidRDefault="005B4A5C" w:rsidP="002E5F15">
      <w:pPr>
        <w:spacing w:after="0" w:line="360" w:lineRule="auto"/>
        <w:rPr>
          <w:rFonts w:ascii="Arial" w:eastAsia="Times New Roman" w:hAnsi="Arial" w:cs="Arial"/>
          <w:kern w:val="0"/>
          <w:sz w:val="22"/>
          <w:szCs w:val="22"/>
          <w:lang w:eastAsia="en-GB"/>
          <w14:ligatures w14:val="none"/>
        </w:rPr>
      </w:pPr>
    </w:p>
    <w:p w14:paraId="3B704A3C"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2.2 Global Policies and Initiatives</w:t>
      </w:r>
    </w:p>
    <w:p w14:paraId="5DDCBC7B"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WHO Universal Health Coverage (UHC) framework</w:t>
      </w:r>
      <w:r w:rsidRPr="005B4A5C">
        <w:rPr>
          <w:rFonts w:ascii="Arial" w:eastAsia="Times New Roman" w:hAnsi="Arial" w:cs="Arial"/>
          <w:kern w:val="0"/>
          <w:sz w:val="22"/>
          <w:szCs w:val="22"/>
          <w:lang w:eastAsia="en-GB"/>
          <w14:ligatures w14:val="none"/>
        </w:rPr>
        <w:t xml:space="preserve"> emphasises equitable access to quality health services without financial hardship (WHO, 2021). UHC has driven improvements in service coverage globally, but progress is hindered by workforce shortages, funding gaps, and political instability. The </w:t>
      </w:r>
      <w:r w:rsidRPr="005B4A5C">
        <w:rPr>
          <w:rFonts w:ascii="Arial" w:eastAsia="Times New Roman" w:hAnsi="Arial" w:cs="Arial"/>
          <w:b/>
          <w:bCs/>
          <w:kern w:val="0"/>
          <w:sz w:val="22"/>
          <w:szCs w:val="22"/>
          <w:lang w:eastAsia="en-GB"/>
          <w14:ligatures w14:val="none"/>
        </w:rPr>
        <w:t>Global Action Plan for NCDs</w:t>
      </w:r>
      <w:r w:rsidRPr="005B4A5C">
        <w:rPr>
          <w:rFonts w:ascii="Arial" w:eastAsia="Times New Roman" w:hAnsi="Arial" w:cs="Arial"/>
          <w:kern w:val="0"/>
          <w:sz w:val="22"/>
          <w:szCs w:val="22"/>
          <w:lang w:eastAsia="en-GB"/>
          <w14:ligatures w14:val="none"/>
        </w:rPr>
        <w:t xml:space="preserve"> has shaped international strategies to reduce premature mortality from cardiovascular disease, cancer, diabetes, and respiratory conditions (WHO, 2022b). However, implementation remains inconsistent, with low</w:t>
      </w:r>
      <w:r w:rsidRPr="005B4A5C">
        <w:rPr>
          <w:rFonts w:ascii="Arial" w:eastAsia="Times New Roman" w:hAnsi="Arial" w:cs="Arial"/>
          <w:kern w:val="0"/>
          <w:sz w:val="22"/>
          <w:szCs w:val="22"/>
          <w:lang w:eastAsia="en-GB"/>
          <w14:ligatures w14:val="none"/>
        </w:rPr>
        <w:noBreakHyphen/>
        <w:t>income countries disproportionately affected by limited resources.</w:t>
      </w:r>
    </w:p>
    <w:p w14:paraId="7837AEF8"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International Health Regulations (IHR)</w:t>
      </w:r>
      <w:r w:rsidRPr="005B4A5C">
        <w:rPr>
          <w:rFonts w:ascii="Arial" w:eastAsia="Times New Roman" w:hAnsi="Arial" w:cs="Arial"/>
          <w:kern w:val="0"/>
          <w:sz w:val="22"/>
          <w:szCs w:val="22"/>
          <w:lang w:eastAsia="en-GB"/>
          <w14:ligatures w14:val="none"/>
        </w:rPr>
        <w:t xml:space="preserve"> provide a global framework for pandemic preparedness. COVID</w:t>
      </w:r>
      <w:r w:rsidRPr="005B4A5C">
        <w:rPr>
          <w:rFonts w:ascii="Arial" w:eastAsia="Times New Roman" w:hAnsi="Arial" w:cs="Arial"/>
          <w:kern w:val="0"/>
          <w:sz w:val="22"/>
          <w:szCs w:val="22"/>
          <w:lang w:eastAsia="en-GB"/>
          <w14:ligatures w14:val="none"/>
        </w:rPr>
        <w:noBreakHyphen/>
        <w:t>19 exposed weaknesses in surveillance, coordination, and equitable vaccine distribution, highlighting the need for stronger global governance (UNDP, 2021). These global frameworks provide essential direction but require stronger accountability mechanisms and investment to achieve SDG 3 targets.</w:t>
      </w:r>
    </w:p>
    <w:p w14:paraId="3F311B90"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2.3 National Policies: United Kingdom</w:t>
      </w:r>
    </w:p>
    <w:p w14:paraId="59FB49AA"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NHS Long Term Plan (2019)</w:t>
      </w:r>
      <w:r w:rsidRPr="005B4A5C">
        <w:rPr>
          <w:rFonts w:ascii="Arial" w:eastAsia="Times New Roman" w:hAnsi="Arial" w:cs="Arial"/>
          <w:kern w:val="0"/>
          <w:sz w:val="22"/>
          <w:szCs w:val="22"/>
          <w:lang w:eastAsia="en-GB"/>
          <w14:ligatures w14:val="none"/>
        </w:rPr>
        <w:t xml:space="preserve"> prioritises prevention, mental health, digital transformation, and integrated care. It aims to reduce smoking, obesity, and alcohol</w:t>
      </w:r>
      <w:r w:rsidRPr="005B4A5C">
        <w:rPr>
          <w:rFonts w:ascii="Arial" w:eastAsia="Times New Roman" w:hAnsi="Arial" w:cs="Arial"/>
          <w:kern w:val="0"/>
          <w:sz w:val="22"/>
          <w:szCs w:val="22"/>
          <w:lang w:eastAsia="en-GB"/>
          <w14:ligatures w14:val="none"/>
        </w:rPr>
        <w:noBreakHyphen/>
        <w:t>related harm, while expanding mental health services (NHS England, 2019). However, the plan faces challenges including workforce shortages, rising demand, and persistent health inequalities (King’s Fund, 2022).</w:t>
      </w:r>
    </w:p>
    <w:p w14:paraId="1845DD3F"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UK Tobacco Control Plan</w:t>
      </w:r>
      <w:r w:rsidRPr="005B4A5C">
        <w:rPr>
          <w:rFonts w:ascii="Arial" w:eastAsia="Times New Roman" w:hAnsi="Arial" w:cs="Arial"/>
          <w:kern w:val="0"/>
          <w:sz w:val="22"/>
          <w:szCs w:val="22"/>
          <w:lang w:eastAsia="en-GB"/>
          <w14:ligatures w14:val="none"/>
        </w:rPr>
        <w:t xml:space="preserve"> has contributed to declining smoking rates, yet inequalities remain stark, with higher prevalence in deprived communities (ONS, 2023a). The </w:t>
      </w:r>
      <w:r w:rsidRPr="005B4A5C">
        <w:rPr>
          <w:rFonts w:ascii="Arial" w:eastAsia="Times New Roman" w:hAnsi="Arial" w:cs="Arial"/>
          <w:b/>
          <w:bCs/>
          <w:kern w:val="0"/>
          <w:sz w:val="22"/>
          <w:szCs w:val="22"/>
          <w:lang w:eastAsia="en-GB"/>
          <w14:ligatures w14:val="none"/>
        </w:rPr>
        <w:t>Obesity Strategy (2020)</w:t>
      </w:r>
      <w:r w:rsidRPr="005B4A5C">
        <w:rPr>
          <w:rFonts w:ascii="Arial" w:eastAsia="Times New Roman" w:hAnsi="Arial" w:cs="Arial"/>
          <w:kern w:val="0"/>
          <w:sz w:val="22"/>
          <w:szCs w:val="22"/>
          <w:lang w:eastAsia="en-GB"/>
          <w14:ligatures w14:val="none"/>
        </w:rPr>
        <w:t xml:space="preserve"> introduced measures such as calorie labelling and restrictions on high</w:t>
      </w:r>
      <w:r w:rsidRPr="005B4A5C">
        <w:rPr>
          <w:rFonts w:ascii="Arial" w:eastAsia="Times New Roman" w:hAnsi="Arial" w:cs="Arial"/>
          <w:kern w:val="0"/>
          <w:sz w:val="22"/>
          <w:szCs w:val="22"/>
          <w:lang w:eastAsia="en-GB"/>
          <w14:ligatures w14:val="none"/>
        </w:rPr>
        <w:noBreakHyphen/>
        <w:t>fat, salt, and sugar advertising (DHSC, 2020). Critics argue that the strategy focuses too heavily on individual behaviour rather than structural determinants such as poverty and food environments (Public Health England, 2020).</w:t>
      </w:r>
    </w:p>
    <w:p w14:paraId="4B456F3C"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Women’s Health Strategy for England (2022)</w:t>
      </w:r>
      <w:r w:rsidRPr="005B4A5C">
        <w:rPr>
          <w:rFonts w:ascii="Arial" w:eastAsia="Times New Roman" w:hAnsi="Arial" w:cs="Arial"/>
          <w:kern w:val="0"/>
          <w:sz w:val="22"/>
          <w:szCs w:val="22"/>
          <w:lang w:eastAsia="en-GB"/>
          <w14:ligatures w14:val="none"/>
        </w:rPr>
        <w:t xml:space="preserve"> also contributes to SDG 3 by addressing gender disparities in health outcomes, including reproductive health, menopause, and access to services (DHSC, 2022).</w:t>
      </w:r>
    </w:p>
    <w:p w14:paraId="5F586B29"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2.4 Local Policies: Wolverhampton and the Black Country ICS</w:t>
      </w:r>
    </w:p>
    <w:p w14:paraId="5E13DB7C"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lastRenderedPageBreak/>
        <w:t xml:space="preserve">Wolverhampton’s Public Health team delivers smoking cessation services, weight management programmes, and mental health support (Wolverhampton Council, 2022). The </w:t>
      </w:r>
      <w:r w:rsidRPr="005B4A5C">
        <w:rPr>
          <w:rFonts w:ascii="Arial" w:eastAsia="Times New Roman" w:hAnsi="Arial" w:cs="Arial"/>
          <w:b/>
          <w:bCs/>
          <w:kern w:val="0"/>
          <w:sz w:val="22"/>
          <w:szCs w:val="22"/>
          <w:lang w:eastAsia="en-GB"/>
          <w14:ligatures w14:val="none"/>
        </w:rPr>
        <w:t>Black Country Integrated Care System (ICS)</w:t>
      </w:r>
      <w:r w:rsidRPr="005B4A5C">
        <w:rPr>
          <w:rFonts w:ascii="Arial" w:eastAsia="Times New Roman" w:hAnsi="Arial" w:cs="Arial"/>
          <w:kern w:val="0"/>
          <w:sz w:val="22"/>
          <w:szCs w:val="22"/>
          <w:lang w:eastAsia="en-GB"/>
          <w14:ligatures w14:val="none"/>
        </w:rPr>
        <w:t xml:space="preserve"> prioritises reducing health inequalities, improving access to primary care, and strengthening community</w:t>
      </w:r>
      <w:r w:rsidRPr="005B4A5C">
        <w:rPr>
          <w:rFonts w:ascii="Arial" w:eastAsia="Times New Roman" w:hAnsi="Arial" w:cs="Arial"/>
          <w:kern w:val="0"/>
          <w:sz w:val="22"/>
          <w:szCs w:val="22"/>
          <w:lang w:eastAsia="en-GB"/>
          <w14:ligatures w14:val="none"/>
        </w:rPr>
        <w:noBreakHyphen/>
        <w:t>based prevention (Black Country ICS, 2023). Local data shows significant disparities in life expectancy and chronic disease prevalence, particularly in deprived areas such as Bilston (ONS, 2023b).</w:t>
      </w:r>
    </w:p>
    <w:p w14:paraId="3AD80AD9"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Local initiatives often demonstrate strong community engagement but face challenges including limited funding, workforce pressures, and difficulties reaching marginalised groups. Evaluations suggest that culturally tailored interventions and community partnerships improve effectiveness (Local Government Association, 2021).</w:t>
      </w:r>
    </w:p>
    <w:p w14:paraId="60CE0A30"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2.5 Application of Theories and Models</w:t>
      </w:r>
    </w:p>
    <w:p w14:paraId="5B69BC1C"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Health Belief Model (HBM)</w:t>
      </w:r>
      <w:r w:rsidRPr="005B4A5C">
        <w:rPr>
          <w:rFonts w:ascii="Arial" w:eastAsia="Times New Roman" w:hAnsi="Arial" w:cs="Arial"/>
          <w:kern w:val="0"/>
          <w:sz w:val="22"/>
          <w:szCs w:val="22"/>
          <w:lang w:eastAsia="en-GB"/>
          <w14:ligatures w14:val="none"/>
        </w:rPr>
        <w:t xml:space="preserve"> helps explain how individuals perceive health risks and benefits. Smoking cessation campaigns in Wolverhampton use messaging that increases perceived susceptibility and enhances self</w:t>
      </w:r>
      <w:r w:rsidRPr="005B4A5C">
        <w:rPr>
          <w:rFonts w:ascii="Arial" w:eastAsia="Times New Roman" w:hAnsi="Arial" w:cs="Arial"/>
          <w:kern w:val="0"/>
          <w:sz w:val="22"/>
          <w:szCs w:val="22"/>
          <w:lang w:eastAsia="en-GB"/>
          <w14:ligatures w14:val="none"/>
        </w:rPr>
        <w:noBreakHyphen/>
        <w:t>efficacy through support services (Rosenstock et al., 1988).</w:t>
      </w:r>
    </w:p>
    <w:p w14:paraId="026274DD"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b/>
          <w:bCs/>
          <w:kern w:val="0"/>
          <w:sz w:val="22"/>
          <w:szCs w:val="22"/>
          <w:lang w:eastAsia="en-GB"/>
          <w14:ligatures w14:val="none"/>
        </w:rPr>
        <w:t>Social Cognitive Theory (SCT)</w:t>
      </w:r>
      <w:r w:rsidRPr="005B4A5C">
        <w:rPr>
          <w:rFonts w:ascii="Arial" w:eastAsia="Times New Roman" w:hAnsi="Arial" w:cs="Arial"/>
          <w:kern w:val="0"/>
          <w:sz w:val="22"/>
          <w:szCs w:val="22"/>
          <w:lang w:eastAsia="en-GB"/>
          <w14:ligatures w14:val="none"/>
        </w:rPr>
        <w:t xml:space="preserve"> emphasises role modelling and social norms. Local physical activity programmes use community champions to encourage behaviour change (Bandura, 2004).</w:t>
      </w:r>
    </w:p>
    <w:p w14:paraId="1629EAF9"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Socio</w:t>
      </w:r>
      <w:r w:rsidRPr="005B4A5C">
        <w:rPr>
          <w:rFonts w:ascii="Arial" w:eastAsia="Times New Roman" w:hAnsi="Arial" w:cs="Arial"/>
          <w:b/>
          <w:bCs/>
          <w:kern w:val="0"/>
          <w:sz w:val="22"/>
          <w:szCs w:val="22"/>
          <w:lang w:eastAsia="en-GB"/>
          <w14:ligatures w14:val="none"/>
        </w:rPr>
        <w:noBreakHyphen/>
        <w:t>Ecological Model (SEM)</w:t>
      </w:r>
      <w:r w:rsidRPr="005B4A5C">
        <w:rPr>
          <w:rFonts w:ascii="Arial" w:eastAsia="Times New Roman" w:hAnsi="Arial" w:cs="Arial"/>
          <w:kern w:val="0"/>
          <w:sz w:val="22"/>
          <w:szCs w:val="22"/>
          <w:lang w:eastAsia="en-GB"/>
          <w14:ligatures w14:val="none"/>
        </w:rPr>
        <w:t xml:space="preserve"> highlights how health behaviours are shaped by individual, interpersonal, community, and policy factors (Bronfenbrenner, 1994). This model is particularly relevant to SDG 3, as it supports multi</w:t>
      </w:r>
      <w:r w:rsidRPr="005B4A5C">
        <w:rPr>
          <w:rFonts w:ascii="Arial" w:eastAsia="Times New Roman" w:hAnsi="Arial" w:cs="Arial"/>
          <w:kern w:val="0"/>
          <w:sz w:val="22"/>
          <w:szCs w:val="22"/>
          <w:lang w:eastAsia="en-GB"/>
          <w14:ligatures w14:val="none"/>
        </w:rPr>
        <w:noBreakHyphen/>
        <w:t>level interventions addressing social determinants of health.</w:t>
      </w:r>
    </w:p>
    <w:p w14:paraId="5B1900BA"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2.6 Critical Evaluation</w:t>
      </w:r>
    </w:p>
    <w:p w14:paraId="693DBB81"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Strengths of UK and local policies include strong alignment with SDG 3, investment in prevention, and growing recognition of inequalities. However, limitations include:</w:t>
      </w:r>
    </w:p>
    <w:p w14:paraId="004F3F33" w14:textId="77777777" w:rsidR="005B4A5C" w:rsidRPr="005B4A5C" w:rsidRDefault="005B4A5C" w:rsidP="002E5F15">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Persistent regional inequalities</w:t>
      </w:r>
    </w:p>
    <w:p w14:paraId="7B383A40" w14:textId="77777777" w:rsidR="005B4A5C" w:rsidRPr="005B4A5C" w:rsidRDefault="005B4A5C" w:rsidP="002E5F15">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Underfunding of public health services</w:t>
      </w:r>
    </w:p>
    <w:p w14:paraId="371FA855" w14:textId="77777777" w:rsidR="005B4A5C" w:rsidRPr="005B4A5C" w:rsidRDefault="005B4A5C" w:rsidP="002E5F15">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Overemphasis on individual behaviour change</w:t>
      </w:r>
    </w:p>
    <w:p w14:paraId="54898923" w14:textId="77777777" w:rsidR="005B4A5C" w:rsidRPr="005B4A5C" w:rsidRDefault="005B4A5C" w:rsidP="002E5F15">
      <w:pPr>
        <w:numPr>
          <w:ilvl w:val="0"/>
          <w:numId w:val="26"/>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Limited integration of gender considerations</w:t>
      </w:r>
    </w:p>
    <w:p w14:paraId="123AC67D" w14:textId="77777777" w:rsidR="00ED0FBC" w:rsidRDefault="005B4A5C" w:rsidP="00ED0FBC">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lastRenderedPageBreak/>
        <w:t>Global frameworks provide direction but lack enforcement mechanisms. National policies are ambitious but constrained by resource pressures. Local initiatives are innovative but require sustained funding and evaluation.</w:t>
      </w:r>
    </w:p>
    <w:p w14:paraId="3CAADACC" w14:textId="20B671DC" w:rsidR="005B4A5C" w:rsidRPr="005B4A5C" w:rsidRDefault="005B4A5C" w:rsidP="00ED0FBC">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b/>
          <w:bCs/>
          <w:kern w:val="0"/>
          <w:sz w:val="22"/>
          <w:szCs w:val="22"/>
          <w:lang w:eastAsia="en-GB"/>
          <w14:ligatures w14:val="none"/>
        </w:rPr>
        <w:t>2.7 Recommendations</w:t>
      </w:r>
    </w:p>
    <w:p w14:paraId="0198A0A6" w14:textId="77777777" w:rsidR="005B4A5C" w:rsidRPr="005B4A5C" w:rsidRDefault="005B4A5C" w:rsidP="002E5F1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Increase investment in public health and prevention.</w:t>
      </w:r>
    </w:p>
    <w:p w14:paraId="5757C04B" w14:textId="77777777" w:rsidR="005B4A5C" w:rsidRPr="005B4A5C" w:rsidRDefault="005B4A5C" w:rsidP="002E5F1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Strengthen cross</w:t>
      </w:r>
      <w:r w:rsidRPr="005B4A5C">
        <w:rPr>
          <w:rFonts w:ascii="Arial" w:eastAsia="Times New Roman" w:hAnsi="Arial" w:cs="Arial"/>
          <w:kern w:val="0"/>
          <w:sz w:val="22"/>
          <w:szCs w:val="22"/>
          <w:lang w:eastAsia="en-GB"/>
          <w14:ligatures w14:val="none"/>
        </w:rPr>
        <w:noBreakHyphen/>
        <w:t>sector collaboration.</w:t>
      </w:r>
    </w:p>
    <w:p w14:paraId="5C78DBBB" w14:textId="77777777" w:rsidR="005B4A5C" w:rsidRPr="005B4A5C" w:rsidRDefault="005B4A5C" w:rsidP="002E5F1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Improve gender</w:t>
      </w:r>
      <w:r w:rsidRPr="005B4A5C">
        <w:rPr>
          <w:rFonts w:ascii="Arial" w:eastAsia="Times New Roman" w:hAnsi="Arial" w:cs="Arial"/>
          <w:kern w:val="0"/>
          <w:sz w:val="22"/>
          <w:szCs w:val="22"/>
          <w:lang w:eastAsia="en-GB"/>
          <w14:ligatures w14:val="none"/>
        </w:rPr>
        <w:noBreakHyphen/>
        <w:t>disaggregated data collection.</w:t>
      </w:r>
    </w:p>
    <w:p w14:paraId="23927C1D" w14:textId="77777777" w:rsidR="005B4A5C" w:rsidRPr="005B4A5C" w:rsidRDefault="005B4A5C" w:rsidP="002E5F1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Expand culturally tailored community programmes.</w:t>
      </w:r>
    </w:p>
    <w:p w14:paraId="45B01C95" w14:textId="77777777" w:rsidR="005B4A5C" w:rsidRPr="005B4A5C" w:rsidRDefault="005B4A5C" w:rsidP="002E5F15">
      <w:pPr>
        <w:numPr>
          <w:ilvl w:val="0"/>
          <w:numId w:val="27"/>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Integrate gender equality considerations into all SDG 3 policies.</w:t>
      </w:r>
    </w:p>
    <w:p w14:paraId="609E96E2" w14:textId="77777777" w:rsidR="00ED0FBC" w:rsidRDefault="005B4A5C" w:rsidP="00ED0FB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5B4A5C">
        <w:rPr>
          <w:rFonts w:ascii="Arial" w:eastAsia="Times New Roman" w:hAnsi="Arial" w:cs="Arial"/>
          <w:b/>
          <w:bCs/>
          <w:kern w:val="36"/>
          <w:sz w:val="22"/>
          <w:szCs w:val="22"/>
          <w:lang w:eastAsia="en-GB"/>
          <w14:ligatures w14:val="none"/>
        </w:rPr>
        <w:t>3. SDG 5: Gender Equality</w:t>
      </w:r>
    </w:p>
    <w:p w14:paraId="7D082806" w14:textId="2B6F1C54" w:rsidR="005B4A5C" w:rsidRPr="005B4A5C" w:rsidRDefault="005B4A5C" w:rsidP="00ED0FBC">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5B4A5C">
        <w:rPr>
          <w:rFonts w:ascii="Arial" w:eastAsia="Times New Roman" w:hAnsi="Arial" w:cs="Arial"/>
          <w:b/>
          <w:bCs/>
          <w:kern w:val="0"/>
          <w:sz w:val="22"/>
          <w:szCs w:val="22"/>
          <w:lang w:eastAsia="en-GB"/>
          <w14:ligatures w14:val="none"/>
        </w:rPr>
        <w:t>3.1 Overview of SDG 5</w:t>
      </w:r>
    </w:p>
    <w:p w14:paraId="3CF46FA8"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SDG 5 aims to “achieve gender equality and empower all women and girls” (United Nations, 2015). Key targets include eliminating violence against women, ensuring access to reproductive health, ending discrimination, and promoting women’s leadership. Gender equality is essential for achieving SDG 3, as gender norms and discrimination significantly influence health outcomes (UN Women, 2022).</w:t>
      </w:r>
    </w:p>
    <w:p w14:paraId="3F0899F6"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3.2 Global Policies and Initiatives</w:t>
      </w:r>
    </w:p>
    <w:p w14:paraId="480746F6"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UN Women leads global efforts to advance SDG 5, promoting legal reforms, gender</w:t>
      </w:r>
      <w:r w:rsidRPr="005B4A5C">
        <w:rPr>
          <w:rFonts w:ascii="Arial" w:eastAsia="Times New Roman" w:hAnsi="Arial" w:cs="Arial"/>
          <w:kern w:val="0"/>
          <w:sz w:val="22"/>
          <w:szCs w:val="22"/>
          <w:lang w:eastAsia="en-GB"/>
          <w14:ligatures w14:val="none"/>
        </w:rPr>
        <w:noBreakHyphen/>
        <w:t xml:space="preserve">responsive budgeting, and programmes addressing violence against women (UN Women, 2022). The </w:t>
      </w:r>
      <w:r w:rsidRPr="005B4A5C">
        <w:rPr>
          <w:rFonts w:ascii="Arial" w:eastAsia="Times New Roman" w:hAnsi="Arial" w:cs="Arial"/>
          <w:b/>
          <w:bCs/>
          <w:kern w:val="0"/>
          <w:sz w:val="22"/>
          <w:szCs w:val="22"/>
          <w:lang w:eastAsia="en-GB"/>
          <w14:ligatures w14:val="none"/>
        </w:rPr>
        <w:t>Convention on the Elimination of All Forms of Discrimination Against Women (CEDAW)</w:t>
      </w:r>
      <w:r w:rsidRPr="005B4A5C">
        <w:rPr>
          <w:rFonts w:ascii="Arial" w:eastAsia="Times New Roman" w:hAnsi="Arial" w:cs="Arial"/>
          <w:kern w:val="0"/>
          <w:sz w:val="22"/>
          <w:szCs w:val="22"/>
          <w:lang w:eastAsia="en-GB"/>
          <w14:ligatures w14:val="none"/>
        </w:rPr>
        <w:t xml:space="preserve"> provides a legally binding framework for gender equality (UN, 1979).</w:t>
      </w:r>
    </w:p>
    <w:p w14:paraId="5A3A27FA"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WHO Gender Strategy</w:t>
      </w:r>
      <w:r w:rsidRPr="005B4A5C">
        <w:rPr>
          <w:rFonts w:ascii="Arial" w:eastAsia="Times New Roman" w:hAnsi="Arial" w:cs="Arial"/>
          <w:kern w:val="0"/>
          <w:sz w:val="22"/>
          <w:szCs w:val="22"/>
          <w:lang w:eastAsia="en-GB"/>
          <w14:ligatures w14:val="none"/>
        </w:rPr>
        <w:t xml:space="preserve"> highlights how gender norms shape health risks, access to care, and exposure to violence (WHO, 2022a). Globally, progress on SDG 5 is slow, with rising rates of gender</w:t>
      </w:r>
      <w:r w:rsidRPr="005B4A5C">
        <w:rPr>
          <w:rFonts w:ascii="Arial" w:eastAsia="Times New Roman" w:hAnsi="Arial" w:cs="Arial"/>
          <w:kern w:val="0"/>
          <w:sz w:val="22"/>
          <w:szCs w:val="22"/>
          <w:lang w:eastAsia="en-GB"/>
          <w14:ligatures w14:val="none"/>
        </w:rPr>
        <w:noBreakHyphen/>
        <w:t>based violence and persistent inequalities in education, employment, and political participation (UN Women, 2023).</w:t>
      </w:r>
    </w:p>
    <w:p w14:paraId="56AC3271"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3.3 National Policies: United Kingdom</w:t>
      </w:r>
    </w:p>
    <w:p w14:paraId="2717F524"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Domestic Abuse Act (2021)</w:t>
      </w:r>
      <w:r w:rsidRPr="005B4A5C">
        <w:rPr>
          <w:rFonts w:ascii="Arial" w:eastAsia="Times New Roman" w:hAnsi="Arial" w:cs="Arial"/>
          <w:kern w:val="0"/>
          <w:sz w:val="22"/>
          <w:szCs w:val="22"/>
          <w:lang w:eastAsia="en-GB"/>
          <w14:ligatures w14:val="none"/>
        </w:rPr>
        <w:t xml:space="preserve"> strengthened legal protections, introduced new offences, and improved support for survivors (Home Office, 2021). However, service provision remains </w:t>
      </w:r>
      <w:r w:rsidRPr="005B4A5C">
        <w:rPr>
          <w:rFonts w:ascii="Arial" w:eastAsia="Times New Roman" w:hAnsi="Arial" w:cs="Arial"/>
          <w:kern w:val="0"/>
          <w:sz w:val="22"/>
          <w:szCs w:val="22"/>
          <w:lang w:eastAsia="en-GB"/>
          <w14:ligatures w14:val="none"/>
        </w:rPr>
        <w:lastRenderedPageBreak/>
        <w:t>inconsistent, with long waiting lists and limited specialist support for minority groups (Women’s Aid, 2022).</w:t>
      </w:r>
    </w:p>
    <w:p w14:paraId="5D24229E"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Women’s Health Strategy for England (2022)</w:t>
      </w:r>
      <w:r w:rsidRPr="005B4A5C">
        <w:rPr>
          <w:rFonts w:ascii="Arial" w:eastAsia="Times New Roman" w:hAnsi="Arial" w:cs="Arial"/>
          <w:kern w:val="0"/>
          <w:sz w:val="22"/>
          <w:szCs w:val="22"/>
          <w:lang w:eastAsia="en-GB"/>
          <w14:ligatures w14:val="none"/>
        </w:rPr>
        <w:t xml:space="preserve"> addresses gender disparities in health research, service access, and outcomes (DHSC, 2022). It highlights issues such as endometriosis, menopause, and maternity care.</w:t>
      </w:r>
    </w:p>
    <w:p w14:paraId="4E50FE9C"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Gender Pay Gap Regulations (2017)</w:t>
      </w:r>
      <w:r w:rsidRPr="005B4A5C">
        <w:rPr>
          <w:rFonts w:ascii="Arial" w:eastAsia="Times New Roman" w:hAnsi="Arial" w:cs="Arial"/>
          <w:kern w:val="0"/>
          <w:sz w:val="22"/>
          <w:szCs w:val="22"/>
          <w:lang w:eastAsia="en-GB"/>
          <w14:ligatures w14:val="none"/>
        </w:rPr>
        <w:t xml:space="preserve"> require employers to report pay disparities. Progress in closing the gap remains slow (ONS, 2023a).</w:t>
      </w:r>
    </w:p>
    <w:p w14:paraId="22F493E9"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3.4 Local Policies: Wolverhampton and the West Midlands</w:t>
      </w:r>
    </w:p>
    <w:p w14:paraId="1BDB1947"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Wolverhampton provides safe accommodation, counselling, and advocacy for survivors of domestic abuse (Wolverhampton Council, 2022). The </w:t>
      </w:r>
      <w:r w:rsidRPr="005B4A5C">
        <w:rPr>
          <w:rFonts w:ascii="Arial" w:eastAsia="Times New Roman" w:hAnsi="Arial" w:cs="Arial"/>
          <w:b/>
          <w:bCs/>
          <w:kern w:val="0"/>
          <w:sz w:val="22"/>
          <w:szCs w:val="22"/>
          <w:lang w:eastAsia="en-GB"/>
          <w14:ligatures w14:val="none"/>
        </w:rPr>
        <w:t>Violence Against Women and Girls Strategy</w:t>
      </w:r>
      <w:r w:rsidRPr="005B4A5C">
        <w:rPr>
          <w:rFonts w:ascii="Arial" w:eastAsia="Times New Roman" w:hAnsi="Arial" w:cs="Arial"/>
          <w:kern w:val="0"/>
          <w:sz w:val="22"/>
          <w:szCs w:val="22"/>
          <w:lang w:eastAsia="en-GB"/>
          <w14:ligatures w14:val="none"/>
        </w:rPr>
        <w:t xml:space="preserve"> focuses on prevention, early intervention, and support.</w:t>
      </w:r>
    </w:p>
    <w:p w14:paraId="3F658525"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Community organisations in the West Midlands support women facing forced marriage, honour</w:t>
      </w:r>
      <w:r w:rsidRPr="005B4A5C">
        <w:rPr>
          <w:rFonts w:ascii="Arial" w:eastAsia="Times New Roman" w:hAnsi="Arial" w:cs="Arial"/>
          <w:kern w:val="0"/>
          <w:sz w:val="22"/>
          <w:szCs w:val="22"/>
          <w:lang w:eastAsia="en-GB"/>
          <w14:ligatures w14:val="none"/>
        </w:rPr>
        <w:noBreakHyphen/>
        <w:t>based violence, and economic abuse (West Midlands Police, 2022). Funding constraints and rising demand limit service capacity.</w:t>
      </w:r>
    </w:p>
    <w:p w14:paraId="2131D3C1"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3.5 Application of Theories and Models</w:t>
      </w:r>
    </w:p>
    <w:p w14:paraId="0F954445"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Socio</w:t>
      </w:r>
      <w:r w:rsidRPr="005B4A5C">
        <w:rPr>
          <w:rFonts w:ascii="Arial" w:eastAsia="Times New Roman" w:hAnsi="Arial" w:cs="Arial"/>
          <w:b/>
          <w:bCs/>
          <w:kern w:val="0"/>
          <w:sz w:val="22"/>
          <w:szCs w:val="22"/>
          <w:lang w:eastAsia="en-GB"/>
          <w14:ligatures w14:val="none"/>
        </w:rPr>
        <w:noBreakHyphen/>
        <w:t>Ecological Model (SEM)</w:t>
      </w:r>
      <w:r w:rsidRPr="005B4A5C">
        <w:rPr>
          <w:rFonts w:ascii="Arial" w:eastAsia="Times New Roman" w:hAnsi="Arial" w:cs="Arial"/>
          <w:kern w:val="0"/>
          <w:sz w:val="22"/>
          <w:szCs w:val="22"/>
          <w:lang w:eastAsia="en-GB"/>
          <w14:ligatures w14:val="none"/>
        </w:rPr>
        <w:t xml:space="preserve"> is widely used in gender</w:t>
      </w:r>
      <w:r w:rsidRPr="005B4A5C">
        <w:rPr>
          <w:rFonts w:ascii="Arial" w:eastAsia="Times New Roman" w:hAnsi="Arial" w:cs="Arial"/>
          <w:kern w:val="0"/>
          <w:sz w:val="22"/>
          <w:szCs w:val="22"/>
          <w:lang w:eastAsia="en-GB"/>
          <w14:ligatures w14:val="none"/>
        </w:rPr>
        <w:noBreakHyphen/>
        <w:t>based violence prevention, recognising that violence is shaped by individual, relational, community, and societal factors (Heise, 1998).</w:t>
      </w:r>
    </w:p>
    <w:p w14:paraId="6C68C489"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b/>
          <w:bCs/>
          <w:kern w:val="0"/>
          <w:sz w:val="22"/>
          <w:szCs w:val="22"/>
          <w:lang w:eastAsia="en-GB"/>
          <w14:ligatures w14:val="none"/>
        </w:rPr>
        <w:t>Social Cognitive Theory (SCT)</w:t>
      </w:r>
      <w:r w:rsidRPr="005B4A5C">
        <w:rPr>
          <w:rFonts w:ascii="Arial" w:eastAsia="Times New Roman" w:hAnsi="Arial" w:cs="Arial"/>
          <w:kern w:val="0"/>
          <w:sz w:val="22"/>
          <w:szCs w:val="22"/>
          <w:lang w:eastAsia="en-GB"/>
          <w14:ligatures w14:val="none"/>
        </w:rPr>
        <w:t xml:space="preserve"> is relevant to campaigns challenging harmful norms and promoting positive role models (Bandura, 2004).</w:t>
      </w:r>
    </w:p>
    <w:p w14:paraId="0A48A1D3"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 xml:space="preserve">The </w:t>
      </w:r>
      <w:r w:rsidRPr="005B4A5C">
        <w:rPr>
          <w:rFonts w:ascii="Arial" w:eastAsia="Times New Roman" w:hAnsi="Arial" w:cs="Arial"/>
          <w:b/>
          <w:bCs/>
          <w:kern w:val="0"/>
          <w:sz w:val="22"/>
          <w:szCs w:val="22"/>
          <w:lang w:eastAsia="en-GB"/>
          <w14:ligatures w14:val="none"/>
        </w:rPr>
        <w:t>Health Belief Model (HBM)</w:t>
      </w:r>
      <w:r w:rsidRPr="005B4A5C">
        <w:rPr>
          <w:rFonts w:ascii="Arial" w:eastAsia="Times New Roman" w:hAnsi="Arial" w:cs="Arial"/>
          <w:kern w:val="0"/>
          <w:sz w:val="22"/>
          <w:szCs w:val="22"/>
          <w:lang w:eastAsia="en-GB"/>
          <w14:ligatures w14:val="none"/>
        </w:rPr>
        <w:t xml:space="preserve"> helps explain barriers to accessing reproductive health services (Rosenstock et al., 1988).</w:t>
      </w:r>
    </w:p>
    <w:p w14:paraId="61855C47" w14:textId="77777777" w:rsidR="005B4A5C" w:rsidRPr="005B4A5C" w:rsidRDefault="005B4A5C" w:rsidP="002E5F15">
      <w:pPr>
        <w:spacing w:before="100" w:beforeAutospacing="1" w:after="100" w:afterAutospacing="1" w:line="360" w:lineRule="auto"/>
        <w:outlineLvl w:val="2"/>
        <w:rPr>
          <w:rFonts w:ascii="Arial" w:eastAsia="Times New Roman" w:hAnsi="Arial" w:cs="Arial"/>
          <w:b/>
          <w:bCs/>
          <w:kern w:val="0"/>
          <w:sz w:val="22"/>
          <w:szCs w:val="22"/>
          <w:lang w:eastAsia="en-GB"/>
          <w14:ligatures w14:val="none"/>
        </w:rPr>
      </w:pPr>
      <w:r w:rsidRPr="005B4A5C">
        <w:rPr>
          <w:rFonts w:ascii="Arial" w:eastAsia="Times New Roman" w:hAnsi="Arial" w:cs="Arial"/>
          <w:b/>
          <w:bCs/>
          <w:kern w:val="0"/>
          <w:sz w:val="22"/>
          <w:szCs w:val="22"/>
          <w:lang w:eastAsia="en-GB"/>
          <w14:ligatures w14:val="none"/>
        </w:rPr>
        <w:t>3.6 Critical Evaluation</w:t>
      </w:r>
    </w:p>
    <w:p w14:paraId="5431EC7A"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Strengths of UK gender equality policies include strong legislative frameworks and growing recognition of women’s health needs. However, limitations include:</w:t>
      </w:r>
    </w:p>
    <w:p w14:paraId="1A49F89D" w14:textId="77777777" w:rsidR="005B4A5C" w:rsidRPr="005B4A5C" w:rsidRDefault="005B4A5C" w:rsidP="002E5F1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Persistent gender</w:t>
      </w:r>
      <w:r w:rsidRPr="005B4A5C">
        <w:rPr>
          <w:rFonts w:ascii="Arial" w:eastAsia="Times New Roman" w:hAnsi="Arial" w:cs="Arial"/>
          <w:kern w:val="0"/>
          <w:sz w:val="22"/>
          <w:szCs w:val="22"/>
          <w:lang w:eastAsia="en-GB"/>
          <w14:ligatures w14:val="none"/>
        </w:rPr>
        <w:noBreakHyphen/>
        <w:t>based violence</w:t>
      </w:r>
    </w:p>
    <w:p w14:paraId="22D34EEB" w14:textId="77777777" w:rsidR="005B4A5C" w:rsidRPr="005B4A5C" w:rsidRDefault="005B4A5C" w:rsidP="002E5F1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Underfunded support services</w:t>
      </w:r>
    </w:p>
    <w:p w14:paraId="1F874379" w14:textId="77777777" w:rsidR="005B4A5C" w:rsidRPr="005B4A5C" w:rsidRDefault="005B4A5C" w:rsidP="002E5F1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Intersectional inequalities</w:t>
      </w:r>
    </w:p>
    <w:p w14:paraId="233431FB" w14:textId="77777777" w:rsidR="005B4A5C" w:rsidRPr="005B4A5C" w:rsidRDefault="005B4A5C" w:rsidP="002E5F15">
      <w:pPr>
        <w:numPr>
          <w:ilvl w:val="0"/>
          <w:numId w:val="28"/>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lastRenderedPageBreak/>
        <w:t>Slow progress on economic equality</w:t>
      </w:r>
    </w:p>
    <w:p w14:paraId="6FAE0B36" w14:textId="77777777" w:rsidR="00ED0FBC" w:rsidRDefault="005B4A5C" w:rsidP="00ED0FBC">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Local initiatives demonstrate strong community engagement but require sustainable funding and improved coordination.</w:t>
      </w:r>
    </w:p>
    <w:p w14:paraId="107500C7" w14:textId="45EEA7F4" w:rsidR="005B4A5C" w:rsidRPr="005B4A5C" w:rsidRDefault="005B4A5C" w:rsidP="00ED0FBC">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b/>
          <w:bCs/>
          <w:kern w:val="0"/>
          <w:sz w:val="22"/>
          <w:szCs w:val="22"/>
          <w:lang w:eastAsia="en-GB"/>
          <w14:ligatures w14:val="none"/>
        </w:rPr>
        <w:t>3.7 Recommendations</w:t>
      </w:r>
    </w:p>
    <w:p w14:paraId="73AB7F9F" w14:textId="77777777" w:rsidR="005B4A5C" w:rsidRPr="005B4A5C" w:rsidRDefault="005B4A5C" w:rsidP="002E5F15">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Increase funding for domestic abuse and women’s health services.</w:t>
      </w:r>
    </w:p>
    <w:p w14:paraId="154BF2D9" w14:textId="77777777" w:rsidR="005B4A5C" w:rsidRPr="005B4A5C" w:rsidRDefault="005B4A5C" w:rsidP="002E5F15">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Strengthen intersectional approaches.</w:t>
      </w:r>
    </w:p>
    <w:p w14:paraId="1DB01A85" w14:textId="77777777" w:rsidR="005B4A5C" w:rsidRPr="005B4A5C" w:rsidRDefault="005B4A5C" w:rsidP="002E5F15">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Improve gender</w:t>
      </w:r>
      <w:r w:rsidRPr="005B4A5C">
        <w:rPr>
          <w:rFonts w:ascii="Arial" w:eastAsia="Times New Roman" w:hAnsi="Arial" w:cs="Arial"/>
          <w:kern w:val="0"/>
          <w:sz w:val="22"/>
          <w:szCs w:val="22"/>
          <w:lang w:eastAsia="en-GB"/>
          <w14:ligatures w14:val="none"/>
        </w:rPr>
        <w:noBreakHyphen/>
        <w:t>sensitive training for professionals.</w:t>
      </w:r>
    </w:p>
    <w:p w14:paraId="07F60FD3" w14:textId="77777777" w:rsidR="005B4A5C" w:rsidRPr="005B4A5C" w:rsidRDefault="005B4A5C" w:rsidP="002E5F15">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Expand community</w:t>
      </w:r>
      <w:r w:rsidRPr="005B4A5C">
        <w:rPr>
          <w:rFonts w:ascii="Arial" w:eastAsia="Times New Roman" w:hAnsi="Arial" w:cs="Arial"/>
          <w:kern w:val="0"/>
          <w:sz w:val="22"/>
          <w:szCs w:val="22"/>
          <w:lang w:eastAsia="en-GB"/>
          <w14:ligatures w14:val="none"/>
        </w:rPr>
        <w:noBreakHyphen/>
        <w:t>based prevention programmes.</w:t>
      </w:r>
    </w:p>
    <w:p w14:paraId="05C9CB47" w14:textId="77777777" w:rsidR="005B4A5C" w:rsidRPr="005B4A5C" w:rsidRDefault="005B4A5C" w:rsidP="002E5F15">
      <w:pPr>
        <w:numPr>
          <w:ilvl w:val="0"/>
          <w:numId w:val="29"/>
        </w:num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Integrate SDG 5 considerations into all health and wellbeing policies.</w:t>
      </w:r>
    </w:p>
    <w:p w14:paraId="29880A0F" w14:textId="14693327" w:rsidR="005B4A5C" w:rsidRDefault="005B4A5C" w:rsidP="002E5F15">
      <w:pPr>
        <w:spacing w:after="0" w:line="360" w:lineRule="auto"/>
        <w:rPr>
          <w:rFonts w:ascii="Arial" w:eastAsia="Times New Roman" w:hAnsi="Arial" w:cs="Arial"/>
          <w:kern w:val="0"/>
          <w:sz w:val="22"/>
          <w:szCs w:val="22"/>
          <w:lang w:eastAsia="en-GB"/>
          <w14:ligatures w14:val="none"/>
        </w:rPr>
      </w:pPr>
    </w:p>
    <w:p w14:paraId="570784EC" w14:textId="77777777" w:rsidR="00ED0FBC" w:rsidRDefault="00ED0FBC" w:rsidP="002E5F15">
      <w:pPr>
        <w:spacing w:after="0" w:line="360" w:lineRule="auto"/>
        <w:rPr>
          <w:rFonts w:ascii="Arial" w:eastAsia="Times New Roman" w:hAnsi="Arial" w:cs="Arial"/>
          <w:kern w:val="0"/>
          <w:sz w:val="22"/>
          <w:szCs w:val="22"/>
          <w:lang w:eastAsia="en-GB"/>
          <w14:ligatures w14:val="none"/>
        </w:rPr>
      </w:pPr>
    </w:p>
    <w:p w14:paraId="7FFAC5C7" w14:textId="77777777" w:rsidR="00ED0FBC" w:rsidRDefault="00ED0FBC" w:rsidP="002E5F15">
      <w:pPr>
        <w:spacing w:after="0" w:line="360" w:lineRule="auto"/>
        <w:rPr>
          <w:rFonts w:ascii="Arial" w:eastAsia="Times New Roman" w:hAnsi="Arial" w:cs="Arial"/>
          <w:kern w:val="0"/>
          <w:sz w:val="22"/>
          <w:szCs w:val="22"/>
          <w:lang w:eastAsia="en-GB"/>
          <w14:ligatures w14:val="none"/>
        </w:rPr>
      </w:pPr>
    </w:p>
    <w:p w14:paraId="7157B80D" w14:textId="77777777" w:rsidR="00ED0FBC" w:rsidRPr="005B4A5C" w:rsidRDefault="00ED0FBC" w:rsidP="002E5F15">
      <w:pPr>
        <w:spacing w:after="0" w:line="360" w:lineRule="auto"/>
        <w:rPr>
          <w:rFonts w:ascii="Arial" w:eastAsia="Times New Roman" w:hAnsi="Arial" w:cs="Arial"/>
          <w:kern w:val="0"/>
          <w:sz w:val="22"/>
          <w:szCs w:val="22"/>
          <w:lang w:eastAsia="en-GB"/>
          <w14:ligatures w14:val="none"/>
        </w:rPr>
      </w:pPr>
    </w:p>
    <w:p w14:paraId="62F69BD1" w14:textId="77777777" w:rsidR="005B4A5C" w:rsidRPr="005B4A5C" w:rsidRDefault="005B4A5C" w:rsidP="002E5F15">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5B4A5C">
        <w:rPr>
          <w:rFonts w:ascii="Arial" w:eastAsia="Times New Roman" w:hAnsi="Arial" w:cs="Arial"/>
          <w:b/>
          <w:bCs/>
          <w:kern w:val="36"/>
          <w:sz w:val="22"/>
          <w:szCs w:val="22"/>
          <w:lang w:eastAsia="en-GB"/>
          <w14:ligatures w14:val="none"/>
        </w:rPr>
        <w:t>4. Conclusion</w:t>
      </w:r>
    </w:p>
    <w:p w14:paraId="29C48DE0"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This report has critically examined SDG 3 and SDG 5 across global, national, and local levels, demonstrating their interconnectedness and importance for improving health and wellbeing in the UK. Global frameworks such as UHC, CEDAW, and WHO strategies provide essential direction but require stronger accountability and investment. National policies including the NHS Long Term Plan, Domestic Abuse Act, and Women’s Health Strategy show strong alignment with SDG targets but face challenges related to funding, workforce capacity, and persistent inequalities.</w:t>
      </w:r>
    </w:p>
    <w:p w14:paraId="748381E5"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Local initiatives in Wolverhampton and the Black Country ICS highlight the value of community</w:t>
      </w:r>
      <w:r w:rsidRPr="005B4A5C">
        <w:rPr>
          <w:rFonts w:ascii="Arial" w:eastAsia="Times New Roman" w:hAnsi="Arial" w:cs="Arial"/>
          <w:kern w:val="0"/>
          <w:sz w:val="22"/>
          <w:szCs w:val="22"/>
          <w:lang w:eastAsia="en-GB"/>
          <w14:ligatures w14:val="none"/>
        </w:rPr>
        <w:noBreakHyphen/>
        <w:t>based approaches, culturally tailored interventions, and cross</w:t>
      </w:r>
      <w:r w:rsidRPr="005B4A5C">
        <w:rPr>
          <w:rFonts w:ascii="Arial" w:eastAsia="Times New Roman" w:hAnsi="Arial" w:cs="Arial"/>
          <w:kern w:val="0"/>
          <w:sz w:val="22"/>
          <w:szCs w:val="22"/>
          <w:lang w:eastAsia="en-GB"/>
          <w14:ligatures w14:val="none"/>
        </w:rPr>
        <w:noBreakHyphen/>
        <w:t>sector collaboration. However, disparities in access, outcomes, and service provision remain significant. Applying behavioural and social theories such as HBM, SCT, and SEM demonstrates the need for multi</w:t>
      </w:r>
      <w:r w:rsidRPr="005B4A5C">
        <w:rPr>
          <w:rFonts w:ascii="Arial" w:eastAsia="Times New Roman" w:hAnsi="Arial" w:cs="Arial"/>
          <w:kern w:val="0"/>
          <w:sz w:val="22"/>
          <w:szCs w:val="22"/>
          <w:lang w:eastAsia="en-GB"/>
          <w14:ligatures w14:val="none"/>
        </w:rPr>
        <w:noBreakHyphen/>
        <w:t>level interventions that address both individual behaviours and structural determinants.</w:t>
      </w:r>
    </w:p>
    <w:p w14:paraId="741B1EE1" w14:textId="77777777" w:rsidR="005B4A5C" w:rsidRPr="005B4A5C" w:rsidRDefault="005B4A5C" w:rsidP="002E5F15">
      <w:pPr>
        <w:spacing w:before="100" w:beforeAutospacing="1" w:after="100" w:afterAutospacing="1" w:line="360" w:lineRule="auto"/>
        <w:rPr>
          <w:rFonts w:ascii="Arial" w:eastAsia="Times New Roman" w:hAnsi="Arial" w:cs="Arial"/>
          <w:kern w:val="0"/>
          <w:sz w:val="22"/>
          <w:szCs w:val="22"/>
          <w:lang w:eastAsia="en-GB"/>
          <w14:ligatures w14:val="none"/>
        </w:rPr>
      </w:pPr>
      <w:r w:rsidRPr="005B4A5C">
        <w:rPr>
          <w:rFonts w:ascii="Arial" w:eastAsia="Times New Roman" w:hAnsi="Arial" w:cs="Arial"/>
          <w:kern w:val="0"/>
          <w:sz w:val="22"/>
          <w:szCs w:val="22"/>
          <w:lang w:eastAsia="en-GB"/>
          <w14:ligatures w14:val="none"/>
        </w:rPr>
        <w:t>Achieving SDG 3 and SDG 5 requires integrated, gender</w:t>
      </w:r>
      <w:r w:rsidRPr="005B4A5C">
        <w:rPr>
          <w:rFonts w:ascii="Arial" w:eastAsia="Times New Roman" w:hAnsi="Arial" w:cs="Arial"/>
          <w:kern w:val="0"/>
          <w:sz w:val="22"/>
          <w:szCs w:val="22"/>
          <w:lang w:eastAsia="en-GB"/>
          <w14:ligatures w14:val="none"/>
        </w:rPr>
        <w:noBreakHyphen/>
        <w:t xml:space="preserve">responsive policies that prioritise prevention, equity, and community empowerment. Strengthening data collection, improving funding, and enhancing collaboration across sectors will be essential for accelerating progress. Sustainable development cannot be achieved without addressing gender </w:t>
      </w:r>
      <w:r w:rsidRPr="005B4A5C">
        <w:rPr>
          <w:rFonts w:ascii="Arial" w:eastAsia="Times New Roman" w:hAnsi="Arial" w:cs="Arial"/>
          <w:kern w:val="0"/>
          <w:sz w:val="22"/>
          <w:szCs w:val="22"/>
          <w:lang w:eastAsia="en-GB"/>
          <w14:ligatures w14:val="none"/>
        </w:rPr>
        <w:lastRenderedPageBreak/>
        <w:t>inequality, and health systems cannot be effective without recognising the social and structural factors that shape wellbeing.</w:t>
      </w:r>
    </w:p>
    <w:p w14:paraId="4F7CA522" w14:textId="6F9A7AE2" w:rsidR="005B4A5C" w:rsidRPr="005B4A5C" w:rsidRDefault="005B4A5C" w:rsidP="005B4A5C">
      <w:pPr>
        <w:spacing w:after="0" w:line="240" w:lineRule="auto"/>
        <w:rPr>
          <w:rFonts w:ascii="Times New Roman" w:eastAsia="Times New Roman" w:hAnsi="Times New Roman" w:cs="Times New Roman"/>
          <w:kern w:val="0"/>
          <w:lang w:eastAsia="en-GB"/>
          <w14:ligatures w14:val="none"/>
        </w:rPr>
      </w:pPr>
    </w:p>
    <w:p w14:paraId="5E4E0D2B" w14:textId="77777777" w:rsidR="005B4A5C" w:rsidRDefault="005B4A5C" w:rsidP="005B4A5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44969A46" w14:textId="77777777" w:rsidR="005B4A5C" w:rsidRDefault="005B4A5C" w:rsidP="005B4A5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A13663C" w14:textId="77777777" w:rsidR="005B4A5C" w:rsidRDefault="005B4A5C" w:rsidP="005B4A5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59E2BDB5" w14:textId="77777777" w:rsidR="005B4A5C" w:rsidRDefault="005B4A5C" w:rsidP="005B4A5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4F49E75" w14:textId="77777777" w:rsidR="005B4A5C" w:rsidRDefault="005B4A5C" w:rsidP="005B4A5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6ED65BF" w14:textId="77777777" w:rsidR="005B4A5C" w:rsidRDefault="005B4A5C" w:rsidP="005B4A5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67CE516A" w14:textId="735C194A" w:rsidR="005B4A5C" w:rsidRPr="005B4A5C" w:rsidRDefault="005B4A5C" w:rsidP="005B4A5C">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r w:rsidRPr="005B4A5C">
        <w:rPr>
          <w:rFonts w:ascii="Times New Roman" w:eastAsia="Times New Roman" w:hAnsi="Times New Roman" w:cs="Times New Roman"/>
          <w:b/>
          <w:bCs/>
          <w:kern w:val="36"/>
          <w:sz w:val="48"/>
          <w:szCs w:val="48"/>
          <w:lang w:eastAsia="en-GB"/>
          <w14:ligatures w14:val="none"/>
        </w:rPr>
        <w:t>Reference Lis</w:t>
      </w:r>
      <w:r>
        <w:rPr>
          <w:rFonts w:ascii="Times New Roman" w:eastAsia="Times New Roman" w:hAnsi="Times New Roman" w:cs="Times New Roman"/>
          <w:b/>
          <w:bCs/>
          <w:kern w:val="36"/>
          <w:sz w:val="48"/>
          <w:szCs w:val="48"/>
          <w:lang w:eastAsia="en-GB"/>
          <w14:ligatures w14:val="none"/>
        </w:rPr>
        <w:t>t</w:t>
      </w:r>
    </w:p>
    <w:p w14:paraId="7116345C"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Bandura, A. (2004) ‘Health promotion by social cognitive means’, </w:t>
      </w:r>
      <w:r w:rsidRPr="005B4A5C">
        <w:rPr>
          <w:rFonts w:ascii="Times New Roman" w:eastAsia="Times New Roman" w:hAnsi="Times New Roman" w:cs="Times New Roman"/>
          <w:i/>
          <w:iCs/>
          <w:kern w:val="0"/>
          <w:lang w:eastAsia="en-GB"/>
          <w14:ligatures w14:val="none"/>
        </w:rPr>
        <w:t>Health Education &amp; Behavior</w:t>
      </w:r>
      <w:r w:rsidRPr="005B4A5C">
        <w:rPr>
          <w:rFonts w:ascii="Times New Roman" w:eastAsia="Times New Roman" w:hAnsi="Times New Roman" w:cs="Times New Roman"/>
          <w:kern w:val="0"/>
          <w:lang w:eastAsia="en-GB"/>
          <w14:ligatures w14:val="none"/>
        </w:rPr>
        <w:t>, 31(2), pp. 143–164.</w:t>
      </w:r>
    </w:p>
    <w:p w14:paraId="7BE399FD"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Black Country ICS (2023) </w:t>
      </w:r>
      <w:r w:rsidRPr="005B4A5C">
        <w:rPr>
          <w:rFonts w:ascii="Times New Roman" w:eastAsia="Times New Roman" w:hAnsi="Times New Roman" w:cs="Times New Roman"/>
          <w:i/>
          <w:iCs/>
          <w:kern w:val="0"/>
          <w:lang w:eastAsia="en-GB"/>
          <w14:ligatures w14:val="none"/>
        </w:rPr>
        <w:t>ICS Strategy Report</w:t>
      </w:r>
      <w:r w:rsidRPr="005B4A5C">
        <w:rPr>
          <w:rFonts w:ascii="Times New Roman" w:eastAsia="Times New Roman" w:hAnsi="Times New Roman" w:cs="Times New Roman"/>
          <w:kern w:val="0"/>
          <w:lang w:eastAsia="en-GB"/>
          <w14:ligatures w14:val="none"/>
        </w:rPr>
        <w:t>. Black Country Integrated Care System.</w:t>
      </w:r>
    </w:p>
    <w:p w14:paraId="659786C1"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Bronfenbrenner, U. (1994) ‘Ecological models of human development’, </w:t>
      </w:r>
      <w:r w:rsidRPr="005B4A5C">
        <w:rPr>
          <w:rFonts w:ascii="Times New Roman" w:eastAsia="Times New Roman" w:hAnsi="Times New Roman" w:cs="Times New Roman"/>
          <w:i/>
          <w:iCs/>
          <w:kern w:val="0"/>
          <w:lang w:eastAsia="en-GB"/>
          <w14:ligatures w14:val="none"/>
        </w:rPr>
        <w:t>International Encyclopedia of Education</w:t>
      </w:r>
      <w:r w:rsidRPr="005B4A5C">
        <w:rPr>
          <w:rFonts w:ascii="Times New Roman" w:eastAsia="Times New Roman" w:hAnsi="Times New Roman" w:cs="Times New Roman"/>
          <w:kern w:val="0"/>
          <w:lang w:eastAsia="en-GB"/>
          <w14:ligatures w14:val="none"/>
        </w:rPr>
        <w:t>, 3, pp. 1643–1647.</w:t>
      </w:r>
    </w:p>
    <w:p w14:paraId="01198018"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DHSC (2020) </w:t>
      </w:r>
      <w:r w:rsidRPr="005B4A5C">
        <w:rPr>
          <w:rFonts w:ascii="Times New Roman" w:eastAsia="Times New Roman" w:hAnsi="Times New Roman" w:cs="Times New Roman"/>
          <w:i/>
          <w:iCs/>
          <w:kern w:val="0"/>
          <w:lang w:eastAsia="en-GB"/>
          <w14:ligatures w14:val="none"/>
        </w:rPr>
        <w:t>Tackling Obesity: Empowering Adults and Children to Live Healthier Lives</w:t>
      </w:r>
      <w:r w:rsidRPr="005B4A5C">
        <w:rPr>
          <w:rFonts w:ascii="Times New Roman" w:eastAsia="Times New Roman" w:hAnsi="Times New Roman" w:cs="Times New Roman"/>
          <w:kern w:val="0"/>
          <w:lang w:eastAsia="en-GB"/>
          <w14:ligatures w14:val="none"/>
        </w:rPr>
        <w:t>. Department of Health and Social Care.</w:t>
      </w:r>
    </w:p>
    <w:p w14:paraId="4A53D45D"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DHSC (2022) </w:t>
      </w:r>
      <w:r w:rsidRPr="005B4A5C">
        <w:rPr>
          <w:rFonts w:ascii="Times New Roman" w:eastAsia="Times New Roman" w:hAnsi="Times New Roman" w:cs="Times New Roman"/>
          <w:i/>
          <w:iCs/>
          <w:kern w:val="0"/>
          <w:lang w:eastAsia="en-GB"/>
          <w14:ligatures w14:val="none"/>
        </w:rPr>
        <w:t>Women’s Health Strategy for England</w:t>
      </w:r>
      <w:r w:rsidRPr="005B4A5C">
        <w:rPr>
          <w:rFonts w:ascii="Times New Roman" w:eastAsia="Times New Roman" w:hAnsi="Times New Roman" w:cs="Times New Roman"/>
          <w:kern w:val="0"/>
          <w:lang w:eastAsia="en-GB"/>
          <w14:ligatures w14:val="none"/>
        </w:rPr>
        <w:t>. Department of Health and Social Care.</w:t>
      </w:r>
    </w:p>
    <w:p w14:paraId="0D06BDBE"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Heise, L. (1998) ‘Violence against women: An integrated, ecological framework’, </w:t>
      </w:r>
      <w:r w:rsidRPr="005B4A5C">
        <w:rPr>
          <w:rFonts w:ascii="Times New Roman" w:eastAsia="Times New Roman" w:hAnsi="Times New Roman" w:cs="Times New Roman"/>
          <w:i/>
          <w:iCs/>
          <w:kern w:val="0"/>
          <w:lang w:eastAsia="en-GB"/>
          <w14:ligatures w14:val="none"/>
        </w:rPr>
        <w:t>Violence Against Women</w:t>
      </w:r>
      <w:r w:rsidRPr="005B4A5C">
        <w:rPr>
          <w:rFonts w:ascii="Times New Roman" w:eastAsia="Times New Roman" w:hAnsi="Times New Roman" w:cs="Times New Roman"/>
          <w:kern w:val="0"/>
          <w:lang w:eastAsia="en-GB"/>
          <w14:ligatures w14:val="none"/>
        </w:rPr>
        <w:t>, 4(3), pp. 262–290.</w:t>
      </w:r>
    </w:p>
    <w:p w14:paraId="56A9EBAD"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Home Office (2021) </w:t>
      </w:r>
      <w:r w:rsidRPr="005B4A5C">
        <w:rPr>
          <w:rFonts w:ascii="Times New Roman" w:eastAsia="Times New Roman" w:hAnsi="Times New Roman" w:cs="Times New Roman"/>
          <w:i/>
          <w:iCs/>
          <w:kern w:val="0"/>
          <w:lang w:eastAsia="en-GB"/>
          <w14:ligatures w14:val="none"/>
        </w:rPr>
        <w:t>Domestic Abuse Act 2021: Statutory Guidance</w:t>
      </w:r>
      <w:r w:rsidRPr="005B4A5C">
        <w:rPr>
          <w:rFonts w:ascii="Times New Roman" w:eastAsia="Times New Roman" w:hAnsi="Times New Roman" w:cs="Times New Roman"/>
          <w:kern w:val="0"/>
          <w:lang w:eastAsia="en-GB"/>
          <w14:ligatures w14:val="none"/>
        </w:rPr>
        <w:t>. Home Office.</w:t>
      </w:r>
    </w:p>
    <w:p w14:paraId="4FC33AE4"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King’s Fund (2022) </w:t>
      </w:r>
      <w:r w:rsidRPr="005B4A5C">
        <w:rPr>
          <w:rFonts w:ascii="Times New Roman" w:eastAsia="Times New Roman" w:hAnsi="Times New Roman" w:cs="Times New Roman"/>
          <w:i/>
          <w:iCs/>
          <w:kern w:val="0"/>
          <w:lang w:eastAsia="en-GB"/>
          <w14:ligatures w14:val="none"/>
        </w:rPr>
        <w:t>The NHS Workforce Crisis: A Critical Analysis</w:t>
      </w:r>
      <w:r w:rsidRPr="005B4A5C">
        <w:rPr>
          <w:rFonts w:ascii="Times New Roman" w:eastAsia="Times New Roman" w:hAnsi="Times New Roman" w:cs="Times New Roman"/>
          <w:kern w:val="0"/>
          <w:lang w:eastAsia="en-GB"/>
          <w14:ligatures w14:val="none"/>
        </w:rPr>
        <w:t>. The King’s Fund.</w:t>
      </w:r>
    </w:p>
    <w:p w14:paraId="0FB71E03"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Local Government Association (2021) </w:t>
      </w:r>
      <w:r w:rsidRPr="005B4A5C">
        <w:rPr>
          <w:rFonts w:ascii="Times New Roman" w:eastAsia="Times New Roman" w:hAnsi="Times New Roman" w:cs="Times New Roman"/>
          <w:i/>
          <w:iCs/>
          <w:kern w:val="0"/>
          <w:lang w:eastAsia="en-GB"/>
          <w14:ligatures w14:val="none"/>
        </w:rPr>
        <w:t>Public Health: Prevention in Practice</w:t>
      </w:r>
      <w:r w:rsidRPr="005B4A5C">
        <w:rPr>
          <w:rFonts w:ascii="Times New Roman" w:eastAsia="Times New Roman" w:hAnsi="Times New Roman" w:cs="Times New Roman"/>
          <w:kern w:val="0"/>
          <w:lang w:eastAsia="en-GB"/>
          <w14:ligatures w14:val="none"/>
        </w:rPr>
        <w:t>. LGA.</w:t>
      </w:r>
    </w:p>
    <w:p w14:paraId="7F07231E"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NHS England (2019) </w:t>
      </w:r>
      <w:r w:rsidRPr="005B4A5C">
        <w:rPr>
          <w:rFonts w:ascii="Times New Roman" w:eastAsia="Times New Roman" w:hAnsi="Times New Roman" w:cs="Times New Roman"/>
          <w:i/>
          <w:iCs/>
          <w:kern w:val="0"/>
          <w:lang w:eastAsia="en-GB"/>
          <w14:ligatures w14:val="none"/>
        </w:rPr>
        <w:t>The NHS Long Term Plan</w:t>
      </w:r>
      <w:r w:rsidRPr="005B4A5C">
        <w:rPr>
          <w:rFonts w:ascii="Times New Roman" w:eastAsia="Times New Roman" w:hAnsi="Times New Roman" w:cs="Times New Roman"/>
          <w:kern w:val="0"/>
          <w:lang w:eastAsia="en-GB"/>
          <w14:ligatures w14:val="none"/>
        </w:rPr>
        <w:t>. NHS England.</w:t>
      </w:r>
    </w:p>
    <w:p w14:paraId="4FDB216B"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lastRenderedPageBreak/>
        <w:t xml:space="preserve">ONS (2023a) </w:t>
      </w:r>
      <w:r w:rsidRPr="005B4A5C">
        <w:rPr>
          <w:rFonts w:ascii="Times New Roman" w:eastAsia="Times New Roman" w:hAnsi="Times New Roman" w:cs="Times New Roman"/>
          <w:i/>
          <w:iCs/>
          <w:kern w:val="0"/>
          <w:lang w:eastAsia="en-GB"/>
          <w14:ligatures w14:val="none"/>
        </w:rPr>
        <w:t>Gender Pay Gap in the UK</w:t>
      </w:r>
      <w:r w:rsidRPr="005B4A5C">
        <w:rPr>
          <w:rFonts w:ascii="Times New Roman" w:eastAsia="Times New Roman" w:hAnsi="Times New Roman" w:cs="Times New Roman"/>
          <w:kern w:val="0"/>
          <w:lang w:eastAsia="en-GB"/>
          <w14:ligatures w14:val="none"/>
        </w:rPr>
        <w:t>. Office for National Statistics.</w:t>
      </w:r>
    </w:p>
    <w:p w14:paraId="249DF8E3"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ONS (2023b) </w:t>
      </w:r>
      <w:r w:rsidRPr="005B4A5C">
        <w:rPr>
          <w:rFonts w:ascii="Times New Roman" w:eastAsia="Times New Roman" w:hAnsi="Times New Roman" w:cs="Times New Roman"/>
          <w:i/>
          <w:iCs/>
          <w:kern w:val="0"/>
          <w:lang w:eastAsia="en-GB"/>
          <w14:ligatures w14:val="none"/>
        </w:rPr>
        <w:t>Health Inequalities in England</w:t>
      </w:r>
      <w:r w:rsidRPr="005B4A5C">
        <w:rPr>
          <w:rFonts w:ascii="Times New Roman" w:eastAsia="Times New Roman" w:hAnsi="Times New Roman" w:cs="Times New Roman"/>
          <w:kern w:val="0"/>
          <w:lang w:eastAsia="en-GB"/>
          <w14:ligatures w14:val="none"/>
        </w:rPr>
        <w:t>. Office for National Statistics.</w:t>
      </w:r>
    </w:p>
    <w:p w14:paraId="5B61EF56"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Public Health England (2020) </w:t>
      </w:r>
      <w:r w:rsidRPr="005B4A5C">
        <w:rPr>
          <w:rFonts w:ascii="Times New Roman" w:eastAsia="Times New Roman" w:hAnsi="Times New Roman" w:cs="Times New Roman"/>
          <w:i/>
          <w:iCs/>
          <w:kern w:val="0"/>
          <w:lang w:eastAsia="en-GB"/>
          <w14:ligatures w14:val="none"/>
        </w:rPr>
        <w:t>Obesity and the Environment: Evidence Review</w:t>
      </w:r>
      <w:r w:rsidRPr="005B4A5C">
        <w:rPr>
          <w:rFonts w:ascii="Times New Roman" w:eastAsia="Times New Roman" w:hAnsi="Times New Roman" w:cs="Times New Roman"/>
          <w:kern w:val="0"/>
          <w:lang w:eastAsia="en-GB"/>
          <w14:ligatures w14:val="none"/>
        </w:rPr>
        <w:t>. PHE.</w:t>
      </w:r>
    </w:p>
    <w:p w14:paraId="57278C09"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Rosenstock, I., Strecher, V. and Becker, M. (1988) ‘Social learning theory and the Health Belief Model’, </w:t>
      </w:r>
      <w:r w:rsidRPr="005B4A5C">
        <w:rPr>
          <w:rFonts w:ascii="Times New Roman" w:eastAsia="Times New Roman" w:hAnsi="Times New Roman" w:cs="Times New Roman"/>
          <w:i/>
          <w:iCs/>
          <w:kern w:val="0"/>
          <w:lang w:eastAsia="en-GB"/>
          <w14:ligatures w14:val="none"/>
        </w:rPr>
        <w:t>Health Education Quarterly</w:t>
      </w:r>
      <w:r w:rsidRPr="005B4A5C">
        <w:rPr>
          <w:rFonts w:ascii="Times New Roman" w:eastAsia="Times New Roman" w:hAnsi="Times New Roman" w:cs="Times New Roman"/>
          <w:kern w:val="0"/>
          <w:lang w:eastAsia="en-GB"/>
          <w14:ligatures w14:val="none"/>
        </w:rPr>
        <w:t>, 15(2), pp. 175–183.</w:t>
      </w:r>
    </w:p>
    <w:p w14:paraId="23340E49"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UN (1979) </w:t>
      </w:r>
      <w:r w:rsidRPr="005B4A5C">
        <w:rPr>
          <w:rFonts w:ascii="Times New Roman" w:eastAsia="Times New Roman" w:hAnsi="Times New Roman" w:cs="Times New Roman"/>
          <w:i/>
          <w:iCs/>
          <w:kern w:val="0"/>
          <w:lang w:eastAsia="en-GB"/>
          <w14:ligatures w14:val="none"/>
        </w:rPr>
        <w:t>Convention on the Elimination of All Forms of Discrimination Against Women (CEDAW)</w:t>
      </w:r>
      <w:r w:rsidRPr="005B4A5C">
        <w:rPr>
          <w:rFonts w:ascii="Times New Roman" w:eastAsia="Times New Roman" w:hAnsi="Times New Roman" w:cs="Times New Roman"/>
          <w:kern w:val="0"/>
          <w:lang w:eastAsia="en-GB"/>
          <w14:ligatures w14:val="none"/>
        </w:rPr>
        <w:t>. United Nations.</w:t>
      </w:r>
    </w:p>
    <w:p w14:paraId="1F14D845"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UN Women (2022) </w:t>
      </w:r>
      <w:r w:rsidRPr="005B4A5C">
        <w:rPr>
          <w:rFonts w:ascii="Times New Roman" w:eastAsia="Times New Roman" w:hAnsi="Times New Roman" w:cs="Times New Roman"/>
          <w:i/>
          <w:iCs/>
          <w:kern w:val="0"/>
          <w:lang w:eastAsia="en-GB"/>
          <w14:ligatures w14:val="none"/>
        </w:rPr>
        <w:t>Progress on the Sustainable Development Goals: Gender Snapshot</w:t>
      </w:r>
      <w:r w:rsidRPr="005B4A5C">
        <w:rPr>
          <w:rFonts w:ascii="Times New Roman" w:eastAsia="Times New Roman" w:hAnsi="Times New Roman" w:cs="Times New Roman"/>
          <w:kern w:val="0"/>
          <w:lang w:eastAsia="en-GB"/>
          <w14:ligatures w14:val="none"/>
        </w:rPr>
        <w:t>. UN Women.</w:t>
      </w:r>
    </w:p>
    <w:p w14:paraId="7DB9890F"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UN Women (2023) </w:t>
      </w:r>
      <w:r w:rsidRPr="005B4A5C">
        <w:rPr>
          <w:rFonts w:ascii="Times New Roman" w:eastAsia="Times New Roman" w:hAnsi="Times New Roman" w:cs="Times New Roman"/>
          <w:i/>
          <w:iCs/>
          <w:kern w:val="0"/>
          <w:lang w:eastAsia="en-GB"/>
          <w14:ligatures w14:val="none"/>
        </w:rPr>
        <w:t>Gender Equality: Global Progress Report</w:t>
      </w:r>
      <w:r w:rsidRPr="005B4A5C">
        <w:rPr>
          <w:rFonts w:ascii="Times New Roman" w:eastAsia="Times New Roman" w:hAnsi="Times New Roman" w:cs="Times New Roman"/>
          <w:kern w:val="0"/>
          <w:lang w:eastAsia="en-GB"/>
          <w14:ligatures w14:val="none"/>
        </w:rPr>
        <w:t>. UN Women.</w:t>
      </w:r>
    </w:p>
    <w:p w14:paraId="51CBF4EA"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UNDP (2021) </w:t>
      </w:r>
      <w:r w:rsidRPr="005B4A5C">
        <w:rPr>
          <w:rFonts w:ascii="Times New Roman" w:eastAsia="Times New Roman" w:hAnsi="Times New Roman" w:cs="Times New Roman"/>
          <w:i/>
          <w:iCs/>
          <w:kern w:val="0"/>
          <w:lang w:eastAsia="en-GB"/>
          <w14:ligatures w14:val="none"/>
        </w:rPr>
        <w:t>COVID</w:t>
      </w:r>
      <w:r w:rsidRPr="005B4A5C">
        <w:rPr>
          <w:rFonts w:ascii="Times New Roman" w:eastAsia="Times New Roman" w:hAnsi="Times New Roman" w:cs="Times New Roman"/>
          <w:i/>
          <w:iCs/>
          <w:kern w:val="0"/>
          <w:lang w:eastAsia="en-GB"/>
          <w14:ligatures w14:val="none"/>
        </w:rPr>
        <w:noBreakHyphen/>
        <w:t>19 Global Assessment Report</w:t>
      </w:r>
      <w:r w:rsidRPr="005B4A5C">
        <w:rPr>
          <w:rFonts w:ascii="Times New Roman" w:eastAsia="Times New Roman" w:hAnsi="Times New Roman" w:cs="Times New Roman"/>
          <w:kern w:val="0"/>
          <w:lang w:eastAsia="en-GB"/>
          <w14:ligatures w14:val="none"/>
        </w:rPr>
        <w:t>. United Nations Development Programme.</w:t>
      </w:r>
    </w:p>
    <w:p w14:paraId="187FA793"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United Nations (2015) </w:t>
      </w:r>
      <w:r w:rsidRPr="005B4A5C">
        <w:rPr>
          <w:rFonts w:ascii="Times New Roman" w:eastAsia="Times New Roman" w:hAnsi="Times New Roman" w:cs="Times New Roman"/>
          <w:i/>
          <w:iCs/>
          <w:kern w:val="0"/>
          <w:lang w:eastAsia="en-GB"/>
          <w14:ligatures w14:val="none"/>
        </w:rPr>
        <w:t>Transforming Our World: The 2030 Agenda for Sustainable Development</w:t>
      </w:r>
      <w:r w:rsidRPr="005B4A5C">
        <w:rPr>
          <w:rFonts w:ascii="Times New Roman" w:eastAsia="Times New Roman" w:hAnsi="Times New Roman" w:cs="Times New Roman"/>
          <w:kern w:val="0"/>
          <w:lang w:eastAsia="en-GB"/>
          <w14:ligatures w14:val="none"/>
        </w:rPr>
        <w:t>. United Nations.</w:t>
      </w:r>
    </w:p>
    <w:p w14:paraId="744C81D3"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WHO (2021) </w:t>
      </w:r>
      <w:r w:rsidRPr="005B4A5C">
        <w:rPr>
          <w:rFonts w:ascii="Times New Roman" w:eastAsia="Times New Roman" w:hAnsi="Times New Roman" w:cs="Times New Roman"/>
          <w:i/>
          <w:iCs/>
          <w:kern w:val="0"/>
          <w:lang w:eastAsia="en-GB"/>
          <w14:ligatures w14:val="none"/>
        </w:rPr>
        <w:t>Universal Health Coverage Global Monitoring Report</w:t>
      </w:r>
      <w:r w:rsidRPr="005B4A5C">
        <w:rPr>
          <w:rFonts w:ascii="Times New Roman" w:eastAsia="Times New Roman" w:hAnsi="Times New Roman" w:cs="Times New Roman"/>
          <w:kern w:val="0"/>
          <w:lang w:eastAsia="en-GB"/>
          <w14:ligatures w14:val="none"/>
        </w:rPr>
        <w:t>. World Health Organization.</w:t>
      </w:r>
    </w:p>
    <w:p w14:paraId="361D6A2C"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WHO (2022a) </w:t>
      </w:r>
      <w:r w:rsidRPr="005B4A5C">
        <w:rPr>
          <w:rFonts w:ascii="Times New Roman" w:eastAsia="Times New Roman" w:hAnsi="Times New Roman" w:cs="Times New Roman"/>
          <w:i/>
          <w:iCs/>
          <w:kern w:val="0"/>
          <w:lang w:eastAsia="en-GB"/>
          <w14:ligatures w14:val="none"/>
        </w:rPr>
        <w:t>Gender and Health Strategy</w:t>
      </w:r>
      <w:r w:rsidRPr="005B4A5C">
        <w:rPr>
          <w:rFonts w:ascii="Times New Roman" w:eastAsia="Times New Roman" w:hAnsi="Times New Roman" w:cs="Times New Roman"/>
          <w:kern w:val="0"/>
          <w:lang w:eastAsia="en-GB"/>
          <w14:ligatures w14:val="none"/>
        </w:rPr>
        <w:t>. World Health Organization.</w:t>
      </w:r>
    </w:p>
    <w:p w14:paraId="217EF0D4"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WHO (2022b) </w:t>
      </w:r>
      <w:r w:rsidRPr="005B4A5C">
        <w:rPr>
          <w:rFonts w:ascii="Times New Roman" w:eastAsia="Times New Roman" w:hAnsi="Times New Roman" w:cs="Times New Roman"/>
          <w:i/>
          <w:iCs/>
          <w:kern w:val="0"/>
          <w:lang w:eastAsia="en-GB"/>
          <w14:ligatures w14:val="none"/>
        </w:rPr>
        <w:t>Global Action Plan for the Prevention and Control of NCDs</w:t>
      </w:r>
      <w:r w:rsidRPr="005B4A5C">
        <w:rPr>
          <w:rFonts w:ascii="Times New Roman" w:eastAsia="Times New Roman" w:hAnsi="Times New Roman" w:cs="Times New Roman"/>
          <w:kern w:val="0"/>
          <w:lang w:eastAsia="en-GB"/>
          <w14:ligatures w14:val="none"/>
        </w:rPr>
        <w:t>. World Health Organization.</w:t>
      </w:r>
    </w:p>
    <w:p w14:paraId="1DE9BC80"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WHO (2023) </w:t>
      </w:r>
      <w:r w:rsidRPr="005B4A5C">
        <w:rPr>
          <w:rFonts w:ascii="Times New Roman" w:eastAsia="Times New Roman" w:hAnsi="Times New Roman" w:cs="Times New Roman"/>
          <w:i/>
          <w:iCs/>
          <w:kern w:val="0"/>
          <w:lang w:eastAsia="en-GB"/>
          <w14:ligatures w14:val="none"/>
        </w:rPr>
        <w:t>World Health Statistics Report</w:t>
      </w:r>
      <w:r w:rsidRPr="005B4A5C">
        <w:rPr>
          <w:rFonts w:ascii="Times New Roman" w:eastAsia="Times New Roman" w:hAnsi="Times New Roman" w:cs="Times New Roman"/>
          <w:kern w:val="0"/>
          <w:lang w:eastAsia="en-GB"/>
          <w14:ligatures w14:val="none"/>
        </w:rPr>
        <w:t>. World Health Organization.</w:t>
      </w:r>
    </w:p>
    <w:p w14:paraId="2AF138EB"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Wolverhampton Council (2022) </w:t>
      </w:r>
      <w:r w:rsidRPr="005B4A5C">
        <w:rPr>
          <w:rFonts w:ascii="Times New Roman" w:eastAsia="Times New Roman" w:hAnsi="Times New Roman" w:cs="Times New Roman"/>
          <w:i/>
          <w:iCs/>
          <w:kern w:val="0"/>
          <w:lang w:eastAsia="en-GB"/>
          <w14:ligatures w14:val="none"/>
        </w:rPr>
        <w:t>Violence Against Women and Girls Strategy</w:t>
      </w:r>
      <w:r w:rsidRPr="005B4A5C">
        <w:rPr>
          <w:rFonts w:ascii="Times New Roman" w:eastAsia="Times New Roman" w:hAnsi="Times New Roman" w:cs="Times New Roman"/>
          <w:kern w:val="0"/>
          <w:lang w:eastAsia="en-GB"/>
          <w14:ligatures w14:val="none"/>
        </w:rPr>
        <w:t>. City of Wolverhampton Council.</w:t>
      </w:r>
    </w:p>
    <w:p w14:paraId="03214E9D"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Women’s Aid (2022) </w:t>
      </w:r>
      <w:r w:rsidRPr="005B4A5C">
        <w:rPr>
          <w:rFonts w:ascii="Times New Roman" w:eastAsia="Times New Roman" w:hAnsi="Times New Roman" w:cs="Times New Roman"/>
          <w:i/>
          <w:iCs/>
          <w:kern w:val="0"/>
          <w:lang w:eastAsia="en-GB"/>
          <w14:ligatures w14:val="none"/>
        </w:rPr>
        <w:t>Domestic Abuse Support Services Annual Report</w:t>
      </w:r>
      <w:r w:rsidRPr="005B4A5C">
        <w:rPr>
          <w:rFonts w:ascii="Times New Roman" w:eastAsia="Times New Roman" w:hAnsi="Times New Roman" w:cs="Times New Roman"/>
          <w:kern w:val="0"/>
          <w:lang w:eastAsia="en-GB"/>
          <w14:ligatures w14:val="none"/>
        </w:rPr>
        <w:t>. Women’s Aid.</w:t>
      </w:r>
    </w:p>
    <w:p w14:paraId="2FD19C33" w14:textId="77777777"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r w:rsidRPr="005B4A5C">
        <w:rPr>
          <w:rFonts w:ascii="Times New Roman" w:eastAsia="Times New Roman" w:hAnsi="Times New Roman" w:cs="Times New Roman"/>
          <w:kern w:val="0"/>
          <w:lang w:eastAsia="en-GB"/>
          <w14:ligatures w14:val="none"/>
        </w:rPr>
        <w:t xml:space="preserve">West Midlands Police (2022) </w:t>
      </w:r>
      <w:r w:rsidRPr="005B4A5C">
        <w:rPr>
          <w:rFonts w:ascii="Times New Roman" w:eastAsia="Times New Roman" w:hAnsi="Times New Roman" w:cs="Times New Roman"/>
          <w:i/>
          <w:iCs/>
          <w:kern w:val="0"/>
          <w:lang w:eastAsia="en-GB"/>
          <w14:ligatures w14:val="none"/>
        </w:rPr>
        <w:t>Violence Against Women and Girls Delivery Plan</w:t>
      </w:r>
      <w:r w:rsidRPr="005B4A5C">
        <w:rPr>
          <w:rFonts w:ascii="Times New Roman" w:eastAsia="Times New Roman" w:hAnsi="Times New Roman" w:cs="Times New Roman"/>
          <w:kern w:val="0"/>
          <w:lang w:eastAsia="en-GB"/>
          <w14:ligatures w14:val="none"/>
        </w:rPr>
        <w:t>. West Midlands Police.</w:t>
      </w:r>
    </w:p>
    <w:p w14:paraId="25811179" w14:textId="2BBAC97D" w:rsidR="005B4A5C" w:rsidRPr="005B4A5C" w:rsidRDefault="005B4A5C" w:rsidP="005B4A5C">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38816D0" w14:textId="0559E81C" w:rsidR="005B4A5C" w:rsidRPr="005B4A5C" w:rsidRDefault="005B4A5C" w:rsidP="005B4A5C">
      <w:pPr>
        <w:spacing w:after="0" w:line="240" w:lineRule="auto"/>
        <w:rPr>
          <w:rFonts w:ascii="Times New Roman" w:eastAsia="Times New Roman" w:hAnsi="Times New Roman" w:cs="Times New Roman"/>
          <w:kern w:val="0"/>
          <w:lang w:eastAsia="en-GB"/>
          <w14:ligatures w14:val="none"/>
        </w:rPr>
      </w:pPr>
    </w:p>
    <w:p w14:paraId="16CEF817" w14:textId="77777777" w:rsidR="006874D0" w:rsidRDefault="006874D0"/>
    <w:sectPr w:rsidR="006874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A1DF6"/>
    <w:multiLevelType w:val="multilevel"/>
    <w:tmpl w:val="17E032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832C27"/>
    <w:multiLevelType w:val="multilevel"/>
    <w:tmpl w:val="1BE0B3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21329E"/>
    <w:multiLevelType w:val="multilevel"/>
    <w:tmpl w:val="225809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A93B4F"/>
    <w:multiLevelType w:val="multilevel"/>
    <w:tmpl w:val="F79474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85D531B"/>
    <w:multiLevelType w:val="multilevel"/>
    <w:tmpl w:val="05EC6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255964"/>
    <w:multiLevelType w:val="multilevel"/>
    <w:tmpl w:val="4E5ED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FA77BC6"/>
    <w:multiLevelType w:val="multilevel"/>
    <w:tmpl w:val="72D23F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8521BCA"/>
    <w:multiLevelType w:val="multilevel"/>
    <w:tmpl w:val="84D0AD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4E3007"/>
    <w:multiLevelType w:val="multilevel"/>
    <w:tmpl w:val="A46C6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E1B7478"/>
    <w:multiLevelType w:val="multilevel"/>
    <w:tmpl w:val="EC983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E5B5CCE"/>
    <w:multiLevelType w:val="multilevel"/>
    <w:tmpl w:val="14EAD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614284"/>
    <w:multiLevelType w:val="multilevel"/>
    <w:tmpl w:val="21E0E3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E95E28"/>
    <w:multiLevelType w:val="multilevel"/>
    <w:tmpl w:val="C25E32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CA47740"/>
    <w:multiLevelType w:val="multilevel"/>
    <w:tmpl w:val="67161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E817B0"/>
    <w:multiLevelType w:val="multilevel"/>
    <w:tmpl w:val="E50A5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18648F3"/>
    <w:multiLevelType w:val="multilevel"/>
    <w:tmpl w:val="AC1E7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9F3239"/>
    <w:multiLevelType w:val="multilevel"/>
    <w:tmpl w:val="097E9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EA94B6A"/>
    <w:multiLevelType w:val="multilevel"/>
    <w:tmpl w:val="ADB8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F1646D"/>
    <w:multiLevelType w:val="multilevel"/>
    <w:tmpl w:val="DCE6F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4A5685C"/>
    <w:multiLevelType w:val="multilevel"/>
    <w:tmpl w:val="A62A14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6AC1626"/>
    <w:multiLevelType w:val="multilevel"/>
    <w:tmpl w:val="EA08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7226385"/>
    <w:multiLevelType w:val="multilevel"/>
    <w:tmpl w:val="77207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7DF2C52"/>
    <w:multiLevelType w:val="multilevel"/>
    <w:tmpl w:val="F9B63E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81D5FED"/>
    <w:multiLevelType w:val="multilevel"/>
    <w:tmpl w:val="B936EF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E614F6F"/>
    <w:multiLevelType w:val="multilevel"/>
    <w:tmpl w:val="4C500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4F953D2"/>
    <w:multiLevelType w:val="multilevel"/>
    <w:tmpl w:val="D6DEB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C54996"/>
    <w:multiLevelType w:val="multilevel"/>
    <w:tmpl w:val="8AC64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D493180"/>
    <w:multiLevelType w:val="multilevel"/>
    <w:tmpl w:val="5E266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DF73D88"/>
    <w:multiLevelType w:val="multilevel"/>
    <w:tmpl w:val="ACD62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7759841">
    <w:abstractNumId w:val="5"/>
  </w:num>
  <w:num w:numId="2" w16cid:durableId="1966690822">
    <w:abstractNumId w:val="11"/>
  </w:num>
  <w:num w:numId="3" w16cid:durableId="2123063486">
    <w:abstractNumId w:val="18"/>
  </w:num>
  <w:num w:numId="4" w16cid:durableId="219828508">
    <w:abstractNumId w:val="4"/>
  </w:num>
  <w:num w:numId="5" w16cid:durableId="1630889679">
    <w:abstractNumId w:val="26"/>
  </w:num>
  <w:num w:numId="6" w16cid:durableId="2035499513">
    <w:abstractNumId w:val="20"/>
  </w:num>
  <w:num w:numId="7" w16cid:durableId="2047824420">
    <w:abstractNumId w:val="7"/>
  </w:num>
  <w:num w:numId="8" w16cid:durableId="613101046">
    <w:abstractNumId w:val="0"/>
  </w:num>
  <w:num w:numId="9" w16cid:durableId="1553343121">
    <w:abstractNumId w:val="25"/>
  </w:num>
  <w:num w:numId="10" w16cid:durableId="1283264799">
    <w:abstractNumId w:val="15"/>
  </w:num>
  <w:num w:numId="11" w16cid:durableId="854153342">
    <w:abstractNumId w:val="28"/>
  </w:num>
  <w:num w:numId="12" w16cid:durableId="966206051">
    <w:abstractNumId w:val="9"/>
  </w:num>
  <w:num w:numId="13" w16cid:durableId="38213241">
    <w:abstractNumId w:val="19"/>
  </w:num>
  <w:num w:numId="14" w16cid:durableId="918519291">
    <w:abstractNumId w:val="22"/>
  </w:num>
  <w:num w:numId="15" w16cid:durableId="401757638">
    <w:abstractNumId w:val="21"/>
  </w:num>
  <w:num w:numId="16" w16cid:durableId="1761289538">
    <w:abstractNumId w:val="12"/>
  </w:num>
  <w:num w:numId="17" w16cid:durableId="2010130416">
    <w:abstractNumId w:val="3"/>
  </w:num>
  <w:num w:numId="18" w16cid:durableId="1656256871">
    <w:abstractNumId w:val="16"/>
  </w:num>
  <w:num w:numId="19" w16cid:durableId="1755668817">
    <w:abstractNumId w:val="10"/>
  </w:num>
  <w:num w:numId="20" w16cid:durableId="1265729024">
    <w:abstractNumId w:val="6"/>
  </w:num>
  <w:num w:numId="21" w16cid:durableId="1800762574">
    <w:abstractNumId w:val="2"/>
  </w:num>
  <w:num w:numId="22" w16cid:durableId="506289350">
    <w:abstractNumId w:val="17"/>
  </w:num>
  <w:num w:numId="23" w16cid:durableId="473719325">
    <w:abstractNumId w:val="8"/>
  </w:num>
  <w:num w:numId="24" w16cid:durableId="747580911">
    <w:abstractNumId w:val="14"/>
  </w:num>
  <w:num w:numId="25" w16cid:durableId="306932859">
    <w:abstractNumId w:val="23"/>
  </w:num>
  <w:num w:numId="26" w16cid:durableId="1627808383">
    <w:abstractNumId w:val="1"/>
  </w:num>
  <w:num w:numId="27" w16cid:durableId="1865826089">
    <w:abstractNumId w:val="27"/>
  </w:num>
  <w:num w:numId="28" w16cid:durableId="2002197895">
    <w:abstractNumId w:val="13"/>
  </w:num>
  <w:num w:numId="29" w16cid:durableId="23929157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4D0"/>
    <w:rsid w:val="002E5F15"/>
    <w:rsid w:val="00427193"/>
    <w:rsid w:val="00480F5C"/>
    <w:rsid w:val="005B4A5C"/>
    <w:rsid w:val="006874D0"/>
    <w:rsid w:val="0083539D"/>
    <w:rsid w:val="00D36A1B"/>
    <w:rsid w:val="00DA29EF"/>
    <w:rsid w:val="00ED0F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E5661"/>
  <w15:chartTrackingRefBased/>
  <w15:docId w15:val="{E04A8A2D-C8F4-45B9-91DC-89BE1D6F28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4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74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4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4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4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4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4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4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4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4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4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4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4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4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4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4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4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4D0"/>
    <w:rPr>
      <w:rFonts w:eastAsiaTheme="majorEastAsia" w:cstheme="majorBidi"/>
      <w:color w:val="272727" w:themeColor="text1" w:themeTint="D8"/>
    </w:rPr>
  </w:style>
  <w:style w:type="paragraph" w:styleId="Title">
    <w:name w:val="Title"/>
    <w:basedOn w:val="Normal"/>
    <w:next w:val="Normal"/>
    <w:link w:val="TitleChar"/>
    <w:uiPriority w:val="10"/>
    <w:qFormat/>
    <w:rsid w:val="006874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4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4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4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4D0"/>
    <w:pPr>
      <w:spacing w:before="160"/>
      <w:jc w:val="center"/>
    </w:pPr>
    <w:rPr>
      <w:i/>
      <w:iCs/>
      <w:color w:val="404040" w:themeColor="text1" w:themeTint="BF"/>
    </w:rPr>
  </w:style>
  <w:style w:type="character" w:customStyle="1" w:styleId="QuoteChar">
    <w:name w:val="Quote Char"/>
    <w:basedOn w:val="DefaultParagraphFont"/>
    <w:link w:val="Quote"/>
    <w:uiPriority w:val="29"/>
    <w:rsid w:val="006874D0"/>
    <w:rPr>
      <w:i/>
      <w:iCs/>
      <w:color w:val="404040" w:themeColor="text1" w:themeTint="BF"/>
    </w:rPr>
  </w:style>
  <w:style w:type="paragraph" w:styleId="ListParagraph">
    <w:name w:val="List Paragraph"/>
    <w:basedOn w:val="Normal"/>
    <w:uiPriority w:val="34"/>
    <w:qFormat/>
    <w:rsid w:val="006874D0"/>
    <w:pPr>
      <w:ind w:left="720"/>
      <w:contextualSpacing/>
    </w:pPr>
  </w:style>
  <w:style w:type="character" w:styleId="IntenseEmphasis">
    <w:name w:val="Intense Emphasis"/>
    <w:basedOn w:val="DefaultParagraphFont"/>
    <w:uiPriority w:val="21"/>
    <w:qFormat/>
    <w:rsid w:val="006874D0"/>
    <w:rPr>
      <w:i/>
      <w:iCs/>
      <w:color w:val="0F4761" w:themeColor="accent1" w:themeShade="BF"/>
    </w:rPr>
  </w:style>
  <w:style w:type="paragraph" w:styleId="IntenseQuote">
    <w:name w:val="Intense Quote"/>
    <w:basedOn w:val="Normal"/>
    <w:next w:val="Normal"/>
    <w:link w:val="IntenseQuoteChar"/>
    <w:uiPriority w:val="30"/>
    <w:qFormat/>
    <w:rsid w:val="006874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4D0"/>
    <w:rPr>
      <w:i/>
      <w:iCs/>
      <w:color w:val="0F4761" w:themeColor="accent1" w:themeShade="BF"/>
    </w:rPr>
  </w:style>
  <w:style w:type="character" w:styleId="IntenseReference">
    <w:name w:val="Intense Reference"/>
    <w:basedOn w:val="DefaultParagraphFont"/>
    <w:uiPriority w:val="32"/>
    <w:qFormat/>
    <w:rsid w:val="006874D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Metadata/LabelInfo.xml><?xml version="1.0" encoding="utf-8"?>
<clbl:labelList xmlns:clbl="http://schemas.microsoft.com/office/2020/mipLabelMetadata">
  <clbl:label id="{b5396b3f-dc01-41c6-a648-ab88fc50c118}" enabled="0" method="" siteId="{b5396b3f-dc01-41c6-a648-ab88fc50c118}" removed="1"/>
</clbl:labelList>
</file>

<file path=docProps/app.xml><?xml version="1.0" encoding="utf-8"?>
<Properties xmlns="http://schemas.openxmlformats.org/officeDocument/2006/extended-properties" xmlns:vt="http://schemas.openxmlformats.org/officeDocument/2006/docPropsVTypes">
  <Template>Normal</Template>
  <TotalTime>0</TotalTime>
  <Pages>10</Pages>
  <Words>2218</Words>
  <Characters>13398</Characters>
  <Application>Microsoft Office Word</Application>
  <DocSecurity>0</DocSecurity>
  <Lines>343</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Khan</dc:creator>
  <cp:keywords/>
  <dc:description/>
  <cp:lastModifiedBy>Sabrina Khan</cp:lastModifiedBy>
  <cp:revision>7</cp:revision>
  <dcterms:created xsi:type="dcterms:W3CDTF">2026-03-19T13:54:00Z</dcterms:created>
  <dcterms:modified xsi:type="dcterms:W3CDTF">2026-03-19T14:41:00Z</dcterms:modified>
</cp:coreProperties>
</file>