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3BAC22B" wp14:paraId="46E228C4" wp14:textId="7E48AC8D">
      <w:p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GB"/>
        </w:rPr>
      </w:pPr>
      <w:r w:rsidRPr="43BAC22B" w:rsidR="1462C091">
        <w:rPr>
          <w:rFonts w:ascii="Calibri" w:hAnsi="Calibri" w:eastAsia="Calibri" w:cs="Calibri"/>
          <w:b w:val="0"/>
          <w:bCs w:val="0"/>
          <w:i w:val="0"/>
          <w:iCs w:val="0"/>
          <w:noProof w:val="0"/>
          <w:color w:val="000000" w:themeColor="text1" w:themeTint="FF" w:themeShade="FF"/>
          <w:sz w:val="24"/>
          <w:szCs w:val="24"/>
          <w:lang w:val="en-GB"/>
        </w:rPr>
        <w:t xml:space="preserve">Hello, my name is Lisa and today I am reviewing the study by Stefana et al, “Patients’ perspective on the therapeutic relationship and session quality: the central role of alliance” This study argues something deceptively simple, yet deeply important: that the patient’s subjective experience of therapy is the most meaningful indicator of session quality. Not the therapist’s intentions, not the theoretical model being used, and not even symptom change in the short term—but how the client </w:t>
      </w:r>
      <w:bookmarkStart w:name="_Int_4AgtmeaT" w:id="1571445656"/>
      <w:r w:rsidRPr="43BAC22B" w:rsidR="1462C091">
        <w:rPr>
          <w:rFonts w:ascii="Calibri" w:hAnsi="Calibri" w:eastAsia="Calibri" w:cs="Calibri"/>
          <w:b w:val="0"/>
          <w:bCs w:val="0"/>
          <w:i w:val="0"/>
          <w:iCs w:val="0"/>
          <w:noProof w:val="0"/>
          <w:color w:val="000000" w:themeColor="text1" w:themeTint="FF" w:themeShade="FF"/>
          <w:sz w:val="24"/>
          <w:szCs w:val="24"/>
          <w:lang w:val="en-GB"/>
        </w:rPr>
        <w:t>actually feels</w:t>
      </w:r>
      <w:bookmarkEnd w:id="1571445656"/>
      <w:r w:rsidRPr="43BAC22B" w:rsidR="1462C091">
        <w:rPr>
          <w:rFonts w:ascii="Calibri" w:hAnsi="Calibri" w:eastAsia="Calibri" w:cs="Calibri"/>
          <w:b w:val="0"/>
          <w:bCs w:val="0"/>
          <w:i w:val="0"/>
          <w:iCs w:val="0"/>
          <w:noProof w:val="0"/>
          <w:color w:val="000000" w:themeColor="text1" w:themeTint="FF" w:themeShade="FF"/>
          <w:sz w:val="24"/>
          <w:szCs w:val="24"/>
          <w:lang w:val="en-GB"/>
        </w:rPr>
        <w:t xml:space="preserve"> within the session.</w:t>
      </w:r>
    </w:p>
    <w:p xmlns:wp14="http://schemas.microsoft.com/office/word/2010/wordml" w:rsidP="43BAC22B" wp14:paraId="61BEEF48" wp14:textId="77EF8FD0">
      <w:pPr>
        <w:spacing w:before="0" w:beforeAutospacing="off" w:after="0" w:afterAutospacing="off" w:line="360" w:lineRule="auto"/>
        <w:rPr>
          <w:rFonts w:ascii="Calibri" w:hAnsi="Calibri" w:eastAsia="Calibri" w:cs="Calibri"/>
          <w:sz w:val="24"/>
          <w:szCs w:val="24"/>
        </w:rPr>
      </w:pPr>
    </w:p>
    <w:p xmlns:wp14="http://schemas.microsoft.com/office/word/2010/wordml" w:rsidP="43BAC22B" wp14:paraId="278B605A" wp14:textId="543C865A">
      <w:p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GB"/>
        </w:rPr>
      </w:pPr>
      <w:r w:rsidRPr="43BAC22B" w:rsidR="1462C091">
        <w:rPr>
          <w:rFonts w:ascii="Calibri" w:hAnsi="Calibri" w:eastAsia="Calibri" w:cs="Calibri"/>
          <w:b w:val="0"/>
          <w:bCs w:val="0"/>
          <w:i w:val="0"/>
          <w:iCs w:val="0"/>
          <w:noProof w:val="0"/>
          <w:color w:val="000000" w:themeColor="text1" w:themeTint="FF" w:themeShade="FF"/>
          <w:sz w:val="24"/>
          <w:szCs w:val="24"/>
          <w:lang w:val="en-GB"/>
        </w:rPr>
        <w:t>The aim of the research was to understand the psychotherapy process from the clients view point, how they feel about the counsellor and the session by exploring how different layers of the relationship impact session quality and, ultimately, long-term outcomes.it challenges counsellors to shift their focus away from rigid technical expertise toward something far more human: the quality of the relationship itself.</w:t>
      </w:r>
    </w:p>
    <w:p xmlns:wp14="http://schemas.microsoft.com/office/word/2010/wordml" w:rsidP="43BAC22B" wp14:paraId="73F72567" wp14:textId="544CD1E7">
      <w:pPr>
        <w:spacing w:before="0" w:beforeAutospacing="off" w:after="0" w:afterAutospacing="off" w:line="360" w:lineRule="auto"/>
        <w:rPr>
          <w:rFonts w:ascii="Calibri" w:hAnsi="Calibri" w:eastAsia="Calibri" w:cs="Calibri"/>
          <w:sz w:val="24"/>
          <w:szCs w:val="24"/>
        </w:rPr>
      </w:pPr>
    </w:p>
    <w:p xmlns:wp14="http://schemas.microsoft.com/office/word/2010/wordml" w:rsidP="43BAC22B" wp14:paraId="488EB4B7" wp14:textId="30AE197F">
      <w:pPr>
        <w:spacing w:before="0" w:beforeAutospacing="off" w:after="0" w:afterAutospacing="off" w:line="360" w:lineRule="auto"/>
        <w:rPr>
          <w:rFonts w:ascii="Calibri" w:hAnsi="Calibri" w:eastAsia="Calibri" w:cs="Calibri"/>
          <w:sz w:val="24"/>
          <w:szCs w:val="24"/>
        </w:rPr>
      </w:pPr>
    </w:p>
    <w:p xmlns:wp14="http://schemas.microsoft.com/office/word/2010/wordml" w:rsidP="43BAC22B" wp14:paraId="6568A674" wp14:textId="5615F6F3">
      <w:p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GB"/>
        </w:rPr>
      </w:pPr>
      <w:r w:rsidRPr="43BAC22B" w:rsidR="1462C091">
        <w:rPr>
          <w:rFonts w:ascii="Calibri" w:hAnsi="Calibri" w:eastAsia="Calibri" w:cs="Calibri"/>
          <w:b w:val="0"/>
          <w:bCs w:val="0"/>
          <w:i w:val="0"/>
          <w:iCs w:val="0"/>
          <w:noProof w:val="0"/>
          <w:color w:val="000000" w:themeColor="text1" w:themeTint="FF" w:themeShade="FF"/>
          <w:sz w:val="24"/>
          <w:szCs w:val="24"/>
          <w:lang w:val="en-GB"/>
        </w:rPr>
        <w:t xml:space="preserve">The authors set out to </w:t>
      </w:r>
      <w:r w:rsidRPr="43BAC22B" w:rsidR="1462C091">
        <w:rPr>
          <w:rFonts w:ascii="Calibri" w:hAnsi="Calibri" w:eastAsia="Calibri" w:cs="Calibri"/>
          <w:b w:val="0"/>
          <w:bCs w:val="0"/>
          <w:i w:val="0"/>
          <w:iCs w:val="0"/>
          <w:noProof w:val="0"/>
          <w:color w:val="000000" w:themeColor="text1" w:themeTint="FF" w:themeShade="FF"/>
          <w:sz w:val="24"/>
          <w:szCs w:val="24"/>
          <w:lang w:val="en-GB"/>
        </w:rPr>
        <w:t>determine</w:t>
      </w:r>
      <w:r w:rsidRPr="43BAC22B" w:rsidR="1462C091">
        <w:rPr>
          <w:rFonts w:ascii="Calibri" w:hAnsi="Calibri" w:eastAsia="Calibri" w:cs="Calibri"/>
          <w:b w:val="0"/>
          <w:bCs w:val="0"/>
          <w:i w:val="0"/>
          <w:iCs w:val="0"/>
          <w:noProof w:val="0"/>
          <w:color w:val="000000" w:themeColor="text1" w:themeTint="FF" w:themeShade="FF"/>
          <w:sz w:val="24"/>
          <w:szCs w:val="24"/>
          <w:lang w:val="en-GB"/>
        </w:rPr>
        <w:t xml:space="preserve"> which specific relationship variables best predict session quality. To do this, they </w:t>
      </w:r>
      <w:r w:rsidRPr="43BAC22B" w:rsidR="1462C091">
        <w:rPr>
          <w:rFonts w:ascii="Calibri" w:hAnsi="Calibri" w:eastAsia="Calibri" w:cs="Calibri"/>
          <w:b w:val="0"/>
          <w:bCs w:val="0"/>
          <w:i w:val="0"/>
          <w:iCs w:val="0"/>
          <w:noProof w:val="0"/>
          <w:color w:val="000000" w:themeColor="text1" w:themeTint="FF" w:themeShade="FF"/>
          <w:sz w:val="24"/>
          <w:szCs w:val="24"/>
          <w:lang w:val="en-GB"/>
        </w:rPr>
        <w:t>didn't</w:t>
      </w:r>
      <w:r w:rsidRPr="43BAC22B" w:rsidR="1462C091">
        <w:rPr>
          <w:rFonts w:ascii="Calibri" w:hAnsi="Calibri" w:eastAsia="Calibri" w:cs="Calibri"/>
          <w:b w:val="0"/>
          <w:bCs w:val="0"/>
          <w:i w:val="0"/>
          <w:iCs w:val="0"/>
          <w:noProof w:val="0"/>
          <w:color w:val="000000" w:themeColor="text1" w:themeTint="FF" w:themeShade="FF"/>
          <w:sz w:val="24"/>
          <w:szCs w:val="24"/>
          <w:lang w:val="en-GB"/>
        </w:rPr>
        <w:t xml:space="preserve"> just look at a small focus group; they recruited a </w:t>
      </w:r>
      <w:r w:rsidRPr="43BAC22B" w:rsidR="1462C091">
        <w:rPr>
          <w:rFonts w:ascii="Calibri" w:hAnsi="Calibri" w:eastAsia="Calibri" w:cs="Calibri"/>
          <w:b w:val="0"/>
          <w:bCs w:val="0"/>
          <w:i w:val="0"/>
          <w:iCs w:val="0"/>
          <w:noProof w:val="0"/>
          <w:color w:val="000000" w:themeColor="text1" w:themeTint="FF" w:themeShade="FF"/>
          <w:sz w:val="24"/>
          <w:szCs w:val="24"/>
          <w:lang w:val="en-GB"/>
        </w:rPr>
        <w:t>substantial</w:t>
      </w:r>
      <w:r w:rsidRPr="43BAC22B" w:rsidR="1462C091">
        <w:rPr>
          <w:rFonts w:ascii="Calibri" w:hAnsi="Calibri" w:eastAsia="Calibri" w:cs="Calibri"/>
          <w:b w:val="0"/>
          <w:bCs w:val="0"/>
          <w:i w:val="0"/>
          <w:iCs w:val="0"/>
          <w:noProof w:val="0"/>
          <w:color w:val="000000" w:themeColor="text1" w:themeTint="FF" w:themeShade="FF"/>
          <w:sz w:val="24"/>
          <w:szCs w:val="24"/>
          <w:lang w:val="en-GB"/>
        </w:rPr>
        <w:t xml:space="preserve"> sample of </w:t>
      </w:r>
      <w:r w:rsidRPr="43BAC22B" w:rsidR="1462C091">
        <w:rPr>
          <w:rFonts w:ascii="Calibri" w:hAnsi="Calibri" w:eastAsia="Calibri" w:cs="Calibri"/>
          <w:b w:val="1"/>
          <w:bCs w:val="1"/>
          <w:i w:val="0"/>
          <w:iCs w:val="0"/>
          <w:noProof w:val="0"/>
          <w:color w:val="000000" w:themeColor="text1" w:themeTint="FF" w:themeShade="FF"/>
          <w:sz w:val="24"/>
          <w:szCs w:val="24"/>
          <w:lang w:val="en-GB"/>
        </w:rPr>
        <w:t>over 700 adults</w:t>
      </w:r>
      <w:r w:rsidRPr="43BAC22B" w:rsidR="1462C091">
        <w:rPr>
          <w:rFonts w:ascii="Calibri" w:hAnsi="Calibri" w:eastAsia="Calibri" w:cs="Calibri"/>
          <w:b w:val="0"/>
          <w:bCs w:val="0"/>
          <w:i w:val="0"/>
          <w:iCs w:val="0"/>
          <w:noProof w:val="0"/>
          <w:color w:val="000000" w:themeColor="text1" w:themeTint="FF" w:themeShade="FF"/>
          <w:sz w:val="24"/>
          <w:szCs w:val="24"/>
          <w:lang w:val="en-GB"/>
        </w:rPr>
        <w:t xml:space="preserve">. This included people from various counselling settings with diverse diagnoses, from anxiety to complex trauma. They used an online study to investigate several core relational dimensions simultaneously these included using the validated self-repot questionnaires to evaluate each aspect of the therapeutic </w:t>
      </w:r>
      <w:r w:rsidRPr="43BAC22B" w:rsidR="56E95CBA">
        <w:rPr>
          <w:rFonts w:ascii="Calibri" w:hAnsi="Calibri" w:eastAsia="Calibri" w:cs="Calibri"/>
          <w:b w:val="0"/>
          <w:bCs w:val="0"/>
          <w:i w:val="0"/>
          <w:iCs w:val="0"/>
          <w:noProof w:val="0"/>
          <w:color w:val="000000" w:themeColor="text1" w:themeTint="FF" w:themeShade="FF"/>
          <w:sz w:val="24"/>
          <w:szCs w:val="24"/>
          <w:lang w:val="en-GB"/>
        </w:rPr>
        <w:t>relationship:</w:t>
      </w:r>
      <w:r w:rsidRPr="43BAC22B" w:rsidR="1462C091">
        <w:rPr>
          <w:rFonts w:ascii="Calibri" w:hAnsi="Calibri" w:eastAsia="Calibri" w:cs="Calibri"/>
          <w:b w:val="0"/>
          <w:bCs w:val="0"/>
          <w:i w:val="0"/>
          <w:iCs w:val="0"/>
          <w:noProof w:val="0"/>
          <w:color w:val="000000" w:themeColor="text1" w:themeTint="FF" w:themeShade="FF"/>
          <w:sz w:val="24"/>
          <w:szCs w:val="24"/>
          <w:lang w:val="en-GB"/>
        </w:rPr>
        <w:t xml:space="preserve"> </w:t>
      </w:r>
      <w:r w:rsidRPr="43BAC22B" w:rsidR="1462C091">
        <w:rPr>
          <w:rFonts w:ascii="Calibri" w:hAnsi="Calibri" w:eastAsia="Calibri" w:cs="Calibri"/>
          <w:b w:val="1"/>
          <w:bCs w:val="1"/>
          <w:i w:val="0"/>
          <w:iCs w:val="0"/>
          <w:noProof w:val="0"/>
          <w:color w:val="000000" w:themeColor="text1" w:themeTint="FF" w:themeShade="FF"/>
          <w:sz w:val="24"/>
          <w:szCs w:val="24"/>
          <w:lang w:val="en-GB"/>
        </w:rPr>
        <w:t xml:space="preserve">the working alliance inventory </w:t>
      </w:r>
      <w:r w:rsidRPr="43BAC22B" w:rsidR="1462C091">
        <w:rPr>
          <w:rFonts w:ascii="Calibri" w:hAnsi="Calibri" w:eastAsia="Calibri" w:cs="Calibri"/>
          <w:b w:val="0"/>
          <w:bCs w:val="0"/>
          <w:i w:val="0"/>
          <w:iCs w:val="0"/>
          <w:noProof w:val="0"/>
          <w:color w:val="000000" w:themeColor="text1" w:themeTint="FF" w:themeShade="FF"/>
          <w:sz w:val="24"/>
          <w:szCs w:val="24"/>
          <w:lang w:val="en-GB"/>
        </w:rPr>
        <w:t xml:space="preserve">(looking at tasks and goals), </w:t>
      </w:r>
      <w:r w:rsidRPr="43BAC22B" w:rsidR="1462C091">
        <w:rPr>
          <w:rFonts w:ascii="Calibri" w:hAnsi="Calibri" w:eastAsia="Calibri" w:cs="Calibri"/>
          <w:b w:val="1"/>
          <w:bCs w:val="1"/>
          <w:i w:val="0"/>
          <w:iCs w:val="0"/>
          <w:noProof w:val="0"/>
          <w:color w:val="000000" w:themeColor="text1" w:themeTint="FF" w:themeShade="FF"/>
          <w:sz w:val="24"/>
          <w:szCs w:val="24"/>
          <w:lang w:val="en-GB"/>
        </w:rPr>
        <w:t xml:space="preserve">the real relationship </w:t>
      </w:r>
      <w:r w:rsidRPr="43BAC22B" w:rsidR="6130F829">
        <w:rPr>
          <w:rFonts w:ascii="Calibri" w:hAnsi="Calibri" w:eastAsia="Calibri" w:cs="Calibri"/>
          <w:b w:val="1"/>
          <w:bCs w:val="1"/>
          <w:i w:val="0"/>
          <w:iCs w:val="0"/>
          <w:noProof w:val="0"/>
          <w:color w:val="000000" w:themeColor="text1" w:themeTint="FF" w:themeShade="FF"/>
          <w:sz w:val="24"/>
          <w:szCs w:val="24"/>
          <w:lang w:val="en-GB"/>
        </w:rPr>
        <w:t>inventory, (</w:t>
      </w:r>
      <w:r w:rsidRPr="43BAC22B" w:rsidR="1462C091">
        <w:rPr>
          <w:rFonts w:ascii="Calibri" w:hAnsi="Calibri" w:eastAsia="Calibri" w:cs="Calibri"/>
          <w:b w:val="0"/>
          <w:bCs w:val="0"/>
          <w:i w:val="0"/>
          <w:iCs w:val="0"/>
          <w:noProof w:val="0"/>
          <w:color w:val="000000" w:themeColor="text1" w:themeTint="FF" w:themeShade="FF"/>
          <w:sz w:val="24"/>
          <w:szCs w:val="24"/>
          <w:lang w:val="en-GB"/>
        </w:rPr>
        <w:t xml:space="preserve">measuring genuineness). </w:t>
      </w:r>
      <w:r w:rsidRPr="43BAC22B" w:rsidR="1462C091">
        <w:rPr>
          <w:rFonts w:ascii="Calibri" w:hAnsi="Calibri" w:eastAsia="Calibri" w:cs="Calibri"/>
          <w:b w:val="1"/>
          <w:bCs w:val="1"/>
          <w:i w:val="0"/>
          <w:iCs w:val="0"/>
          <w:noProof w:val="0"/>
          <w:color w:val="000000" w:themeColor="text1" w:themeTint="FF" w:themeShade="FF"/>
          <w:sz w:val="24"/>
          <w:szCs w:val="24"/>
          <w:lang w:val="en-GB"/>
        </w:rPr>
        <w:t xml:space="preserve">session Evaluation </w:t>
      </w:r>
      <w:r w:rsidRPr="43BAC22B" w:rsidR="68DF17B0">
        <w:rPr>
          <w:rFonts w:ascii="Calibri" w:hAnsi="Calibri" w:eastAsia="Calibri" w:cs="Calibri"/>
          <w:b w:val="1"/>
          <w:bCs w:val="1"/>
          <w:i w:val="0"/>
          <w:iCs w:val="0"/>
          <w:noProof w:val="0"/>
          <w:color w:val="000000" w:themeColor="text1" w:themeTint="FF" w:themeShade="FF"/>
          <w:sz w:val="24"/>
          <w:szCs w:val="24"/>
          <w:lang w:val="en-GB"/>
        </w:rPr>
        <w:t>Scale, and</w:t>
      </w:r>
      <w:r w:rsidRPr="43BAC22B" w:rsidR="1462C091">
        <w:rPr>
          <w:rFonts w:ascii="Calibri" w:hAnsi="Calibri" w:eastAsia="Calibri" w:cs="Calibri"/>
          <w:b w:val="0"/>
          <w:bCs w:val="0"/>
          <w:i w:val="0"/>
          <w:iCs w:val="0"/>
          <w:noProof w:val="0"/>
          <w:color w:val="000000" w:themeColor="text1" w:themeTint="FF" w:themeShade="FF"/>
          <w:sz w:val="24"/>
          <w:szCs w:val="24"/>
          <w:lang w:val="en-GB"/>
        </w:rPr>
        <w:t xml:space="preserve"> the </w:t>
      </w:r>
      <w:r w:rsidRPr="43BAC22B" w:rsidR="1462C091">
        <w:rPr>
          <w:rFonts w:ascii="Calibri" w:hAnsi="Calibri" w:eastAsia="Calibri" w:cs="Calibri"/>
          <w:b w:val="1"/>
          <w:bCs w:val="1"/>
          <w:i w:val="0"/>
          <w:iCs w:val="0"/>
          <w:noProof w:val="0"/>
          <w:color w:val="000000" w:themeColor="text1" w:themeTint="FF" w:themeShade="FF"/>
          <w:sz w:val="24"/>
          <w:szCs w:val="24"/>
          <w:lang w:val="en-GB"/>
        </w:rPr>
        <w:t>in–Session Patient Affective Reactions Questionnaire</w:t>
      </w:r>
      <w:r w:rsidRPr="43BAC22B" w:rsidR="1462C091">
        <w:rPr>
          <w:rFonts w:ascii="Calibri" w:hAnsi="Calibri" w:eastAsia="Calibri" w:cs="Calibri"/>
          <w:b w:val="0"/>
          <w:bCs w:val="0"/>
          <w:i w:val="0"/>
          <w:iCs w:val="0"/>
          <w:noProof w:val="0"/>
          <w:color w:val="000000" w:themeColor="text1" w:themeTint="FF" w:themeShade="FF"/>
          <w:sz w:val="24"/>
          <w:szCs w:val="24"/>
          <w:lang w:val="en-GB"/>
        </w:rPr>
        <w:t xml:space="preserve">. By using these together, they could see which specific relational </w:t>
      </w:r>
      <w:r w:rsidRPr="43BAC22B" w:rsidR="1462C091">
        <w:rPr>
          <w:rFonts w:ascii="Calibri" w:hAnsi="Calibri" w:eastAsia="Calibri" w:cs="Calibri"/>
          <w:b w:val="0"/>
          <w:bCs w:val="0"/>
          <w:i w:val="0"/>
          <w:iCs w:val="0"/>
          <w:noProof w:val="0"/>
          <w:color w:val="000000" w:themeColor="text1" w:themeTint="FF" w:themeShade="FF"/>
          <w:sz w:val="24"/>
          <w:szCs w:val="24"/>
          <w:lang w:val="en-GB"/>
        </w:rPr>
        <w:t>component</w:t>
      </w:r>
      <w:r w:rsidRPr="43BAC22B" w:rsidR="1462C091">
        <w:rPr>
          <w:rFonts w:ascii="Calibri" w:hAnsi="Calibri" w:eastAsia="Calibri" w:cs="Calibri"/>
          <w:b w:val="0"/>
          <w:bCs w:val="0"/>
          <w:i w:val="0"/>
          <w:iCs w:val="0"/>
          <w:noProof w:val="0"/>
          <w:color w:val="000000" w:themeColor="text1" w:themeTint="FF" w:themeShade="FF"/>
          <w:sz w:val="24"/>
          <w:szCs w:val="24"/>
          <w:lang w:val="en-GB"/>
        </w:rPr>
        <w:t xml:space="preserve"> was having the most impact on a </w:t>
      </w:r>
      <w:r w:rsidRPr="43BAC22B" w:rsidR="16C1F191">
        <w:rPr>
          <w:rFonts w:ascii="Calibri" w:hAnsi="Calibri" w:eastAsia="Calibri" w:cs="Calibri"/>
          <w:b w:val="0"/>
          <w:bCs w:val="0"/>
          <w:i w:val="0"/>
          <w:iCs w:val="0"/>
          <w:noProof w:val="0"/>
          <w:color w:val="000000" w:themeColor="text1" w:themeTint="FF" w:themeShade="FF"/>
          <w:sz w:val="24"/>
          <w:szCs w:val="24"/>
          <w:lang w:val="en-GB"/>
        </w:rPr>
        <w:t>session. This</w:t>
      </w:r>
      <w:r w:rsidRPr="43BAC22B" w:rsidR="1462C091">
        <w:rPr>
          <w:rFonts w:ascii="Calibri" w:hAnsi="Calibri" w:eastAsia="Calibri" w:cs="Calibri"/>
          <w:b w:val="0"/>
          <w:bCs w:val="0"/>
          <w:i w:val="0"/>
          <w:iCs w:val="0"/>
          <w:noProof w:val="0"/>
          <w:color w:val="000000" w:themeColor="text1" w:themeTint="FF" w:themeShade="FF"/>
          <w:sz w:val="24"/>
          <w:szCs w:val="24"/>
          <w:lang w:val="en-GB"/>
        </w:rPr>
        <w:t xml:space="preserve"> diversity increases the ecological validity of the findings, meaning the results are more likely to apply to real‑world practice, not just laboratory contexts.</w:t>
      </w:r>
    </w:p>
    <w:p xmlns:wp14="http://schemas.microsoft.com/office/word/2010/wordml" w:rsidP="43BAC22B" wp14:paraId="70B8A5FA" wp14:textId="7CF47742">
      <w:pPr>
        <w:spacing w:before="0" w:beforeAutospacing="off" w:after="0" w:afterAutospacing="off" w:line="360" w:lineRule="auto"/>
        <w:rPr>
          <w:rFonts w:ascii="Calibri" w:hAnsi="Calibri" w:eastAsia="Calibri" w:cs="Calibri"/>
          <w:sz w:val="24"/>
          <w:szCs w:val="24"/>
        </w:rPr>
      </w:pPr>
    </w:p>
    <w:p xmlns:wp14="http://schemas.microsoft.com/office/word/2010/wordml" w:rsidP="43BAC22B" wp14:paraId="186AA43E" wp14:textId="1A2C2CF1">
      <w:pPr>
        <w:spacing w:before="0" w:beforeAutospacing="off" w:after="0" w:afterAutospacing="off" w:line="360" w:lineRule="auto"/>
        <w:rPr>
          <w:rFonts w:ascii="Calibri" w:hAnsi="Calibri" w:eastAsia="Calibri" w:cs="Calibri"/>
          <w:sz w:val="24"/>
          <w:szCs w:val="24"/>
        </w:rPr>
      </w:pPr>
    </w:p>
    <w:p xmlns:wp14="http://schemas.microsoft.com/office/word/2010/wordml" w:rsidP="43BAC22B" wp14:paraId="7DB09F57" wp14:textId="5F76D62A">
      <w:p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GB"/>
        </w:rPr>
      </w:pPr>
      <w:r w:rsidRPr="43BAC22B" w:rsidR="1462C091">
        <w:rPr>
          <w:rFonts w:ascii="Calibri" w:hAnsi="Calibri" w:eastAsia="Calibri" w:cs="Calibri"/>
          <w:b w:val="0"/>
          <w:bCs w:val="0"/>
          <w:i w:val="0"/>
          <w:iCs w:val="0"/>
          <w:noProof w:val="0"/>
          <w:color w:val="000000" w:themeColor="text1" w:themeTint="FF" w:themeShade="FF"/>
          <w:sz w:val="24"/>
          <w:szCs w:val="24"/>
          <w:lang w:val="en-GB"/>
        </w:rPr>
        <w:t xml:space="preserve">Some of the Central findings of this study are that it confirms that the patient's </w:t>
      </w:r>
      <w:r w:rsidRPr="43BAC22B" w:rsidR="1462C091">
        <w:rPr>
          <w:rFonts w:ascii="Calibri" w:hAnsi="Calibri" w:eastAsia="Calibri" w:cs="Calibri"/>
          <w:b w:val="0"/>
          <w:bCs w:val="0"/>
          <w:i w:val="0"/>
          <w:iCs w:val="0"/>
          <w:noProof w:val="0"/>
          <w:color w:val="000000" w:themeColor="text1" w:themeTint="FF" w:themeShade="FF"/>
          <w:sz w:val="24"/>
          <w:szCs w:val="24"/>
          <w:lang w:val="en-GB"/>
        </w:rPr>
        <w:t>perception</w:t>
      </w:r>
      <w:r w:rsidRPr="43BAC22B" w:rsidR="1462C091">
        <w:rPr>
          <w:rFonts w:ascii="Calibri" w:hAnsi="Calibri" w:eastAsia="Calibri" w:cs="Calibri"/>
          <w:b w:val="0"/>
          <w:bCs w:val="0"/>
          <w:i w:val="0"/>
          <w:iCs w:val="0"/>
          <w:noProof w:val="0"/>
          <w:color w:val="000000" w:themeColor="text1" w:themeTint="FF" w:themeShade="FF"/>
          <w:sz w:val="24"/>
          <w:szCs w:val="24"/>
          <w:lang w:val="en-GB"/>
        </w:rPr>
        <w:t xml:space="preserve"> of the alliance is the strongest predictor of session quality, this is defined </w:t>
      </w:r>
      <w:r w:rsidRPr="43BAC22B" w:rsidR="50CC48DD">
        <w:rPr>
          <w:rFonts w:ascii="Calibri" w:hAnsi="Calibri" w:eastAsia="Calibri" w:cs="Calibri"/>
          <w:b w:val="0"/>
          <w:bCs w:val="0"/>
          <w:i w:val="0"/>
          <w:iCs w:val="0"/>
          <w:noProof w:val="0"/>
          <w:color w:val="000000" w:themeColor="text1" w:themeTint="FF" w:themeShade="FF"/>
          <w:sz w:val="24"/>
          <w:szCs w:val="24"/>
          <w:lang w:val="en-GB"/>
        </w:rPr>
        <w:t>by;</w:t>
      </w:r>
      <w:r w:rsidRPr="43BAC22B" w:rsidR="1462C091">
        <w:rPr>
          <w:rFonts w:ascii="Calibri" w:hAnsi="Calibri" w:eastAsia="Calibri" w:cs="Calibri"/>
          <w:b w:val="0"/>
          <w:bCs w:val="0"/>
          <w:i w:val="0"/>
          <w:iCs w:val="0"/>
          <w:noProof w:val="0"/>
          <w:color w:val="000000" w:themeColor="text1" w:themeTint="FF" w:themeShade="FF"/>
          <w:sz w:val="24"/>
          <w:szCs w:val="24"/>
          <w:lang w:val="en-GB"/>
        </w:rPr>
        <w:t xml:space="preserve"> shared goals, an emotional bond, and the agreement of tasks being paramount for the quality of the therapeutic relationship. </w:t>
      </w:r>
    </w:p>
    <w:p xmlns:wp14="http://schemas.microsoft.com/office/word/2010/wordml" w:rsidP="43BAC22B" wp14:paraId="3B9B8C24" wp14:textId="6419B24C">
      <w:p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GB"/>
        </w:rPr>
      </w:pPr>
      <w:r w:rsidRPr="43BAC22B" w:rsidR="1462C091">
        <w:rPr>
          <w:rFonts w:ascii="Calibri" w:hAnsi="Calibri" w:eastAsia="Calibri" w:cs="Calibri"/>
          <w:b w:val="0"/>
          <w:bCs w:val="0"/>
          <w:i w:val="0"/>
          <w:iCs w:val="0"/>
          <w:noProof w:val="0"/>
          <w:color w:val="000000" w:themeColor="text1" w:themeTint="FF" w:themeShade="FF"/>
          <w:sz w:val="24"/>
          <w:szCs w:val="24"/>
          <w:lang w:val="en-GB"/>
        </w:rPr>
        <w:t>This study emphasises that patients value authenticity, if the counsellor comes across as to clinical the relationship is compromised, in a session if a client shared something deep, by responding with a genuine human response rather than clinical reflection, this can strengthen the real relationship and increase the clients feeling of session value and in turn can help to validate the therapeutic  relationship.</w:t>
      </w:r>
    </w:p>
    <w:p xmlns:wp14="http://schemas.microsoft.com/office/word/2010/wordml" w:rsidP="43BAC22B" wp14:paraId="7A310E1E" wp14:textId="72DA438C">
      <w:p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GB"/>
        </w:rPr>
      </w:pPr>
      <w:r w:rsidRPr="43BAC22B" w:rsidR="1462C091">
        <w:rPr>
          <w:rFonts w:ascii="Calibri" w:hAnsi="Calibri" w:eastAsia="Calibri" w:cs="Calibri"/>
          <w:b w:val="0"/>
          <w:bCs w:val="0"/>
          <w:i w:val="0"/>
          <w:iCs w:val="0"/>
          <w:noProof w:val="0"/>
          <w:color w:val="000000" w:themeColor="text1" w:themeTint="FF" w:themeShade="FF"/>
          <w:sz w:val="24"/>
          <w:szCs w:val="24"/>
          <w:lang w:val="en-GB"/>
        </w:rPr>
        <w:t xml:space="preserve">One of the most striking statistics in the paper is that the Working Alliance, the Real Relationship, and the patient's Affective Reactions collectively account for </w:t>
      </w:r>
      <w:r w:rsidRPr="43BAC22B" w:rsidR="1462C091">
        <w:rPr>
          <w:rFonts w:ascii="Calibri" w:hAnsi="Calibri" w:eastAsia="Calibri" w:cs="Calibri"/>
          <w:b w:val="1"/>
          <w:bCs w:val="1"/>
          <w:i w:val="0"/>
          <w:iCs w:val="0"/>
          <w:noProof w:val="0"/>
          <w:color w:val="000000" w:themeColor="text1" w:themeTint="FF" w:themeShade="FF"/>
          <w:sz w:val="24"/>
          <w:szCs w:val="24"/>
          <w:lang w:val="en-GB"/>
        </w:rPr>
        <w:t>approximately 30% of the variance</w:t>
      </w:r>
      <w:r w:rsidRPr="43BAC22B" w:rsidR="1462C091">
        <w:rPr>
          <w:rFonts w:ascii="Calibri" w:hAnsi="Calibri" w:eastAsia="Calibri" w:cs="Calibri"/>
          <w:b w:val="0"/>
          <w:bCs w:val="0"/>
          <w:i w:val="0"/>
          <w:iCs w:val="0"/>
          <w:noProof w:val="0"/>
          <w:color w:val="000000" w:themeColor="text1" w:themeTint="FF" w:themeShade="FF"/>
          <w:sz w:val="24"/>
          <w:szCs w:val="24"/>
          <w:lang w:val="en-GB"/>
        </w:rPr>
        <w:t xml:space="preserve"> in session outcomes. To put that in perspective: the specific "brand" of therapy—whether you use CBT, DBT, or Psychodynamic tools—usually accounts for less than 10%. This means the relationship is three times more powerful than the technique.</w:t>
      </w:r>
    </w:p>
    <w:p xmlns:wp14="http://schemas.microsoft.com/office/word/2010/wordml" w:rsidP="43BAC22B" wp14:paraId="2AB0875D" wp14:textId="4538073B">
      <w:pPr>
        <w:spacing w:before="0" w:beforeAutospacing="off" w:after="0" w:afterAutospacing="off" w:line="360" w:lineRule="auto"/>
        <w:rPr>
          <w:rFonts w:ascii="Calibri" w:hAnsi="Calibri" w:eastAsia="Calibri" w:cs="Calibri"/>
          <w:sz w:val="24"/>
          <w:szCs w:val="24"/>
        </w:rPr>
      </w:pPr>
    </w:p>
    <w:p xmlns:wp14="http://schemas.microsoft.com/office/word/2010/wordml" w:rsidP="43BAC22B" wp14:paraId="620C5180" wp14:textId="4E0C295A">
      <w:p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GB"/>
        </w:rPr>
      </w:pPr>
      <w:r w:rsidRPr="43BAC22B" w:rsidR="1462C091">
        <w:rPr>
          <w:rFonts w:ascii="Calibri" w:hAnsi="Calibri" w:eastAsia="Calibri" w:cs="Calibri"/>
          <w:b w:val="0"/>
          <w:bCs w:val="0"/>
          <w:i w:val="0"/>
          <w:iCs w:val="0"/>
          <w:noProof w:val="0"/>
          <w:color w:val="000000" w:themeColor="text1" w:themeTint="FF" w:themeShade="FF"/>
          <w:sz w:val="24"/>
          <w:szCs w:val="24"/>
          <w:lang w:val="en-GB"/>
        </w:rPr>
        <w:t xml:space="preserve">Many counsellors rely on clinical intuition to "vibe check" a session a gut feeling about whether a session went well. However, in the report the authors highlight a persistent </w:t>
      </w:r>
      <w:r w:rsidRPr="43BAC22B" w:rsidR="1462C091">
        <w:rPr>
          <w:rFonts w:ascii="Calibri" w:hAnsi="Calibri" w:eastAsia="Calibri" w:cs="Calibri"/>
          <w:b w:val="1"/>
          <w:bCs w:val="1"/>
          <w:i w:val="0"/>
          <w:iCs w:val="0"/>
          <w:noProof w:val="0"/>
          <w:color w:val="000000" w:themeColor="text1" w:themeTint="FF" w:themeShade="FF"/>
          <w:sz w:val="24"/>
          <w:szCs w:val="24"/>
          <w:lang w:val="en-GB"/>
        </w:rPr>
        <w:t>perspective gap</w:t>
      </w:r>
      <w:r w:rsidRPr="43BAC22B" w:rsidR="1462C091">
        <w:rPr>
          <w:rFonts w:ascii="Calibri" w:hAnsi="Calibri" w:eastAsia="Calibri" w:cs="Calibri"/>
          <w:b w:val="0"/>
          <w:bCs w:val="0"/>
          <w:i w:val="0"/>
          <w:iCs w:val="0"/>
          <w:noProof w:val="0"/>
          <w:color w:val="000000" w:themeColor="text1" w:themeTint="FF" w:themeShade="FF"/>
          <w:sz w:val="24"/>
          <w:szCs w:val="24"/>
          <w:lang w:val="en-GB"/>
        </w:rPr>
        <w:t xml:space="preserve">: therapists are often poor judges of how a patient </w:t>
      </w:r>
      <w:bookmarkStart w:name="_Int_1BulLrKw" w:id="317402313"/>
      <w:r w:rsidRPr="43BAC22B" w:rsidR="1462C091">
        <w:rPr>
          <w:rFonts w:ascii="Calibri" w:hAnsi="Calibri" w:eastAsia="Calibri" w:cs="Calibri"/>
          <w:b w:val="0"/>
          <w:bCs w:val="0"/>
          <w:i w:val="0"/>
          <w:iCs w:val="0"/>
          <w:noProof w:val="0"/>
          <w:color w:val="000000" w:themeColor="text1" w:themeTint="FF" w:themeShade="FF"/>
          <w:sz w:val="24"/>
          <w:szCs w:val="24"/>
          <w:lang w:val="en-GB"/>
        </w:rPr>
        <w:t>actually feels</w:t>
      </w:r>
      <w:bookmarkEnd w:id="317402313"/>
      <w:r w:rsidRPr="43BAC22B" w:rsidR="1462C091">
        <w:rPr>
          <w:rFonts w:ascii="Calibri" w:hAnsi="Calibri" w:eastAsia="Calibri" w:cs="Calibri"/>
          <w:b w:val="0"/>
          <w:bCs w:val="0"/>
          <w:i w:val="0"/>
          <w:iCs w:val="0"/>
          <w:noProof w:val="0"/>
          <w:color w:val="000000" w:themeColor="text1" w:themeTint="FF" w:themeShade="FF"/>
          <w:sz w:val="24"/>
          <w:szCs w:val="24"/>
          <w:lang w:val="en-GB"/>
        </w:rPr>
        <w:t xml:space="preserve">, especially </w:t>
      </w:r>
      <w:r w:rsidRPr="43BAC22B" w:rsidR="1462C091">
        <w:rPr>
          <w:rFonts w:ascii="Calibri" w:hAnsi="Calibri" w:eastAsia="Calibri" w:cs="Calibri"/>
          <w:b w:val="0"/>
          <w:bCs w:val="0"/>
          <w:i w:val="0"/>
          <w:iCs w:val="0"/>
          <w:noProof w:val="0"/>
          <w:color w:val="000000" w:themeColor="text1" w:themeTint="FF" w:themeShade="FF"/>
          <w:sz w:val="24"/>
          <w:szCs w:val="24"/>
          <w:lang w:val="en-GB"/>
        </w:rPr>
        <w:t>regarding</w:t>
      </w:r>
      <w:r w:rsidRPr="43BAC22B" w:rsidR="1462C091">
        <w:rPr>
          <w:rFonts w:ascii="Calibri" w:hAnsi="Calibri" w:eastAsia="Calibri" w:cs="Calibri"/>
          <w:b w:val="0"/>
          <w:bCs w:val="0"/>
          <w:i w:val="0"/>
          <w:iCs w:val="0"/>
          <w:noProof w:val="0"/>
          <w:color w:val="000000" w:themeColor="text1" w:themeTint="FF" w:themeShade="FF"/>
          <w:sz w:val="24"/>
          <w:szCs w:val="24"/>
          <w:lang w:val="en-GB"/>
        </w:rPr>
        <w:t xml:space="preserve"> negative emotions. Particularly when negative emotions are present This challenges the assumption that professional experience automatically leads to </w:t>
      </w:r>
      <w:r w:rsidRPr="43BAC22B" w:rsidR="1462C091">
        <w:rPr>
          <w:rFonts w:ascii="Calibri" w:hAnsi="Calibri" w:eastAsia="Calibri" w:cs="Calibri"/>
          <w:b w:val="0"/>
          <w:bCs w:val="0"/>
          <w:i w:val="0"/>
          <w:iCs w:val="0"/>
          <w:noProof w:val="0"/>
          <w:color w:val="000000" w:themeColor="text1" w:themeTint="FF" w:themeShade="FF"/>
          <w:sz w:val="24"/>
          <w:szCs w:val="24"/>
          <w:lang w:val="en-GB"/>
        </w:rPr>
        <w:t>accurate</w:t>
      </w:r>
      <w:r w:rsidRPr="43BAC22B" w:rsidR="1462C091">
        <w:rPr>
          <w:rFonts w:ascii="Calibri" w:hAnsi="Calibri" w:eastAsia="Calibri" w:cs="Calibri"/>
          <w:b w:val="0"/>
          <w:bCs w:val="0"/>
          <w:i w:val="0"/>
          <w:iCs w:val="0"/>
          <w:noProof w:val="0"/>
          <w:color w:val="000000" w:themeColor="text1" w:themeTint="FF" w:themeShade="FF"/>
          <w:sz w:val="24"/>
          <w:szCs w:val="24"/>
          <w:lang w:val="en-GB"/>
        </w:rPr>
        <w:t xml:space="preserve"> </w:t>
      </w:r>
      <w:r w:rsidRPr="43BAC22B" w:rsidR="1462C091">
        <w:rPr>
          <w:rFonts w:ascii="Calibri" w:hAnsi="Calibri" w:eastAsia="Calibri" w:cs="Calibri"/>
          <w:b w:val="0"/>
          <w:bCs w:val="0"/>
          <w:i w:val="0"/>
          <w:iCs w:val="0"/>
          <w:noProof w:val="0"/>
          <w:color w:val="000000" w:themeColor="text1" w:themeTint="FF" w:themeShade="FF"/>
          <w:sz w:val="24"/>
          <w:szCs w:val="24"/>
          <w:lang w:val="en-GB"/>
        </w:rPr>
        <w:t>perception</w:t>
      </w:r>
      <w:r w:rsidRPr="43BAC22B" w:rsidR="1462C091">
        <w:rPr>
          <w:rFonts w:ascii="Calibri" w:hAnsi="Calibri" w:eastAsia="Calibri" w:cs="Calibri"/>
          <w:b w:val="0"/>
          <w:bCs w:val="0"/>
          <w:i w:val="0"/>
          <w:iCs w:val="0"/>
          <w:noProof w:val="0"/>
          <w:color w:val="000000" w:themeColor="text1" w:themeTint="FF" w:themeShade="FF"/>
          <w:sz w:val="24"/>
          <w:szCs w:val="24"/>
          <w:lang w:val="en-GB"/>
        </w:rPr>
        <w:t xml:space="preserve">. To combat this </w:t>
      </w:r>
      <w:r w:rsidRPr="43BAC22B" w:rsidR="1462C091">
        <w:rPr>
          <w:rFonts w:ascii="Calibri" w:hAnsi="Calibri" w:eastAsia="Calibri" w:cs="Calibri"/>
          <w:b w:val="1"/>
          <w:bCs w:val="1"/>
          <w:i w:val="0"/>
          <w:iCs w:val="0"/>
          <w:noProof w:val="0"/>
          <w:color w:val="000000" w:themeColor="text1" w:themeTint="FF" w:themeShade="FF"/>
          <w:sz w:val="24"/>
          <w:szCs w:val="24"/>
          <w:lang w:val="en-GB"/>
        </w:rPr>
        <w:t xml:space="preserve">Normalising </w:t>
      </w:r>
      <w:r w:rsidRPr="43BAC22B" w:rsidR="1462C091">
        <w:rPr>
          <w:rFonts w:ascii="Calibri" w:hAnsi="Calibri" w:eastAsia="Calibri" w:cs="Calibri"/>
          <w:b w:val="1"/>
          <w:bCs w:val="1"/>
          <w:i w:val="0"/>
          <w:iCs w:val="0"/>
          <w:noProof w:val="0"/>
          <w:color w:val="000000" w:themeColor="text1" w:themeTint="FF" w:themeShade="FF"/>
          <w:sz w:val="24"/>
          <w:szCs w:val="24"/>
          <w:lang w:val="en-GB"/>
        </w:rPr>
        <w:t>Feedback could</w:t>
      </w:r>
      <w:r w:rsidRPr="43BAC22B" w:rsidR="1462C091">
        <w:rPr>
          <w:rFonts w:ascii="Calibri" w:hAnsi="Calibri" w:eastAsia="Calibri" w:cs="Calibri"/>
          <w:b w:val="0"/>
          <w:bCs w:val="0"/>
          <w:i w:val="0"/>
          <w:iCs w:val="0"/>
          <w:noProof w:val="0"/>
          <w:color w:val="000000" w:themeColor="text1" w:themeTint="FF" w:themeShade="FF"/>
          <w:sz w:val="24"/>
          <w:szCs w:val="24"/>
          <w:lang w:val="en-GB"/>
        </w:rPr>
        <w:t xml:space="preserve"> be useful</w:t>
      </w:r>
      <w:r w:rsidRPr="43BAC22B" w:rsidR="1462C091">
        <w:rPr>
          <w:rFonts w:ascii="Calibri" w:hAnsi="Calibri" w:eastAsia="Calibri" w:cs="Calibri"/>
          <w:b w:val="1"/>
          <w:bCs w:val="1"/>
          <w:i w:val="0"/>
          <w:iCs w:val="0"/>
          <w:noProof w:val="0"/>
          <w:color w:val="000000" w:themeColor="text1" w:themeTint="FF" w:themeShade="FF"/>
          <w:sz w:val="24"/>
          <w:szCs w:val="24"/>
          <w:lang w:val="en-GB"/>
        </w:rPr>
        <w:t>:</w:t>
      </w:r>
      <w:r w:rsidRPr="43BAC22B" w:rsidR="1462C091">
        <w:rPr>
          <w:rFonts w:ascii="Calibri" w:hAnsi="Calibri" w:eastAsia="Calibri" w:cs="Calibri"/>
          <w:b w:val="0"/>
          <w:bCs w:val="0"/>
          <w:i w:val="0"/>
          <w:iCs w:val="0"/>
          <w:noProof w:val="0"/>
          <w:color w:val="000000" w:themeColor="text1" w:themeTint="FF" w:themeShade="FF"/>
          <w:sz w:val="24"/>
          <w:szCs w:val="24"/>
          <w:lang w:val="en-GB"/>
        </w:rPr>
        <w:t xml:space="preserve"> Instead of asking, "Was this helpful?", counsellors should ask specific relational questions: "Did you feel a need to hold back or hide any feelings from me today?" Helping to target the Negative Affect factor.</w:t>
      </w:r>
    </w:p>
    <w:p xmlns:wp14="http://schemas.microsoft.com/office/word/2010/wordml" w:rsidP="43BAC22B" wp14:paraId="662B45CC" wp14:textId="13805698">
      <w:p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GB"/>
        </w:rPr>
      </w:pPr>
      <w:r w:rsidRPr="43BAC22B" w:rsidR="1462C091">
        <w:rPr>
          <w:rFonts w:ascii="Calibri" w:hAnsi="Calibri" w:eastAsia="Calibri" w:cs="Calibri"/>
          <w:b w:val="1"/>
          <w:bCs w:val="1"/>
          <w:i w:val="0"/>
          <w:iCs w:val="0"/>
          <w:noProof w:val="0"/>
          <w:color w:val="000000" w:themeColor="text1" w:themeTint="FF" w:themeShade="FF"/>
          <w:sz w:val="24"/>
          <w:szCs w:val="24"/>
          <w:lang w:val="en-GB"/>
        </w:rPr>
        <w:t>Negative Affective Reactions</w:t>
      </w:r>
      <w:r w:rsidRPr="43BAC22B" w:rsidR="1462C091">
        <w:rPr>
          <w:rFonts w:ascii="Calibri" w:hAnsi="Calibri" w:eastAsia="Calibri" w:cs="Calibri"/>
          <w:b w:val="0"/>
          <w:bCs w:val="0"/>
          <w:i w:val="0"/>
          <w:iCs w:val="0"/>
          <w:noProof w:val="0"/>
          <w:color w:val="000000" w:themeColor="text1" w:themeTint="FF" w:themeShade="FF"/>
          <w:sz w:val="24"/>
          <w:szCs w:val="24"/>
          <w:lang w:val="en-GB"/>
        </w:rPr>
        <w:t xml:space="preserve"> such as shame, irritation, feeling judged are the strongest predictors of poor outcomes. Crucially, these feelings are often polite and hidden by the client. It is important that counsellors should proactively look for signs of subtle ruptures such as—a client becoming overly compliant, avoiding eye contact, or giving short yes\no answers. By </w:t>
      </w:r>
      <w:r w:rsidRPr="43BAC22B" w:rsidR="1462C091">
        <w:rPr>
          <w:rFonts w:ascii="Calibri" w:hAnsi="Calibri" w:eastAsia="Calibri" w:cs="Calibri"/>
          <w:b w:val="0"/>
          <w:bCs w:val="0"/>
          <w:i w:val="0"/>
          <w:iCs w:val="0"/>
          <w:noProof w:val="0"/>
          <w:color w:val="000000" w:themeColor="text1" w:themeTint="FF" w:themeShade="FF"/>
          <w:sz w:val="24"/>
          <w:szCs w:val="24"/>
          <w:lang w:val="en-GB"/>
        </w:rPr>
        <w:t>stating</w:t>
      </w:r>
      <w:r w:rsidRPr="43BAC22B" w:rsidR="1462C091">
        <w:rPr>
          <w:rFonts w:ascii="Calibri" w:hAnsi="Calibri" w:eastAsia="Calibri" w:cs="Calibri"/>
          <w:b w:val="0"/>
          <w:bCs w:val="0"/>
          <w:i w:val="0"/>
          <w:iCs w:val="0"/>
          <w:noProof w:val="0"/>
          <w:color w:val="000000" w:themeColor="text1" w:themeTint="FF" w:themeShade="FF"/>
          <w:sz w:val="24"/>
          <w:szCs w:val="24"/>
          <w:lang w:val="en-GB"/>
        </w:rPr>
        <w:t xml:space="preserve"> things such as- Most clients feel frustrated with their therapist at some point; I want you to know </w:t>
      </w:r>
      <w:r w:rsidRPr="43BAC22B" w:rsidR="1462C091">
        <w:rPr>
          <w:rFonts w:ascii="Calibri" w:hAnsi="Calibri" w:eastAsia="Calibri" w:cs="Calibri"/>
          <w:b w:val="0"/>
          <w:bCs w:val="0"/>
          <w:i w:val="0"/>
          <w:iCs w:val="0"/>
          <w:noProof w:val="0"/>
          <w:color w:val="000000" w:themeColor="text1" w:themeTint="FF" w:themeShade="FF"/>
          <w:sz w:val="24"/>
          <w:szCs w:val="24"/>
          <w:lang w:val="en-GB"/>
        </w:rPr>
        <w:t>it's</w:t>
      </w:r>
      <w:r w:rsidRPr="43BAC22B" w:rsidR="1462C091">
        <w:rPr>
          <w:rFonts w:ascii="Calibri" w:hAnsi="Calibri" w:eastAsia="Calibri" w:cs="Calibri"/>
          <w:b w:val="0"/>
          <w:bCs w:val="0"/>
          <w:i w:val="0"/>
          <w:iCs w:val="0"/>
          <w:noProof w:val="0"/>
          <w:color w:val="000000" w:themeColor="text1" w:themeTint="FF" w:themeShade="FF"/>
          <w:sz w:val="24"/>
          <w:szCs w:val="24"/>
          <w:lang w:val="en-GB"/>
        </w:rPr>
        <w:t xml:space="preserve"> safe to bring that </w:t>
      </w:r>
      <w:r w:rsidRPr="43BAC22B" w:rsidR="1462C091">
        <w:rPr>
          <w:rFonts w:ascii="Calibri" w:hAnsi="Calibri" w:eastAsia="Calibri" w:cs="Calibri"/>
          <w:b w:val="0"/>
          <w:bCs w:val="0"/>
          <w:i w:val="0"/>
          <w:iCs w:val="0"/>
          <w:noProof w:val="0"/>
          <w:color w:val="000000" w:themeColor="text1" w:themeTint="FF" w:themeShade="FF"/>
          <w:sz w:val="24"/>
          <w:szCs w:val="24"/>
          <w:lang w:val="en-GB"/>
        </w:rPr>
        <w:t>here, can</w:t>
      </w:r>
      <w:r w:rsidRPr="43BAC22B" w:rsidR="1462C091">
        <w:rPr>
          <w:rFonts w:ascii="Calibri" w:hAnsi="Calibri" w:eastAsia="Calibri" w:cs="Calibri"/>
          <w:b w:val="0"/>
          <w:bCs w:val="0"/>
          <w:i w:val="0"/>
          <w:iCs w:val="0"/>
          <w:noProof w:val="0"/>
          <w:color w:val="000000" w:themeColor="text1" w:themeTint="FF" w:themeShade="FF"/>
          <w:sz w:val="24"/>
          <w:szCs w:val="24"/>
          <w:lang w:val="en-GB"/>
        </w:rPr>
        <w:t xml:space="preserve"> lower the barrier to the Negative Affect factor and can dramatically reduce shame and increase openness.</w:t>
      </w:r>
    </w:p>
    <w:p xmlns:wp14="http://schemas.microsoft.com/office/word/2010/wordml" w:rsidP="43BAC22B" wp14:paraId="0C568D09" wp14:textId="4E7F2000">
      <w:pPr>
        <w:spacing w:before="0" w:beforeAutospacing="off" w:after="0" w:afterAutospacing="off" w:line="360" w:lineRule="auto"/>
        <w:rPr>
          <w:rFonts w:ascii="Calibri" w:hAnsi="Calibri" w:eastAsia="Calibri" w:cs="Calibri"/>
          <w:sz w:val="24"/>
          <w:szCs w:val="24"/>
        </w:rPr>
      </w:pPr>
    </w:p>
    <w:p xmlns:wp14="http://schemas.microsoft.com/office/word/2010/wordml" w:rsidP="43BAC22B" wp14:paraId="6216687D" wp14:textId="41676CDD">
      <w:p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GB"/>
        </w:rPr>
      </w:pPr>
      <w:r w:rsidRPr="43BAC22B" w:rsidR="1462C091">
        <w:rPr>
          <w:rFonts w:ascii="Calibri" w:hAnsi="Calibri" w:eastAsia="Calibri" w:cs="Calibri"/>
          <w:b w:val="0"/>
          <w:bCs w:val="0"/>
          <w:i w:val="0"/>
          <w:iCs w:val="0"/>
          <w:noProof w:val="0"/>
          <w:color w:val="000000" w:themeColor="text1" w:themeTint="FF" w:themeShade="FF"/>
          <w:sz w:val="24"/>
          <w:szCs w:val="24"/>
          <w:lang w:val="en-GB"/>
        </w:rPr>
        <w:t xml:space="preserve">The study revealed that patients see the Bond separately from the Work. </w:t>
      </w:r>
      <w:r w:rsidRPr="43BAC22B" w:rsidR="1462C091">
        <w:rPr>
          <w:rFonts w:ascii="Calibri" w:hAnsi="Calibri" w:eastAsia="Calibri" w:cs="Calibri"/>
          <w:b w:val="0"/>
          <w:bCs w:val="0"/>
          <w:i w:val="0"/>
          <w:iCs w:val="0"/>
          <w:noProof w:val="0"/>
          <w:color w:val="000000" w:themeColor="text1" w:themeTint="FF" w:themeShade="FF"/>
          <w:sz w:val="24"/>
          <w:szCs w:val="24"/>
          <w:lang w:val="en-GB"/>
        </w:rPr>
        <w:t>Let’s</w:t>
      </w:r>
      <w:r w:rsidRPr="43BAC22B" w:rsidR="1462C091">
        <w:rPr>
          <w:rFonts w:ascii="Calibri" w:hAnsi="Calibri" w:eastAsia="Calibri" w:cs="Calibri"/>
          <w:b w:val="0"/>
          <w:bCs w:val="0"/>
          <w:i w:val="0"/>
          <w:iCs w:val="0"/>
          <w:noProof w:val="0"/>
          <w:color w:val="000000" w:themeColor="text1" w:themeTint="FF" w:themeShade="FF"/>
          <w:sz w:val="24"/>
          <w:szCs w:val="24"/>
          <w:lang w:val="en-GB"/>
        </w:rPr>
        <w:t xml:space="preserve"> use a CBT example. A client might think your worksheets and tasks are brilliant (High Task Agreement), but they might feel totally disconnected from you as a person (Low Bond).</w:t>
      </w:r>
    </w:p>
    <w:p xmlns:wp14="http://schemas.microsoft.com/office/word/2010/wordml" w:rsidP="43BAC22B" wp14:paraId="036092AE" wp14:textId="5A305712">
      <w:p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GB"/>
        </w:rPr>
      </w:pPr>
      <w:r w:rsidRPr="43BAC22B" w:rsidR="1462C091">
        <w:rPr>
          <w:rFonts w:ascii="Calibri" w:hAnsi="Calibri" w:eastAsia="Calibri" w:cs="Calibri"/>
          <w:b w:val="0"/>
          <w:bCs w:val="0"/>
          <w:i w:val="0"/>
          <w:iCs w:val="0"/>
          <w:noProof w:val="0"/>
          <w:color w:val="000000" w:themeColor="text1" w:themeTint="FF" w:themeShade="FF"/>
          <w:sz w:val="24"/>
          <w:szCs w:val="24"/>
          <w:lang w:val="en-GB"/>
        </w:rPr>
        <w:t xml:space="preserve">If progress stalls, we </w:t>
      </w:r>
      <w:r w:rsidRPr="43BAC22B" w:rsidR="1462C091">
        <w:rPr>
          <w:rFonts w:ascii="Calibri" w:hAnsi="Calibri" w:eastAsia="Calibri" w:cs="Calibri"/>
          <w:b w:val="0"/>
          <w:bCs w:val="0"/>
          <w:i w:val="0"/>
          <w:iCs w:val="0"/>
          <w:noProof w:val="0"/>
          <w:color w:val="000000" w:themeColor="text1" w:themeTint="FF" w:themeShade="FF"/>
          <w:sz w:val="24"/>
          <w:szCs w:val="24"/>
          <w:lang w:val="en-GB"/>
        </w:rPr>
        <w:t>have to</w:t>
      </w:r>
      <w:r w:rsidRPr="43BAC22B" w:rsidR="1462C091">
        <w:rPr>
          <w:rFonts w:ascii="Calibri" w:hAnsi="Calibri" w:eastAsia="Calibri" w:cs="Calibri"/>
          <w:b w:val="0"/>
          <w:bCs w:val="0"/>
          <w:i w:val="0"/>
          <w:iCs w:val="0"/>
          <w:noProof w:val="0"/>
          <w:color w:val="000000" w:themeColor="text1" w:themeTint="FF" w:themeShade="FF"/>
          <w:sz w:val="24"/>
          <w:szCs w:val="24"/>
          <w:lang w:val="en-GB"/>
        </w:rPr>
        <w:t xml:space="preserve"> ask: which channel is blocked? Is it the "Work" or the "Warmth"? If the bond is low, stop the intervention</w:t>
      </w:r>
      <w:r w:rsidRPr="43BAC22B" w:rsidR="1462C091">
        <w:rPr>
          <w:rFonts w:ascii="Calibri" w:hAnsi="Calibri" w:eastAsia="Calibri" w:cs="Calibri"/>
          <w:b w:val="1"/>
          <w:bCs w:val="1"/>
          <w:i w:val="0"/>
          <w:iCs w:val="0"/>
          <w:noProof w:val="0"/>
          <w:color w:val="000000" w:themeColor="text1" w:themeTint="FF" w:themeShade="FF"/>
          <w:sz w:val="24"/>
          <w:szCs w:val="24"/>
          <w:lang w:val="en-GB"/>
        </w:rPr>
        <w:t>.</w:t>
      </w:r>
      <w:r w:rsidRPr="43BAC22B" w:rsidR="1462C091">
        <w:rPr>
          <w:rFonts w:ascii="Calibri" w:hAnsi="Calibri" w:eastAsia="Calibri" w:cs="Calibri"/>
          <w:b w:val="0"/>
          <w:bCs w:val="0"/>
          <w:i w:val="0"/>
          <w:iCs w:val="0"/>
          <w:noProof w:val="0"/>
          <w:color w:val="000000" w:themeColor="text1" w:themeTint="FF" w:themeShade="FF"/>
          <w:sz w:val="24"/>
          <w:szCs w:val="24"/>
          <w:lang w:val="en-GB"/>
        </w:rPr>
        <w:t xml:space="preserve"> Put down the thought record or the exposure protocol and focus purely on the Real Relationship—empathy and genuineness—until that bond is repaired. Counsellors need to be flexible enough to step outside the "brand" to save the human connection.</w:t>
      </w:r>
    </w:p>
    <w:p xmlns:wp14="http://schemas.microsoft.com/office/word/2010/wordml" w:rsidP="43BAC22B" wp14:paraId="1B0D633E" wp14:textId="1573AAAA">
      <w:p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GB"/>
        </w:rPr>
      </w:pPr>
      <w:r w:rsidRPr="43BAC22B" w:rsidR="1462C091">
        <w:rPr>
          <w:rFonts w:ascii="Calibri" w:hAnsi="Calibri" w:eastAsia="Calibri" w:cs="Calibri"/>
          <w:b w:val="0"/>
          <w:bCs w:val="0"/>
          <w:i w:val="0"/>
          <w:iCs w:val="0"/>
          <w:noProof w:val="0"/>
          <w:color w:val="000000" w:themeColor="text1" w:themeTint="FF" w:themeShade="FF"/>
          <w:sz w:val="24"/>
          <w:szCs w:val="24"/>
          <w:lang w:val="en-GB"/>
        </w:rPr>
        <w:t xml:space="preserve">Interestingly, they found this is just as true for </w:t>
      </w:r>
      <w:r w:rsidRPr="43BAC22B" w:rsidR="1462C091">
        <w:rPr>
          <w:rFonts w:ascii="Calibri" w:hAnsi="Calibri" w:eastAsia="Calibri" w:cs="Calibri"/>
          <w:b w:val="1"/>
          <w:bCs w:val="1"/>
          <w:i w:val="0"/>
          <w:iCs w:val="0"/>
          <w:noProof w:val="0"/>
          <w:color w:val="000000" w:themeColor="text1" w:themeTint="FF" w:themeShade="FF"/>
          <w:sz w:val="24"/>
          <w:szCs w:val="24"/>
          <w:lang w:val="en-GB"/>
        </w:rPr>
        <w:t>video or phone sessions</w:t>
      </w:r>
      <w:r w:rsidRPr="43BAC22B" w:rsidR="1462C091">
        <w:rPr>
          <w:rFonts w:ascii="Calibri" w:hAnsi="Calibri" w:eastAsia="Calibri" w:cs="Calibri"/>
          <w:b w:val="0"/>
          <w:bCs w:val="0"/>
          <w:i w:val="0"/>
          <w:iCs w:val="0"/>
          <w:noProof w:val="0"/>
          <w:color w:val="000000" w:themeColor="text1" w:themeTint="FF" w:themeShade="FF"/>
          <w:sz w:val="24"/>
          <w:szCs w:val="24"/>
          <w:lang w:val="en-GB"/>
        </w:rPr>
        <w:t xml:space="preserve"> as it is for </w:t>
      </w:r>
      <w:r w:rsidRPr="43BAC22B" w:rsidR="1462C091">
        <w:rPr>
          <w:rFonts w:ascii="Calibri" w:hAnsi="Calibri" w:eastAsia="Calibri" w:cs="Calibri"/>
          <w:b w:val="0"/>
          <w:bCs w:val="0"/>
          <w:i w:val="0"/>
          <w:iCs w:val="0"/>
          <w:noProof w:val="0"/>
          <w:color w:val="000000" w:themeColor="text1" w:themeTint="FF" w:themeShade="FF"/>
          <w:sz w:val="24"/>
          <w:szCs w:val="24"/>
          <w:lang w:val="en-GB"/>
        </w:rPr>
        <w:t>face-to-face</w:t>
      </w:r>
      <w:r w:rsidRPr="43BAC22B" w:rsidR="1462C091">
        <w:rPr>
          <w:rFonts w:ascii="Calibri" w:hAnsi="Calibri" w:eastAsia="Calibri" w:cs="Calibri"/>
          <w:b w:val="0"/>
          <w:bCs w:val="0"/>
          <w:i w:val="0"/>
          <w:iCs w:val="0"/>
          <w:noProof w:val="0"/>
          <w:color w:val="000000" w:themeColor="text1" w:themeTint="FF" w:themeShade="FF"/>
          <w:sz w:val="24"/>
          <w:szCs w:val="24"/>
          <w:lang w:val="en-GB"/>
        </w:rPr>
        <w:t xml:space="preserve"> work. It debunks the myth that you </w:t>
      </w:r>
      <w:r w:rsidRPr="43BAC22B" w:rsidR="1462C091">
        <w:rPr>
          <w:rFonts w:ascii="Calibri" w:hAnsi="Calibri" w:eastAsia="Calibri" w:cs="Calibri"/>
          <w:b w:val="0"/>
          <w:bCs w:val="0"/>
          <w:i w:val="0"/>
          <w:iCs w:val="0"/>
          <w:noProof w:val="0"/>
          <w:color w:val="000000" w:themeColor="text1" w:themeTint="FF" w:themeShade="FF"/>
          <w:sz w:val="24"/>
          <w:szCs w:val="24"/>
          <w:lang w:val="en-GB"/>
        </w:rPr>
        <w:t>can't</w:t>
      </w:r>
      <w:r w:rsidRPr="43BAC22B" w:rsidR="1462C091">
        <w:rPr>
          <w:rFonts w:ascii="Calibri" w:hAnsi="Calibri" w:eastAsia="Calibri" w:cs="Calibri"/>
          <w:b w:val="0"/>
          <w:bCs w:val="0"/>
          <w:i w:val="0"/>
          <w:iCs w:val="0"/>
          <w:noProof w:val="0"/>
          <w:color w:val="000000" w:themeColor="text1" w:themeTint="FF" w:themeShade="FF"/>
          <w:sz w:val="24"/>
          <w:szCs w:val="24"/>
          <w:lang w:val="en-GB"/>
        </w:rPr>
        <w:t xml:space="preserve"> have a "real" relationship through a screen. It just means counsellors might need to "over-communicate" presence and warmth to make up for the lack of a physical vibe.</w:t>
      </w:r>
    </w:p>
    <w:p xmlns:wp14="http://schemas.microsoft.com/office/word/2010/wordml" w:rsidP="43BAC22B" wp14:paraId="05CD53D5" wp14:textId="5E54DC7C">
      <w:p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GB"/>
        </w:rPr>
      </w:pPr>
      <w:r w:rsidRPr="43BAC22B" w:rsidR="1462C091">
        <w:rPr>
          <w:rFonts w:ascii="Calibri" w:hAnsi="Calibri" w:eastAsia="Calibri" w:cs="Calibri"/>
          <w:b w:val="0"/>
          <w:bCs w:val="0"/>
          <w:i w:val="0"/>
          <w:iCs w:val="0"/>
          <w:noProof w:val="0"/>
          <w:color w:val="000000" w:themeColor="text1" w:themeTint="FF" w:themeShade="FF"/>
          <w:sz w:val="24"/>
          <w:szCs w:val="24"/>
          <w:lang w:val="en-GB"/>
        </w:rPr>
        <w:t xml:space="preserve">The research by </w:t>
      </w:r>
      <w:r w:rsidRPr="43BAC22B" w:rsidR="1462C091">
        <w:rPr>
          <w:rFonts w:ascii="Calibri" w:hAnsi="Calibri" w:eastAsia="Calibri" w:cs="Calibri"/>
          <w:b w:val="1"/>
          <w:bCs w:val="1"/>
          <w:i w:val="0"/>
          <w:iCs w:val="0"/>
          <w:noProof w:val="0"/>
          <w:color w:val="000000" w:themeColor="text1" w:themeTint="FF" w:themeShade="FF"/>
          <w:sz w:val="24"/>
          <w:szCs w:val="24"/>
          <w:lang w:val="en-GB"/>
        </w:rPr>
        <w:t>Stefana et al.</w:t>
      </w:r>
      <w:r w:rsidRPr="43BAC22B" w:rsidR="1462C091">
        <w:rPr>
          <w:rFonts w:ascii="Calibri" w:hAnsi="Calibri" w:eastAsia="Calibri" w:cs="Calibri"/>
          <w:b w:val="0"/>
          <w:bCs w:val="0"/>
          <w:i w:val="0"/>
          <w:iCs w:val="0"/>
          <w:noProof w:val="0"/>
          <w:color w:val="000000" w:themeColor="text1" w:themeTint="FF" w:themeShade="FF"/>
          <w:sz w:val="24"/>
          <w:szCs w:val="24"/>
          <w:lang w:val="en-GB"/>
        </w:rPr>
        <w:t xml:space="preserve"> suggests that a one-size-fits-all</w:t>
      </w:r>
      <w:r w:rsidRPr="43BAC22B" w:rsidR="66B480E8">
        <w:rPr>
          <w:rFonts w:ascii="Calibri" w:hAnsi="Calibri" w:eastAsia="Calibri" w:cs="Calibri"/>
          <w:b w:val="0"/>
          <w:bCs w:val="0"/>
          <w:i w:val="0"/>
          <w:iCs w:val="0"/>
          <w:noProof w:val="0"/>
          <w:color w:val="000000" w:themeColor="text1" w:themeTint="FF" w:themeShade="FF"/>
          <w:sz w:val="24"/>
          <w:szCs w:val="24"/>
          <w:lang w:val="en-GB"/>
        </w:rPr>
        <w:t xml:space="preserve"> </w:t>
      </w:r>
      <w:r w:rsidRPr="43BAC22B" w:rsidR="1462C091">
        <w:rPr>
          <w:rFonts w:ascii="Calibri" w:hAnsi="Calibri" w:eastAsia="Calibri" w:cs="Calibri"/>
          <w:b w:val="0"/>
          <w:bCs w:val="0"/>
          <w:i w:val="0"/>
          <w:iCs w:val="0"/>
          <w:noProof w:val="0"/>
          <w:color w:val="000000" w:themeColor="text1" w:themeTint="FF" w:themeShade="FF"/>
          <w:sz w:val="24"/>
          <w:szCs w:val="24"/>
          <w:lang w:val="en-GB"/>
        </w:rPr>
        <w:t xml:space="preserve">or single-approach mindset in counselling is insufficient. Instead, their findings promote a </w:t>
      </w:r>
      <w:r w:rsidRPr="43BAC22B" w:rsidR="1462C091">
        <w:rPr>
          <w:rFonts w:ascii="Calibri" w:hAnsi="Calibri" w:eastAsia="Calibri" w:cs="Calibri"/>
          <w:b w:val="1"/>
          <w:bCs w:val="1"/>
          <w:i w:val="0"/>
          <w:iCs w:val="0"/>
          <w:noProof w:val="0"/>
          <w:color w:val="000000" w:themeColor="text1" w:themeTint="FF" w:themeShade="FF"/>
          <w:sz w:val="24"/>
          <w:szCs w:val="24"/>
          <w:lang w:val="en-GB"/>
        </w:rPr>
        <w:t>multidimensional and integrated approach</w:t>
      </w:r>
      <w:r w:rsidRPr="43BAC22B" w:rsidR="1462C091">
        <w:rPr>
          <w:rFonts w:ascii="Calibri" w:hAnsi="Calibri" w:eastAsia="Calibri" w:cs="Calibri"/>
          <w:b w:val="0"/>
          <w:bCs w:val="0"/>
          <w:i w:val="0"/>
          <w:iCs w:val="0"/>
          <w:noProof w:val="0"/>
          <w:color w:val="000000" w:themeColor="text1" w:themeTint="FF" w:themeShade="FF"/>
          <w:sz w:val="24"/>
          <w:szCs w:val="24"/>
          <w:lang w:val="en-GB"/>
        </w:rPr>
        <w:t xml:space="preserve"> that prioritises the "Common Factors" of the relationship over any specific technical brand</w:t>
      </w:r>
      <w:r w:rsidRPr="43BAC22B" w:rsidR="1921872F">
        <w:rPr>
          <w:rFonts w:ascii="Calibri" w:hAnsi="Calibri" w:eastAsia="Calibri" w:cs="Calibri"/>
          <w:b w:val="0"/>
          <w:bCs w:val="0"/>
          <w:i w:val="0"/>
          <w:iCs w:val="0"/>
          <w:noProof w:val="0"/>
          <w:color w:val="000000" w:themeColor="text1" w:themeTint="FF" w:themeShade="FF"/>
          <w:sz w:val="24"/>
          <w:szCs w:val="24"/>
          <w:lang w:val="en-GB"/>
        </w:rPr>
        <w:t xml:space="preserve"> </w:t>
      </w:r>
      <w:r w:rsidRPr="43BAC22B" w:rsidR="1462C091">
        <w:rPr>
          <w:rFonts w:ascii="Calibri" w:hAnsi="Calibri" w:eastAsia="Calibri" w:cs="Calibri"/>
          <w:b w:val="0"/>
          <w:bCs w:val="0"/>
          <w:i w:val="0"/>
          <w:iCs w:val="0"/>
          <w:noProof w:val="0"/>
          <w:color w:val="000000" w:themeColor="text1" w:themeTint="FF" w:themeShade="FF"/>
          <w:sz w:val="24"/>
          <w:szCs w:val="24"/>
          <w:lang w:val="en-GB"/>
        </w:rPr>
        <w:t xml:space="preserve">like just CBT, cognitive or just Psychodynamic. </w:t>
      </w:r>
    </w:p>
    <w:p xmlns:wp14="http://schemas.microsoft.com/office/word/2010/wordml" w:rsidP="43BAC22B" wp14:paraId="6502EDA4" wp14:textId="0ED959A7">
      <w:pPr>
        <w:spacing w:before="0" w:beforeAutospacing="off" w:after="0" w:afterAutospacing="off" w:line="360" w:lineRule="auto"/>
        <w:rPr>
          <w:rFonts w:ascii="Calibri" w:hAnsi="Calibri" w:eastAsia="Calibri" w:cs="Calibri"/>
          <w:sz w:val="24"/>
          <w:szCs w:val="24"/>
        </w:rPr>
      </w:pPr>
    </w:p>
    <w:p xmlns:wp14="http://schemas.microsoft.com/office/word/2010/wordml" w:rsidP="43BAC22B" wp14:paraId="5B260287" wp14:textId="0FD9FFA3">
      <w:p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GB"/>
        </w:rPr>
      </w:pPr>
      <w:r w:rsidRPr="43BAC22B" w:rsidR="1462C091">
        <w:rPr>
          <w:rFonts w:ascii="Calibri" w:hAnsi="Calibri" w:eastAsia="Calibri" w:cs="Calibri"/>
          <w:b w:val="1"/>
          <w:bCs w:val="1"/>
          <w:i w:val="0"/>
          <w:iCs w:val="0"/>
          <w:noProof w:val="0"/>
          <w:color w:val="000000" w:themeColor="text1" w:themeTint="FF" w:themeShade="FF"/>
          <w:sz w:val="24"/>
          <w:szCs w:val="24"/>
          <w:lang w:val="en-GB"/>
        </w:rPr>
        <w:t xml:space="preserve">Limitations and recommendations </w:t>
      </w:r>
      <w:r w:rsidRPr="43BAC22B" w:rsidR="1462C091">
        <w:rPr>
          <w:rFonts w:ascii="Calibri" w:hAnsi="Calibri" w:eastAsia="Calibri" w:cs="Calibri"/>
          <w:b w:val="0"/>
          <w:bCs w:val="0"/>
          <w:i w:val="0"/>
          <w:iCs w:val="0"/>
          <w:noProof w:val="0"/>
          <w:color w:val="000000" w:themeColor="text1" w:themeTint="FF" w:themeShade="FF"/>
          <w:sz w:val="24"/>
          <w:szCs w:val="24"/>
          <w:lang w:val="en-GB"/>
        </w:rPr>
        <w:t>the study relies entirely on patients filling out online questionnaires. While this captures their subjective experience (which is the goal), it is subject to social desirability bias</w:t>
      </w:r>
      <w:r w:rsidRPr="43BAC22B" w:rsidR="25A911B6">
        <w:rPr>
          <w:rFonts w:ascii="Calibri" w:hAnsi="Calibri" w:eastAsia="Calibri" w:cs="Calibri"/>
          <w:b w:val="0"/>
          <w:bCs w:val="0"/>
          <w:i w:val="0"/>
          <w:iCs w:val="0"/>
          <w:noProof w:val="0"/>
          <w:color w:val="000000" w:themeColor="text1" w:themeTint="FF" w:themeShade="FF"/>
          <w:sz w:val="24"/>
          <w:szCs w:val="24"/>
          <w:lang w:val="en-GB"/>
        </w:rPr>
        <w:t>.</w:t>
      </w:r>
    </w:p>
    <w:p xmlns:wp14="http://schemas.microsoft.com/office/word/2010/wordml" w:rsidP="43BAC22B" wp14:paraId="3B0D0FCA" wp14:textId="5CC6C82C">
      <w:pPr>
        <w:pStyle w:val="ListParagraph"/>
        <w:numPr>
          <w:ilvl w:val="0"/>
          <w:numId w:val="1"/>
        </w:num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GB"/>
        </w:rPr>
      </w:pPr>
      <w:r w:rsidRPr="43BAC22B" w:rsidR="1462C091">
        <w:rPr>
          <w:rFonts w:ascii="Calibri" w:hAnsi="Calibri" w:eastAsia="Calibri" w:cs="Calibri"/>
          <w:b w:val="0"/>
          <w:bCs w:val="0"/>
          <w:i w:val="0"/>
          <w:iCs w:val="0"/>
          <w:noProof w:val="0"/>
          <w:color w:val="000000" w:themeColor="text1" w:themeTint="FF" w:themeShade="FF"/>
          <w:sz w:val="24"/>
          <w:szCs w:val="24"/>
          <w:lang w:val="en-GB"/>
        </w:rPr>
        <w:t>Because it was an online study, the sample may be skewed toward younger, tech-savvy individuals, potentially missing the perspectives of older populations or those with limited digital access.</w:t>
      </w:r>
    </w:p>
    <w:p xmlns:wp14="http://schemas.microsoft.com/office/word/2010/wordml" w:rsidP="43BAC22B" wp14:paraId="433869A8" wp14:textId="3DE9991D">
      <w:pPr>
        <w:pStyle w:val="ListParagraph"/>
        <w:numPr>
          <w:ilvl w:val="0"/>
          <w:numId w:val="1"/>
        </w:num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GB"/>
        </w:rPr>
      </w:pPr>
      <w:r w:rsidRPr="43BAC22B" w:rsidR="1462C091">
        <w:rPr>
          <w:rFonts w:ascii="Calibri" w:hAnsi="Calibri" w:eastAsia="Calibri" w:cs="Calibri"/>
          <w:b w:val="0"/>
          <w:bCs w:val="0"/>
          <w:i w:val="0"/>
          <w:iCs w:val="0"/>
          <w:noProof w:val="0"/>
          <w:color w:val="000000" w:themeColor="text1" w:themeTint="FF" w:themeShade="FF"/>
          <w:sz w:val="24"/>
          <w:szCs w:val="24"/>
          <w:lang w:val="en-GB"/>
        </w:rPr>
        <w:t xml:space="preserve">The authors recommend that future studies look at both the therapist and the patient simultaneously. By comparing the two perspectives in real-time, researchers can </w:t>
      </w:r>
      <w:r w:rsidRPr="43BAC22B" w:rsidR="1462C091">
        <w:rPr>
          <w:rFonts w:ascii="Calibri" w:hAnsi="Calibri" w:eastAsia="Calibri" w:cs="Calibri"/>
          <w:b w:val="0"/>
          <w:bCs w:val="0"/>
          <w:i w:val="0"/>
          <w:iCs w:val="0"/>
          <w:noProof w:val="0"/>
          <w:color w:val="000000" w:themeColor="text1" w:themeTint="FF" w:themeShade="FF"/>
          <w:sz w:val="24"/>
          <w:szCs w:val="24"/>
          <w:lang w:val="en-GB"/>
        </w:rPr>
        <w:t>identify</w:t>
      </w:r>
      <w:r w:rsidRPr="43BAC22B" w:rsidR="1462C091">
        <w:rPr>
          <w:rFonts w:ascii="Calibri" w:hAnsi="Calibri" w:eastAsia="Calibri" w:cs="Calibri"/>
          <w:b w:val="0"/>
          <w:bCs w:val="0"/>
          <w:i w:val="0"/>
          <w:iCs w:val="0"/>
          <w:noProof w:val="0"/>
          <w:color w:val="000000" w:themeColor="text1" w:themeTint="FF" w:themeShade="FF"/>
          <w:sz w:val="24"/>
          <w:szCs w:val="24"/>
          <w:lang w:val="en-GB"/>
        </w:rPr>
        <w:t xml:space="preserve"> exactly where the "perspective gap" is widest.</w:t>
      </w:r>
    </w:p>
    <w:p xmlns:wp14="http://schemas.microsoft.com/office/word/2010/wordml" w:rsidP="43BAC22B" wp14:paraId="7754FE04" wp14:textId="2DBBAA48">
      <w:pPr>
        <w:pStyle w:val="ListParagraph"/>
        <w:numPr>
          <w:ilvl w:val="0"/>
          <w:numId w:val="1"/>
        </w:num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GB"/>
        </w:rPr>
      </w:pPr>
      <w:r w:rsidRPr="43BAC22B" w:rsidR="1462C091">
        <w:rPr>
          <w:rFonts w:ascii="Calibri" w:hAnsi="Calibri" w:eastAsia="Calibri" w:cs="Calibri"/>
          <w:b w:val="0"/>
          <w:bCs w:val="0"/>
          <w:i w:val="0"/>
          <w:iCs w:val="0"/>
          <w:noProof w:val="0"/>
          <w:color w:val="000000" w:themeColor="text1" w:themeTint="FF" w:themeShade="FF"/>
          <w:sz w:val="24"/>
          <w:szCs w:val="24"/>
          <w:lang w:val="en-GB"/>
        </w:rPr>
        <w:t>The study suggests that training programs should spend less time teaching the "steps" of a specific therapy brand (like CBT) and more time teaching relational flexibility.</w:t>
      </w:r>
    </w:p>
    <w:p xmlns:wp14="http://schemas.microsoft.com/office/word/2010/wordml" w:rsidP="43BAC22B" wp14:paraId="5DAE2CA2" wp14:textId="41764E63">
      <w:pPr>
        <w:spacing w:before="0" w:beforeAutospacing="off" w:after="0" w:afterAutospacing="off" w:line="360" w:lineRule="auto"/>
        <w:rPr>
          <w:rFonts w:ascii="Calibri" w:hAnsi="Calibri" w:eastAsia="Calibri" w:cs="Calibri"/>
          <w:sz w:val="24"/>
          <w:szCs w:val="24"/>
        </w:rPr>
      </w:pPr>
    </w:p>
    <w:p xmlns:wp14="http://schemas.microsoft.com/office/word/2010/wordml" w:rsidP="43BAC22B" wp14:paraId="2DCC216A" wp14:textId="26969F4B">
      <w:p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GB"/>
        </w:rPr>
      </w:pPr>
      <w:r w:rsidRPr="43BAC22B" w:rsidR="1462C091">
        <w:rPr>
          <w:rFonts w:ascii="Calibri" w:hAnsi="Calibri" w:eastAsia="Calibri" w:cs="Calibri"/>
          <w:b w:val="0"/>
          <w:bCs w:val="0"/>
          <w:i w:val="0"/>
          <w:iCs w:val="0"/>
          <w:noProof w:val="0"/>
          <w:color w:val="000000" w:themeColor="text1" w:themeTint="FF" w:themeShade="FF"/>
          <w:sz w:val="24"/>
          <w:szCs w:val="24"/>
          <w:lang w:val="en-GB"/>
        </w:rPr>
        <w:t xml:space="preserve">The report tells us that for a counsellor, the primary job </w:t>
      </w:r>
      <w:r w:rsidRPr="43BAC22B" w:rsidR="1462C091">
        <w:rPr>
          <w:rFonts w:ascii="Calibri" w:hAnsi="Calibri" w:eastAsia="Calibri" w:cs="Calibri"/>
          <w:b w:val="0"/>
          <w:bCs w:val="0"/>
          <w:i w:val="0"/>
          <w:iCs w:val="0"/>
          <w:noProof w:val="0"/>
          <w:color w:val="000000" w:themeColor="text1" w:themeTint="FF" w:themeShade="FF"/>
          <w:sz w:val="24"/>
          <w:szCs w:val="24"/>
          <w:lang w:val="en-GB"/>
        </w:rPr>
        <w:t>isn't</w:t>
      </w:r>
      <w:r w:rsidRPr="43BAC22B" w:rsidR="1462C091">
        <w:rPr>
          <w:rFonts w:ascii="Calibri" w:hAnsi="Calibri" w:eastAsia="Calibri" w:cs="Calibri"/>
          <w:b w:val="0"/>
          <w:bCs w:val="0"/>
          <w:i w:val="0"/>
          <w:iCs w:val="0"/>
          <w:noProof w:val="0"/>
          <w:color w:val="000000" w:themeColor="text1" w:themeTint="FF" w:themeShade="FF"/>
          <w:sz w:val="24"/>
          <w:szCs w:val="24"/>
          <w:lang w:val="en-GB"/>
        </w:rPr>
        <w:t xml:space="preserve"> to be technicians of a specific brand, but to be masters of the alliance of approaches. It suggests that the path to better patient outcomes lies in </w:t>
      </w:r>
      <w:r w:rsidRPr="43BAC22B" w:rsidR="14CA2E00">
        <w:rPr>
          <w:rFonts w:ascii="Calibri" w:hAnsi="Calibri" w:eastAsia="Calibri" w:cs="Calibri"/>
          <w:b w:val="0"/>
          <w:bCs w:val="0"/>
          <w:i w:val="0"/>
          <w:iCs w:val="0"/>
          <w:noProof w:val="0"/>
          <w:color w:val="000000" w:themeColor="text1" w:themeTint="FF" w:themeShade="FF"/>
          <w:sz w:val="24"/>
          <w:szCs w:val="24"/>
          <w:lang w:val="en-GB"/>
        </w:rPr>
        <w:t>the ability</w:t>
      </w:r>
      <w:r w:rsidRPr="43BAC22B" w:rsidR="1462C091">
        <w:rPr>
          <w:rFonts w:ascii="Calibri" w:hAnsi="Calibri" w:eastAsia="Calibri" w:cs="Calibri"/>
          <w:b w:val="0"/>
          <w:bCs w:val="0"/>
          <w:i w:val="0"/>
          <w:iCs w:val="0"/>
          <w:noProof w:val="0"/>
          <w:color w:val="000000" w:themeColor="text1" w:themeTint="FF" w:themeShade="FF"/>
          <w:sz w:val="24"/>
          <w:szCs w:val="24"/>
          <w:lang w:val="en-GB"/>
        </w:rPr>
        <w:t xml:space="preserve"> to </w:t>
      </w:r>
      <w:r w:rsidRPr="43BAC22B" w:rsidR="1462C091">
        <w:rPr>
          <w:rFonts w:ascii="Calibri" w:hAnsi="Calibri" w:eastAsia="Calibri" w:cs="Calibri"/>
          <w:b w:val="0"/>
          <w:bCs w:val="0"/>
          <w:i w:val="0"/>
          <w:iCs w:val="0"/>
          <w:noProof w:val="0"/>
          <w:color w:val="000000" w:themeColor="text1" w:themeTint="FF" w:themeShade="FF"/>
          <w:sz w:val="24"/>
          <w:szCs w:val="24"/>
          <w:lang w:val="en-GB"/>
        </w:rPr>
        <w:t>monitor</w:t>
      </w:r>
      <w:r w:rsidRPr="43BAC22B" w:rsidR="1462C091">
        <w:rPr>
          <w:rFonts w:ascii="Calibri" w:hAnsi="Calibri" w:eastAsia="Calibri" w:cs="Calibri"/>
          <w:b w:val="0"/>
          <w:bCs w:val="0"/>
          <w:i w:val="0"/>
          <w:iCs w:val="0"/>
          <w:noProof w:val="0"/>
          <w:color w:val="000000" w:themeColor="text1" w:themeTint="FF" w:themeShade="FF"/>
          <w:sz w:val="24"/>
          <w:szCs w:val="24"/>
          <w:lang w:val="en-GB"/>
        </w:rPr>
        <w:t xml:space="preserve">, repair, and prioritise the relationship </w:t>
      </w:r>
      <w:r w:rsidRPr="43BAC22B" w:rsidR="1462C091">
        <w:rPr>
          <w:rFonts w:ascii="Calibri" w:hAnsi="Calibri" w:eastAsia="Calibri" w:cs="Calibri"/>
          <w:b w:val="0"/>
          <w:bCs w:val="0"/>
          <w:i w:val="0"/>
          <w:iCs w:val="0"/>
          <w:noProof w:val="0"/>
          <w:color w:val="000000" w:themeColor="text1" w:themeTint="FF" w:themeShade="FF"/>
          <w:sz w:val="24"/>
          <w:szCs w:val="24"/>
          <w:lang w:val="en-GB"/>
        </w:rPr>
        <w:t>above all else</w:t>
      </w:r>
      <w:r w:rsidRPr="43BAC22B" w:rsidR="1462C091">
        <w:rPr>
          <w:rFonts w:ascii="Calibri" w:hAnsi="Calibri" w:eastAsia="Calibri" w:cs="Calibri"/>
          <w:b w:val="0"/>
          <w:bCs w:val="0"/>
          <w:i w:val="0"/>
          <w:iCs w:val="0"/>
          <w:noProof w:val="0"/>
          <w:color w:val="000000" w:themeColor="text1" w:themeTint="FF" w:themeShade="FF"/>
          <w:sz w:val="24"/>
          <w:szCs w:val="24"/>
          <w:lang w:val="en-GB"/>
        </w:rPr>
        <w:t>.” Because, as the data shows, the path to better patient outcomes lies in the strength of the partnership that is built.</w:t>
      </w:r>
    </w:p>
    <w:p xmlns:wp14="http://schemas.microsoft.com/office/word/2010/wordml" w:rsidP="43BAC22B" wp14:paraId="5E5787A5" wp14:textId="0E46446D">
      <w:pPr>
        <w:spacing w:line="276" w:lineRule="auto"/>
        <w:rPr>
          <w:rFonts w:ascii="Calibri" w:hAnsi="Calibri" w:eastAsia="Calibri" w:cs="Calibri"/>
        </w:rPr>
      </w:pPr>
    </w:p>
    <w:p w:rsidR="43BAC22B" w:rsidP="43BAC22B" w:rsidRDefault="43BAC22B" w14:paraId="4F6E6252" w14:textId="2ECBE680">
      <w:pPr>
        <w:spacing w:line="276" w:lineRule="auto"/>
        <w:rPr>
          <w:rFonts w:ascii="Calibri" w:hAnsi="Calibri" w:eastAsia="Calibri" w:cs="Calibri"/>
        </w:rPr>
      </w:pPr>
    </w:p>
    <w:p w:rsidR="43BAC22B" w:rsidP="43BAC22B" w:rsidRDefault="43BAC22B" w14:paraId="1EEDBBEC" w14:textId="59A1AE7E">
      <w:pPr>
        <w:spacing w:line="276" w:lineRule="auto"/>
        <w:rPr>
          <w:rFonts w:ascii="Calibri" w:hAnsi="Calibri" w:eastAsia="Calibri" w:cs="Calibri"/>
        </w:rPr>
      </w:pPr>
    </w:p>
    <w:p w:rsidR="43BAC22B" w:rsidP="43BAC22B" w:rsidRDefault="43BAC22B" w14:paraId="7C36635C" w14:textId="2B5D5980">
      <w:pPr>
        <w:spacing w:line="276" w:lineRule="auto"/>
        <w:rPr>
          <w:rFonts w:ascii="Calibri" w:hAnsi="Calibri" w:eastAsia="Calibri" w:cs="Calibri"/>
        </w:rPr>
      </w:pPr>
    </w:p>
    <w:p w:rsidR="43BAC22B" w:rsidP="43BAC22B" w:rsidRDefault="43BAC22B" w14:paraId="1138B937" w14:textId="14EC2FFC">
      <w:pPr>
        <w:spacing w:line="276" w:lineRule="auto"/>
        <w:rPr>
          <w:rFonts w:ascii="Calibri" w:hAnsi="Calibri" w:eastAsia="Calibri" w:cs="Calibri"/>
        </w:rPr>
      </w:pPr>
    </w:p>
    <w:p w:rsidR="43BAC22B" w:rsidP="43BAC22B" w:rsidRDefault="43BAC22B" w14:paraId="29C1F593" w14:textId="0E335828">
      <w:pPr>
        <w:spacing w:line="276" w:lineRule="auto"/>
        <w:rPr>
          <w:rFonts w:ascii="Calibri" w:hAnsi="Calibri" w:eastAsia="Calibri" w:cs="Calibri"/>
        </w:rPr>
      </w:pPr>
    </w:p>
    <w:p w:rsidR="43BAC22B" w:rsidP="43BAC22B" w:rsidRDefault="43BAC22B" w14:paraId="2B30D4DC" w14:textId="45EA7B66">
      <w:pPr>
        <w:spacing w:line="276" w:lineRule="auto"/>
        <w:rPr>
          <w:rFonts w:ascii="Calibri" w:hAnsi="Calibri" w:eastAsia="Calibri" w:cs="Calibri"/>
        </w:rPr>
      </w:pPr>
    </w:p>
    <w:p w:rsidR="7F178862" w:rsidP="43BAC22B" w:rsidRDefault="7F178862" w14:paraId="626A4FC3" w14:textId="69AABF8D">
      <w:pPr>
        <w:spacing w:line="276" w:lineRule="auto"/>
        <w:rPr>
          <w:rFonts w:ascii="Calibri" w:hAnsi="Calibri" w:eastAsia="Calibri" w:cs="Calibri"/>
        </w:rPr>
      </w:pPr>
      <w:r w:rsidRPr="43BAC22B" w:rsidR="7F178862">
        <w:rPr>
          <w:rFonts w:ascii="Calibri" w:hAnsi="Calibri" w:eastAsia="Calibri" w:cs="Calibri"/>
        </w:rPr>
        <w:t>References</w:t>
      </w:r>
    </w:p>
    <w:p w:rsidR="7F178862" w:rsidP="43BAC22B" w:rsidRDefault="7F178862" w14:paraId="44F91E98" w14:textId="7D736533">
      <w:pPr>
        <w:pStyle w:val="Normal"/>
        <w:spacing w:line="276" w:lineRule="auto"/>
        <w:ind w:left="720" w:hanging="720"/>
        <w:rPr>
          <w:rFonts w:ascii="Calibri" w:hAnsi="Calibri" w:eastAsia="Calibri" w:cs="Calibri"/>
          <w:color w:val="auto"/>
        </w:rPr>
      </w:pPr>
      <w:r w:rsidRPr="43BAC22B" w:rsidR="7F178862">
        <w:rPr>
          <w:rFonts w:ascii="Calibri" w:hAnsi="Calibri" w:eastAsia="Calibri" w:cs="Calibri"/>
          <w:noProof w:val="0"/>
          <w:color w:val="auto"/>
          <w:sz w:val="24"/>
          <w:szCs w:val="24"/>
          <w:lang w:val="en-GB"/>
        </w:rPr>
        <w:t xml:space="preserve">Stefana, A., </w:t>
      </w:r>
      <w:r w:rsidRPr="43BAC22B" w:rsidR="7F178862">
        <w:rPr>
          <w:rFonts w:ascii="Calibri" w:hAnsi="Calibri" w:eastAsia="Calibri" w:cs="Calibri"/>
          <w:noProof w:val="0"/>
          <w:color w:val="auto"/>
          <w:sz w:val="24"/>
          <w:szCs w:val="24"/>
          <w:lang w:val="en-GB"/>
        </w:rPr>
        <w:t>Fusar</w:t>
      </w:r>
      <w:r w:rsidRPr="43BAC22B" w:rsidR="7F178862">
        <w:rPr>
          <w:rFonts w:ascii="Calibri" w:hAnsi="Calibri" w:eastAsia="Calibri" w:cs="Calibri"/>
          <w:noProof w:val="0"/>
          <w:color w:val="auto"/>
          <w:sz w:val="24"/>
          <w:szCs w:val="24"/>
          <w:lang w:val="en-GB"/>
        </w:rPr>
        <w:t xml:space="preserve">-Poli, P., Vieta, E., &amp; Youngstrom, E. A. (2024). Patients’ perspective on the therapeutic relationship and session quality: The </w:t>
      </w:r>
      <w:r w:rsidRPr="43BAC22B" w:rsidR="7F178862">
        <w:rPr>
          <w:rFonts w:ascii="Calibri" w:hAnsi="Calibri" w:eastAsia="Calibri" w:cs="Calibri"/>
          <w:noProof w:val="0"/>
          <w:color w:val="auto"/>
          <w:sz w:val="24"/>
          <w:szCs w:val="24"/>
          <w:lang w:val="en-GB"/>
        </w:rPr>
        <w:t>central role</w:t>
      </w:r>
      <w:r w:rsidRPr="43BAC22B" w:rsidR="7F178862">
        <w:rPr>
          <w:rFonts w:ascii="Calibri" w:hAnsi="Calibri" w:eastAsia="Calibri" w:cs="Calibri"/>
          <w:noProof w:val="0"/>
          <w:color w:val="auto"/>
          <w:sz w:val="24"/>
          <w:szCs w:val="24"/>
          <w:lang w:val="en-GB"/>
        </w:rPr>
        <w:t xml:space="preserve"> of alliance. </w:t>
      </w:r>
      <w:r w:rsidRPr="43BAC22B" w:rsidR="7F178862">
        <w:rPr>
          <w:rFonts w:ascii="Calibri" w:hAnsi="Calibri" w:eastAsia="Calibri" w:cs="Calibri"/>
          <w:i w:val="1"/>
          <w:iCs w:val="1"/>
          <w:noProof w:val="0"/>
          <w:color w:val="auto"/>
          <w:sz w:val="24"/>
          <w:szCs w:val="24"/>
          <w:lang w:val="en-GB"/>
        </w:rPr>
        <w:t>Frontiers in Psychology</w:t>
      </w:r>
      <w:r w:rsidRPr="43BAC22B" w:rsidR="7F178862">
        <w:rPr>
          <w:rFonts w:ascii="Calibri" w:hAnsi="Calibri" w:eastAsia="Calibri" w:cs="Calibri"/>
          <w:noProof w:val="0"/>
          <w:color w:val="auto"/>
          <w:sz w:val="24"/>
          <w:szCs w:val="24"/>
          <w:lang w:val="en-GB"/>
        </w:rPr>
        <w:t xml:space="preserve">, </w:t>
      </w:r>
      <w:r w:rsidRPr="43BAC22B" w:rsidR="7F178862">
        <w:rPr>
          <w:rFonts w:ascii="Calibri" w:hAnsi="Calibri" w:eastAsia="Calibri" w:cs="Calibri"/>
          <w:i w:val="1"/>
          <w:iCs w:val="1"/>
          <w:noProof w:val="0"/>
          <w:color w:val="auto"/>
          <w:sz w:val="24"/>
          <w:szCs w:val="24"/>
          <w:lang w:val="en-GB"/>
        </w:rPr>
        <w:t>15</w:t>
      </w:r>
      <w:r w:rsidRPr="43BAC22B" w:rsidR="7F178862">
        <w:rPr>
          <w:rFonts w:ascii="Calibri" w:hAnsi="Calibri" w:eastAsia="Calibri" w:cs="Calibri"/>
          <w:noProof w:val="0"/>
          <w:color w:val="auto"/>
          <w:sz w:val="24"/>
          <w:szCs w:val="24"/>
          <w:lang w:val="en-GB"/>
        </w:rPr>
        <w:t xml:space="preserve">, 1367516. </w:t>
      </w:r>
      <w:hyperlink r:id="R2c1e34ac883240ab">
        <w:r w:rsidRPr="43BAC22B" w:rsidR="7F178862">
          <w:rPr>
            <w:rStyle w:val="Hyperlink"/>
            <w:rFonts w:ascii="Calibri" w:hAnsi="Calibri" w:eastAsia="Calibri" w:cs="Calibri"/>
            <w:noProof w:val="0"/>
            <w:color w:val="auto"/>
            <w:sz w:val="24"/>
            <w:szCs w:val="24"/>
            <w:lang w:val="en-GB"/>
          </w:rPr>
          <w:t>https://doi.org/10.3389/fpsyg.2024.1367516</w:t>
        </w:r>
      </w:hyperlink>
    </w:p>
    <w:p w:rsidR="43BAC22B" w:rsidP="43BAC22B" w:rsidRDefault="43BAC22B" w14:paraId="3076D11E" w14:textId="654AA445">
      <w:pPr>
        <w:spacing w:line="276" w:lineRule="auto"/>
        <w:rPr>
          <w:rFonts w:ascii="Calibri" w:hAnsi="Calibri" w:eastAsia="Calibri" w:cs="Calibri"/>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4AgtmeaT" int2:invalidationBookmarkName="" int2:hashCode="G5Hzb5i6cFp/7l" int2:id="k7UKdMiM">
      <int2:state int2:type="style" int2:value="Rejected"/>
    </int2:bookmark>
    <int2:bookmark int2:bookmarkName="_Int_1BulLrKw" int2:invalidationBookmarkName="" int2:hashCode="G5Hzb5i6cFp/7l" int2:id="hEVA6ZCi">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4c2cf59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D8A4864"/>
    <w:rsid w:val="0CF02F0A"/>
    <w:rsid w:val="1462C091"/>
    <w:rsid w:val="14CA2E00"/>
    <w:rsid w:val="16C1F191"/>
    <w:rsid w:val="1921872F"/>
    <w:rsid w:val="1E332EA8"/>
    <w:rsid w:val="21E66A08"/>
    <w:rsid w:val="25A911B6"/>
    <w:rsid w:val="3D8A4864"/>
    <w:rsid w:val="43BAC22B"/>
    <w:rsid w:val="490CAD39"/>
    <w:rsid w:val="4B5A24DF"/>
    <w:rsid w:val="50CC48DD"/>
    <w:rsid w:val="56E95CBA"/>
    <w:rsid w:val="57E0A8C7"/>
    <w:rsid w:val="5DF68F71"/>
    <w:rsid w:val="6130F829"/>
    <w:rsid w:val="66B480E8"/>
    <w:rsid w:val="68DF17B0"/>
    <w:rsid w:val="7F1788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8A4864"/>
  <w15:chartTrackingRefBased/>
  <w15:docId w15:val="{68A9EE36-6403-4A30-9158-1DB15B54D6B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43BAC22B"/>
    <w:pPr>
      <w:spacing/>
      <w:ind w:left="720"/>
      <w:contextualSpacing/>
    </w:pPr>
  </w:style>
  <w:style w:type="character" w:styleId="Hyperlink">
    <w:uiPriority w:val="99"/>
    <w:name w:val="Hyperlink"/>
    <w:basedOn w:val="DefaultParagraphFont"/>
    <w:unhideWhenUsed/>
    <w:rsid w:val="43BAC22B"/>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oi.org/10.3389/fpsyg.2024.1367516" TargetMode="External" Id="R2c1e34ac883240ab" /><Relationship Type="http://schemas.microsoft.com/office/2020/10/relationships/intelligence" Target="/word/intelligence2.xml" Id="R102b9489ddd240cb" /><Relationship Type="http://schemas.openxmlformats.org/officeDocument/2006/relationships/numbering" Target="/word/numbering.xml" Id="R581c2700a194435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Lisa Miggins (2405698)</dc:creator>
  <keywords/>
  <dc:description/>
  <lastModifiedBy>Lisa Miggins (2405698)</lastModifiedBy>
  <revision>2</revision>
  <dcterms:created xsi:type="dcterms:W3CDTF">2026-01-11T14:21:11.4161723Z</dcterms:created>
  <dcterms:modified xsi:type="dcterms:W3CDTF">2026-01-11T14:29:28.4005964Z</dcterms:modified>
</coreProperties>
</file>