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08623F">
      <w:pPr>
        <w:pStyle w:val="normal0"/>
        <w:spacing w:line="480" w:lineRule="auto"/>
        <w:jc w:val="center"/>
        <w:rPr>
          <w:b/>
        </w:rPr>
      </w:pPr>
      <w:r>
        <w:rPr>
          <w:b/>
        </w:rPr>
        <w:t>BMPL/PS 4001/4008</w:t>
      </w:r>
    </w:p>
    <w:p w:rsidR="006605C3" w:rsidRDefault="0008623F">
      <w:pPr>
        <w:pStyle w:val="normal0"/>
        <w:spacing w:line="480" w:lineRule="auto"/>
        <w:jc w:val="center"/>
        <w:rPr>
          <w:b/>
        </w:rPr>
      </w:pPr>
      <w:r>
        <w:rPr>
          <w:b/>
        </w:rPr>
        <w:t>Evidence-Based Policing and Decision Making</w:t>
      </w:r>
    </w:p>
    <w:p w:rsidR="006605C3" w:rsidRDefault="0008623F">
      <w:pPr>
        <w:pStyle w:val="normal0"/>
        <w:spacing w:line="480" w:lineRule="auto"/>
        <w:jc w:val="center"/>
        <w:rPr>
          <w:b/>
        </w:rPr>
      </w:pPr>
      <w:r>
        <w:rPr>
          <w:b/>
        </w:rPr>
        <w:t>Essay</w:t>
      </w:r>
    </w:p>
    <w:p w:rsidR="006605C3" w:rsidRDefault="0008623F">
      <w:pPr>
        <w:pStyle w:val="normal0"/>
        <w:spacing w:line="480" w:lineRule="auto"/>
        <w:jc w:val="center"/>
        <w:rPr>
          <w:b/>
        </w:rPr>
      </w:pPr>
      <w:r>
        <w:rPr>
          <w:b/>
        </w:rPr>
        <w:t>Word Count: 2000 Words</w:t>
      </w:r>
    </w:p>
    <w:p w:rsidR="0008623F" w:rsidRDefault="0008623F">
      <w:pPr>
        <w:pStyle w:val="normal0"/>
        <w:spacing w:line="480" w:lineRule="auto"/>
        <w:jc w:val="center"/>
        <w:rPr>
          <w:b/>
        </w:rPr>
      </w:pPr>
      <w:r>
        <w:rPr>
          <w:b/>
        </w:rPr>
        <w:t xml:space="preserve">Student Name: </w:t>
      </w:r>
      <w:proofErr w:type="spellStart"/>
      <w:r>
        <w:rPr>
          <w:b/>
        </w:rPr>
        <w:t>Iulian</w:t>
      </w:r>
      <w:proofErr w:type="spellEnd"/>
      <w:r>
        <w:rPr>
          <w:b/>
        </w:rPr>
        <w:t xml:space="preserve"> </w:t>
      </w:r>
      <w:proofErr w:type="spellStart"/>
      <w:r>
        <w:rPr>
          <w:b/>
        </w:rPr>
        <w:t>Vasile</w:t>
      </w:r>
      <w:proofErr w:type="spellEnd"/>
      <w:r>
        <w:rPr>
          <w:b/>
        </w:rPr>
        <w:t xml:space="preserve"> </w:t>
      </w:r>
      <w:proofErr w:type="spellStart"/>
      <w:r>
        <w:rPr>
          <w:b/>
        </w:rPr>
        <w:t>Girtu</w:t>
      </w:r>
      <w:proofErr w:type="spellEnd"/>
    </w:p>
    <w:p w:rsidR="0008623F" w:rsidRDefault="0008623F">
      <w:pPr>
        <w:pStyle w:val="normal0"/>
        <w:spacing w:line="480" w:lineRule="auto"/>
        <w:jc w:val="center"/>
        <w:rPr>
          <w:b/>
        </w:rPr>
      </w:pPr>
      <w:r>
        <w:rPr>
          <w:b/>
        </w:rPr>
        <w:t>Student ID : 2133038</w:t>
      </w: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08623F">
      <w:pPr>
        <w:pStyle w:val="normal0"/>
        <w:keepNext/>
        <w:keepLines/>
        <w:pBdr>
          <w:top w:val="nil"/>
          <w:left w:val="nil"/>
          <w:bottom w:val="nil"/>
          <w:right w:val="nil"/>
          <w:between w:val="nil"/>
        </w:pBdr>
        <w:spacing w:before="240" w:after="0" w:line="259" w:lineRule="auto"/>
        <w:ind w:left="432" w:hanging="432"/>
        <w:rPr>
          <w:rFonts w:ascii="Calibri" w:eastAsia="Calibri" w:hAnsi="Calibri" w:cs="Calibri"/>
          <w:color w:val="2F5496"/>
          <w:sz w:val="32"/>
          <w:szCs w:val="32"/>
        </w:rPr>
      </w:pPr>
      <w:r>
        <w:rPr>
          <w:rFonts w:ascii="Calibri" w:eastAsia="Calibri" w:hAnsi="Calibri" w:cs="Calibri"/>
          <w:color w:val="2F5496"/>
          <w:sz w:val="32"/>
          <w:szCs w:val="32"/>
        </w:rPr>
        <w:t>Table of Contents</w:t>
      </w:r>
    </w:p>
    <w:sdt>
      <w:sdtPr>
        <w:id w:val="176921251"/>
        <w:docPartObj>
          <w:docPartGallery w:val="Table of Contents"/>
          <w:docPartUnique/>
        </w:docPartObj>
      </w:sdtPr>
      <w:sdtContent>
        <w:p w:rsidR="006605C3" w:rsidRDefault="006605C3">
          <w:pPr>
            <w:pStyle w:val="normal0"/>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r>
            <w:fldChar w:fldCharType="begin"/>
          </w:r>
          <w:r w:rsidR="0008623F">
            <w:instrText xml:space="preserve"> TOC \h \u \z </w:instrText>
          </w:r>
          <w:r>
            <w:fldChar w:fldCharType="separate"/>
          </w:r>
          <w:hyperlink w:anchor="_30j0zll">
            <w:r w:rsidR="0008623F">
              <w:rPr>
                <w:color w:val="000000"/>
              </w:rPr>
              <w:t>1</w:t>
            </w:r>
          </w:hyperlink>
          <w:hyperlink w:anchor="_30j0zll">
            <w:r w:rsidR="0008623F">
              <w:rPr>
                <w:rFonts w:ascii="Calibri" w:eastAsia="Calibri" w:hAnsi="Calibri" w:cs="Calibri"/>
                <w:color w:val="000000"/>
                <w:sz w:val="22"/>
                <w:szCs w:val="22"/>
              </w:rPr>
              <w:tab/>
            </w:r>
          </w:hyperlink>
          <w:r>
            <w:fldChar w:fldCharType="begin"/>
          </w:r>
          <w:r w:rsidR="0008623F">
            <w:instrText xml:space="preserve"> PAGEREF _30j0zll \h </w:instrText>
          </w:r>
          <w:r>
            <w:fldChar w:fldCharType="separate"/>
          </w:r>
          <w:r w:rsidR="0008623F">
            <w:rPr>
              <w:color w:val="000000"/>
            </w:rPr>
            <w:t>Introduction</w:t>
          </w:r>
          <w:r w:rsidR="0008623F">
            <w:rPr>
              <w:color w:val="000000"/>
            </w:rPr>
            <w:tab/>
            <w:t>3</w:t>
          </w:r>
          <w:r>
            <w:fldChar w:fldCharType="end"/>
          </w:r>
        </w:p>
        <w:p w:rsidR="006605C3" w:rsidRDefault="006605C3">
          <w:pPr>
            <w:pStyle w:val="normal0"/>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1fob9te">
            <w:r w:rsidR="0008623F">
              <w:rPr>
                <w:color w:val="000000"/>
              </w:rPr>
              <w:t>2</w:t>
            </w:r>
          </w:hyperlink>
          <w:hyperlink w:anchor="_1fob9te">
            <w:r w:rsidR="0008623F">
              <w:rPr>
                <w:rFonts w:ascii="Calibri" w:eastAsia="Calibri" w:hAnsi="Calibri" w:cs="Calibri"/>
                <w:color w:val="000000"/>
                <w:sz w:val="22"/>
                <w:szCs w:val="22"/>
              </w:rPr>
              <w:tab/>
            </w:r>
          </w:hyperlink>
          <w:r>
            <w:fldChar w:fldCharType="begin"/>
          </w:r>
          <w:r w:rsidR="0008623F">
            <w:instrText xml:space="preserve"> PAGEREF _1fob9te \h </w:instrText>
          </w:r>
          <w:r>
            <w:fldChar w:fldCharType="separate"/>
          </w:r>
          <w:r w:rsidR="0008623F">
            <w:rPr>
              <w:color w:val="000000"/>
            </w:rPr>
            <w:t>Body</w:t>
          </w:r>
          <w:r w:rsidR="0008623F">
            <w:rPr>
              <w:color w:val="000000"/>
            </w:rPr>
            <w:tab/>
            <w:t>3</w:t>
          </w:r>
          <w:r>
            <w:fldChar w:fldCharType="end"/>
          </w:r>
        </w:p>
        <w:p w:rsidR="006605C3" w:rsidRDefault="006605C3">
          <w:pPr>
            <w:pStyle w:val="normal0"/>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3znysh7">
            <w:r w:rsidR="0008623F">
              <w:rPr>
                <w:color w:val="000000"/>
              </w:rPr>
              <w:t>2.1</w:t>
            </w:r>
          </w:hyperlink>
          <w:hyperlink w:anchor="_3znysh7">
            <w:r w:rsidR="0008623F">
              <w:rPr>
                <w:rFonts w:ascii="Calibri" w:eastAsia="Calibri" w:hAnsi="Calibri" w:cs="Calibri"/>
                <w:color w:val="000000"/>
                <w:sz w:val="22"/>
                <w:szCs w:val="22"/>
              </w:rPr>
              <w:tab/>
            </w:r>
          </w:hyperlink>
          <w:r>
            <w:fldChar w:fldCharType="begin"/>
          </w:r>
          <w:r w:rsidR="0008623F">
            <w:instrText xml:space="preserve"> PAGEREF _3znysh7 \h </w:instrText>
          </w:r>
          <w:r>
            <w:fldChar w:fldCharType="separate"/>
          </w:r>
          <w:r w:rsidR="0008623F">
            <w:rPr>
              <w:color w:val="000000"/>
            </w:rPr>
            <w:t>Hotspot Model</w:t>
          </w:r>
          <w:r w:rsidR="0008623F">
            <w:rPr>
              <w:color w:val="000000"/>
            </w:rPr>
            <w:tab/>
            <w:t>3</w:t>
          </w:r>
          <w:r>
            <w:fldChar w:fldCharType="end"/>
          </w:r>
        </w:p>
        <w:bookmarkStart w:id="0" w:name="_gjdgxs" w:colFirst="0" w:colLast="0"/>
        <w:bookmarkEnd w:id="0"/>
        <w:p w:rsidR="006605C3" w:rsidRDefault="006605C3">
          <w:pPr>
            <w:pStyle w:val="normal0"/>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r>
            <w:fldChar w:fldCharType="begin"/>
          </w:r>
          <w:r>
            <w:instrText>HYPERLINK \l "_2et92p0" \h</w:instrText>
          </w:r>
          <w:r>
            <w:fldChar w:fldCharType="separate"/>
          </w:r>
          <w:r w:rsidR="0008623F">
            <w:rPr>
              <w:color w:val="000000"/>
            </w:rPr>
            <w:t>2.2</w:t>
          </w:r>
          <w:r>
            <w:fldChar w:fldCharType="end"/>
          </w:r>
          <w:hyperlink w:anchor="_2et92p0">
            <w:r w:rsidR="0008623F">
              <w:rPr>
                <w:rFonts w:ascii="Calibri" w:eastAsia="Calibri" w:hAnsi="Calibri" w:cs="Calibri"/>
                <w:color w:val="000000"/>
                <w:sz w:val="22"/>
                <w:szCs w:val="22"/>
              </w:rPr>
              <w:tab/>
            </w:r>
          </w:hyperlink>
          <w:r>
            <w:fldChar w:fldCharType="begin"/>
          </w:r>
          <w:r w:rsidR="0008623F">
            <w:instrText xml:space="preserve"> PAGEREF _2et92p0 \h </w:instrText>
          </w:r>
          <w:r>
            <w:fldChar w:fldCharType="separate"/>
          </w:r>
          <w:r w:rsidR="0008623F">
            <w:rPr>
              <w:color w:val="000000"/>
            </w:rPr>
            <w:t>SARA Model</w:t>
          </w:r>
          <w:r w:rsidR="0008623F">
            <w:rPr>
              <w:color w:val="000000"/>
            </w:rPr>
            <w:tab/>
            <w:t>4</w:t>
          </w:r>
          <w:r>
            <w:fldChar w:fldCharType="end"/>
          </w:r>
        </w:p>
        <w:p w:rsidR="006605C3" w:rsidRDefault="006605C3">
          <w:pPr>
            <w:pStyle w:val="normal0"/>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tyjcwt">
            <w:r w:rsidR="0008623F">
              <w:rPr>
                <w:color w:val="000000"/>
              </w:rPr>
              <w:t>2.3</w:t>
            </w:r>
          </w:hyperlink>
          <w:hyperlink w:anchor="_tyjcwt">
            <w:r w:rsidR="0008623F">
              <w:rPr>
                <w:rFonts w:ascii="Calibri" w:eastAsia="Calibri" w:hAnsi="Calibri" w:cs="Calibri"/>
                <w:color w:val="000000"/>
                <w:sz w:val="22"/>
                <w:szCs w:val="22"/>
              </w:rPr>
              <w:tab/>
            </w:r>
          </w:hyperlink>
          <w:r>
            <w:fldChar w:fldCharType="begin"/>
          </w:r>
          <w:r w:rsidR="0008623F">
            <w:instrText xml:space="preserve"> PAGEREF _tyjcwt \h </w:instrText>
          </w:r>
          <w:r>
            <w:fldChar w:fldCharType="separate"/>
          </w:r>
          <w:r w:rsidR="0008623F">
            <w:rPr>
              <w:color w:val="000000"/>
            </w:rPr>
            <w:t>Real-life Incident and Hotspot</w:t>
          </w:r>
          <w:r w:rsidR="0008623F">
            <w:rPr>
              <w:color w:val="000000"/>
            </w:rPr>
            <w:tab/>
            <w:t>5</w:t>
          </w:r>
          <w:r>
            <w:fldChar w:fldCharType="end"/>
          </w:r>
        </w:p>
        <w:p w:rsidR="006605C3" w:rsidRDefault="006605C3">
          <w:pPr>
            <w:pStyle w:val="normal0"/>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3dy6vkm">
            <w:r w:rsidR="0008623F">
              <w:rPr>
                <w:color w:val="000000"/>
              </w:rPr>
              <w:t>2.4</w:t>
            </w:r>
          </w:hyperlink>
          <w:hyperlink w:anchor="_3dy6vkm">
            <w:r w:rsidR="0008623F">
              <w:rPr>
                <w:rFonts w:ascii="Calibri" w:eastAsia="Calibri" w:hAnsi="Calibri" w:cs="Calibri"/>
                <w:color w:val="000000"/>
                <w:sz w:val="22"/>
                <w:szCs w:val="22"/>
              </w:rPr>
              <w:tab/>
            </w:r>
          </w:hyperlink>
          <w:r>
            <w:fldChar w:fldCharType="begin"/>
          </w:r>
          <w:r w:rsidR="0008623F">
            <w:instrText xml:space="preserve"> PAGEREF _3dy6vkm \h </w:instrText>
          </w:r>
          <w:r>
            <w:fldChar w:fldCharType="separate"/>
          </w:r>
          <w:r w:rsidR="0008623F">
            <w:rPr>
              <w:color w:val="000000"/>
            </w:rPr>
            <w:t>Real-life Incident and SARA</w:t>
          </w:r>
          <w:r w:rsidR="0008623F">
            <w:rPr>
              <w:color w:val="000000"/>
            </w:rPr>
            <w:tab/>
            <w:t>6</w:t>
          </w:r>
          <w:r>
            <w:fldChar w:fldCharType="end"/>
          </w:r>
        </w:p>
        <w:p w:rsidR="006605C3" w:rsidRDefault="006605C3">
          <w:pPr>
            <w:pStyle w:val="normal0"/>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1t3h5sf">
            <w:r w:rsidR="0008623F">
              <w:rPr>
                <w:color w:val="000000"/>
              </w:rPr>
              <w:t>3</w:t>
            </w:r>
          </w:hyperlink>
          <w:hyperlink w:anchor="_1t3h5sf">
            <w:r w:rsidR="0008623F">
              <w:rPr>
                <w:rFonts w:ascii="Calibri" w:eastAsia="Calibri" w:hAnsi="Calibri" w:cs="Calibri"/>
                <w:color w:val="000000"/>
                <w:sz w:val="22"/>
                <w:szCs w:val="22"/>
              </w:rPr>
              <w:tab/>
            </w:r>
          </w:hyperlink>
          <w:r>
            <w:fldChar w:fldCharType="begin"/>
          </w:r>
          <w:r w:rsidR="0008623F">
            <w:instrText xml:space="preserve"> PAGEREF _1t3h5sf \h </w:instrText>
          </w:r>
          <w:r>
            <w:fldChar w:fldCharType="separate"/>
          </w:r>
          <w:r w:rsidR="0008623F">
            <w:rPr>
              <w:color w:val="000000"/>
            </w:rPr>
            <w:t>Conclusion</w:t>
          </w:r>
          <w:r w:rsidR="0008623F">
            <w:rPr>
              <w:color w:val="000000"/>
            </w:rPr>
            <w:tab/>
            <w:t>7</w:t>
          </w:r>
          <w:r>
            <w:fldChar w:fldCharType="end"/>
          </w:r>
        </w:p>
        <w:p w:rsidR="006605C3" w:rsidRDefault="006605C3">
          <w:pPr>
            <w:pStyle w:val="normal0"/>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4d34og8">
            <w:r w:rsidR="0008623F">
              <w:rPr>
                <w:color w:val="000000"/>
              </w:rPr>
              <w:t>4</w:t>
            </w:r>
          </w:hyperlink>
          <w:hyperlink w:anchor="_4d34og8">
            <w:r w:rsidR="0008623F">
              <w:rPr>
                <w:rFonts w:ascii="Calibri" w:eastAsia="Calibri" w:hAnsi="Calibri" w:cs="Calibri"/>
                <w:color w:val="000000"/>
                <w:sz w:val="22"/>
                <w:szCs w:val="22"/>
              </w:rPr>
              <w:tab/>
            </w:r>
          </w:hyperlink>
          <w:r>
            <w:fldChar w:fldCharType="begin"/>
          </w:r>
          <w:r w:rsidR="0008623F">
            <w:instrText xml:space="preserve"> PAGEREF _4d34og8 \h </w:instrText>
          </w:r>
          <w:r>
            <w:fldChar w:fldCharType="separate"/>
          </w:r>
          <w:r w:rsidR="0008623F">
            <w:rPr>
              <w:color w:val="000000"/>
            </w:rPr>
            <w:t>References</w:t>
          </w:r>
          <w:r w:rsidR="0008623F">
            <w:rPr>
              <w:color w:val="000000"/>
            </w:rPr>
            <w:tab/>
            <w:t>8</w:t>
          </w:r>
          <w:r>
            <w:fldChar w:fldCharType="end"/>
          </w:r>
        </w:p>
        <w:p w:rsidR="006605C3" w:rsidRDefault="006605C3">
          <w:pPr>
            <w:pStyle w:val="normal0"/>
          </w:pPr>
          <w:r>
            <w:fldChar w:fldCharType="end"/>
          </w:r>
        </w:p>
      </w:sdtContent>
    </w:sdt>
    <w:p w:rsidR="006605C3" w:rsidRDefault="0008623F">
      <w:pPr>
        <w:pStyle w:val="Heading1"/>
        <w:numPr>
          <w:ilvl w:val="0"/>
          <w:numId w:val="1"/>
        </w:numPr>
      </w:pPr>
      <w:bookmarkStart w:id="1" w:name="_30j0zll" w:colFirst="0" w:colLast="0"/>
      <w:bookmarkEnd w:id="1"/>
      <w:r>
        <w:br w:type="page"/>
      </w:r>
      <w:r>
        <w:lastRenderedPageBreak/>
        <w:t xml:space="preserve">Introduction </w:t>
      </w:r>
    </w:p>
    <w:p w:rsidR="006605C3" w:rsidRDefault="0008623F">
      <w:pPr>
        <w:pStyle w:val="normal0"/>
        <w:jc w:val="both"/>
        <w:rPr>
          <w:color w:val="000000"/>
        </w:rPr>
      </w:pPr>
      <w:r>
        <w:rPr>
          <w:color w:val="000000"/>
        </w:rPr>
        <w:t>It is a widely accepted fact that in this world, crimes have co-existed with humans as long as the first murder was committed. However, since these criminal activities put human life in danger, the people's safety in jeopardy, and a country's security in s</w:t>
      </w:r>
      <w:r>
        <w:rPr>
          <w:color w:val="000000"/>
        </w:rPr>
        <w:t xml:space="preserve">hambles, controlling them becomes next to necessary. Hence, this is where the act of policing steps in, which revolves around controlling the members of a city or an event from harmful occurrences and individuals (Meijer and </w:t>
      </w:r>
      <w:proofErr w:type="spellStart"/>
      <w:r>
        <w:rPr>
          <w:color w:val="000000"/>
        </w:rPr>
        <w:t>Wessels</w:t>
      </w:r>
      <w:proofErr w:type="spellEnd"/>
      <w:r>
        <w:rPr>
          <w:color w:val="000000"/>
        </w:rPr>
        <w:t xml:space="preserve">, 2019). Since it is an </w:t>
      </w:r>
      <w:r>
        <w:rPr>
          <w:color w:val="000000"/>
        </w:rPr>
        <w:t>important task to uphold, there are numerous policing models, and two of them are the Hotspots model and the SARA model. This essay will explain these two in the light of real-life incidents.</w:t>
      </w:r>
    </w:p>
    <w:p w:rsidR="006605C3" w:rsidRDefault="0008623F">
      <w:pPr>
        <w:pStyle w:val="Heading1"/>
        <w:numPr>
          <w:ilvl w:val="0"/>
          <w:numId w:val="1"/>
        </w:numPr>
      </w:pPr>
      <w:bookmarkStart w:id="2" w:name="_1fob9te" w:colFirst="0" w:colLast="0"/>
      <w:bookmarkEnd w:id="2"/>
      <w:r>
        <w:t>Body</w:t>
      </w:r>
    </w:p>
    <w:p w:rsidR="006605C3" w:rsidRDefault="0008623F">
      <w:pPr>
        <w:pStyle w:val="Heading2"/>
        <w:numPr>
          <w:ilvl w:val="1"/>
          <w:numId w:val="1"/>
        </w:numPr>
      </w:pPr>
      <w:bookmarkStart w:id="3" w:name="_3znysh7" w:colFirst="0" w:colLast="0"/>
      <w:bookmarkEnd w:id="3"/>
      <w:r>
        <w:t xml:space="preserve">Hotspot Model </w:t>
      </w:r>
    </w:p>
    <w:p w:rsidR="006605C3" w:rsidRDefault="0008623F">
      <w:pPr>
        <w:pStyle w:val="normal0"/>
        <w:jc w:val="both"/>
      </w:pPr>
      <w:r>
        <w:t>Firstly, one of the most popular policing mo</w:t>
      </w:r>
      <w:r>
        <w:t>dels is the Hot spots one. As it can be deduced by its name, this model encompasses a policing strategy that revolves around targeting such resources and activities of places where crime has a lot of chances to occur (</w:t>
      </w:r>
      <w:proofErr w:type="spellStart"/>
      <w:r>
        <w:t>Weisburd</w:t>
      </w:r>
      <w:proofErr w:type="spellEnd"/>
      <w:r>
        <w:t xml:space="preserve"> et al., 2017). </w:t>
      </w:r>
      <w:proofErr w:type="gramStart"/>
      <w:r>
        <w:t>In other words</w:t>
      </w:r>
      <w:r>
        <w:t>, these areas, which are referred to as 'hot spots, are small locations, like regions, subways, streets, blocks, etc., indicating that the crime is not evenly spread in a larger area.</w:t>
      </w:r>
      <w:proofErr w:type="gramEnd"/>
      <w:r>
        <w:t xml:space="preserve"> Focusing on only these hot spots allows the police to reduce crime level</w:t>
      </w:r>
      <w:r>
        <w:t>s in those specific geographic areas. Hence, it can be said that this model is popular due to its targeting and specifying features for areas where recurring crimes are the most possible (</w:t>
      </w:r>
      <w:proofErr w:type="spellStart"/>
      <w:r>
        <w:t>Weisburd</w:t>
      </w:r>
      <w:proofErr w:type="spellEnd"/>
      <w:r>
        <w:t xml:space="preserve"> and </w:t>
      </w:r>
      <w:proofErr w:type="spellStart"/>
      <w:r>
        <w:t>Telep</w:t>
      </w:r>
      <w:proofErr w:type="spellEnd"/>
      <w:r>
        <w:t>, 2014). Since it is a model, it has a set of stre</w:t>
      </w:r>
      <w:r>
        <w:t>ngths and weaknesses. For starters, the Hot spots model is popularized due to its ability to significantly reduce crimes in small, specific areas, which may not have a prominent impact on an entire country, but would still put prevention policing tactics i</w:t>
      </w:r>
      <w:r>
        <w:t xml:space="preserve">n action. Nevertheless, </w:t>
      </w:r>
      <w:proofErr w:type="gramStart"/>
      <w:r>
        <w:t>its</w:t>
      </w:r>
      <w:proofErr w:type="gramEnd"/>
      <w:r>
        <w:t xml:space="preserve"> most notable strength is that its capable of reducing crimes in a specific area, making people feel safer and allowing them to put more trust in the police because this strategy enables them to single out gun-handlers, drug traf</w:t>
      </w:r>
      <w:r>
        <w:t>fickers, and potential criminals before they get a chance to cause any harm (</w:t>
      </w:r>
      <w:proofErr w:type="spellStart"/>
      <w:r>
        <w:t>Collazos</w:t>
      </w:r>
      <w:proofErr w:type="spellEnd"/>
      <w:r>
        <w:t xml:space="preserve"> et al., 2021). Despite that, however, there are some weaknesses that make this model vulnerable. For starters, since it is focused on small areas, staffing issues are bou</w:t>
      </w:r>
      <w:r>
        <w:t xml:space="preserve">nd to arise, which leads to disruption in monitoring tasks (Rodriguez et al., 2021). Resistance from police officers, a lack of commitment to solving problems immediately, constant changes and failures in computer systems, and a lack </w:t>
      </w:r>
      <w:r>
        <w:lastRenderedPageBreak/>
        <w:t>of support from the cr</w:t>
      </w:r>
      <w:r>
        <w:t>iminal justice partner agencies are all weaknesses associated with this model.</w:t>
      </w:r>
    </w:p>
    <w:p w:rsidR="006605C3" w:rsidRDefault="0008623F">
      <w:pPr>
        <w:pStyle w:val="Heading2"/>
        <w:numPr>
          <w:ilvl w:val="1"/>
          <w:numId w:val="1"/>
        </w:numPr>
      </w:pPr>
      <w:bookmarkStart w:id="4" w:name="_2et92p0" w:colFirst="0" w:colLast="0"/>
      <w:bookmarkEnd w:id="4"/>
      <w:r>
        <w:t>SARA Model</w:t>
      </w:r>
    </w:p>
    <w:p w:rsidR="006605C3" w:rsidRDefault="0008623F">
      <w:pPr>
        <w:pStyle w:val="normal0"/>
        <w:jc w:val="both"/>
        <w:rPr>
          <w:color w:val="000000"/>
          <w:highlight w:val="white"/>
        </w:rPr>
      </w:pPr>
      <w:r>
        <w:t xml:space="preserve">Secondly, another policing model that is largely used by the investigation teams and police departments around the world is the SARA model. SARA stands for Scanning, </w:t>
      </w:r>
      <w:r>
        <w:t>Analysis, Response, and Assessment, indicating that these are the steps it consists of to reach its objectives – which is to solve problems. Hence, it can be said that the SARA model is commonly used as a problem-solving model, which is why it is a part of</w:t>
      </w:r>
      <w:r>
        <w:t xml:space="preserve"> the Problem-Oriented Policing (POP) model </w:t>
      </w:r>
      <w:r>
        <w:rPr>
          <w:color w:val="000000"/>
          <w:highlight w:val="white"/>
        </w:rPr>
        <w:t>(Hinkle et al., 2020)</w:t>
      </w:r>
      <w:r>
        <w:t>. Furthermore, details on each of its steps can be given, which would highlight what this model brings to the table. Firstly, Scanning is the first step when a team applies the SARA model. Dur</w:t>
      </w:r>
      <w:r>
        <w:t>ing this step, the involved officers identify the recurring problems that they should be concerned about because it poses a threat to the public. Hence, scanning also allows them to identify the adverse outcomes of the identified problems, why and how they</w:t>
      </w:r>
      <w:r>
        <w:t xml:space="preserve"> should prioritize those problems, develop broad objectives, confirm that the identified problems actually exist, understand how frequently those problems occur, and how they can solve it </w:t>
      </w:r>
      <w:r>
        <w:rPr>
          <w:color w:val="000000"/>
          <w:highlight w:val="white"/>
        </w:rPr>
        <w:t>(Hooper, 2014)</w:t>
      </w:r>
      <w:r>
        <w:t>. Secondly, the next step is Analysis, and as it can b</w:t>
      </w:r>
      <w:r>
        <w:t>e judged by its name, the officers analyze the identified problems and what events can make them happen in the first place. This step also consists of collecting the right data, researching and evaluating the problem's type, narrowing down the problem as b</w:t>
      </w:r>
      <w:r>
        <w:t xml:space="preserve">est as they can, and developing a hypothesis on the outcomes and the consequences </w:t>
      </w:r>
      <w:r>
        <w:rPr>
          <w:color w:val="000000"/>
          <w:highlight w:val="white"/>
        </w:rPr>
        <w:t>(Schlosser et al., 2015)</w:t>
      </w:r>
      <w:r>
        <w:t>. Then, the third step is Response. This is where the officers, after scanning and analyzing the problems, finally decide on the interventions that wi</w:t>
      </w:r>
      <w:r>
        <w:t>ll help solve them. The step also consists of carrying out the planned activities. Finally, the last step of Assessment is where the officers determine if the implementation of the plan worked out or not and how the goals they had set for solving these pro</w:t>
      </w:r>
      <w:r>
        <w:t xml:space="preserve">blems had been reached, if they ever did. Therefore, by judging its steps, it can be said that the SARA model is a convenient one because it clearly defines what needs to be done to solve a criminal case </w:t>
      </w:r>
      <w:r>
        <w:rPr>
          <w:color w:val="000000"/>
          <w:highlight w:val="white"/>
        </w:rPr>
        <w:t>(</w:t>
      </w:r>
      <w:proofErr w:type="spellStart"/>
      <w:r>
        <w:rPr>
          <w:color w:val="000000"/>
          <w:highlight w:val="white"/>
        </w:rPr>
        <w:t>Weisburd</w:t>
      </w:r>
      <w:proofErr w:type="spellEnd"/>
      <w:r>
        <w:rPr>
          <w:color w:val="000000"/>
          <w:highlight w:val="white"/>
        </w:rPr>
        <w:t xml:space="preserve"> et al., 2019)</w:t>
      </w:r>
      <w:r>
        <w:t>. This is why its strengths i</w:t>
      </w:r>
      <w:r>
        <w:t>nclude the fact that it is based around common sense and is suitable for every officer as it enables them to monitor without too much of a burden. However, the model is weak, too, at some points, because critics have noted that it tends to over simply comp</w:t>
      </w:r>
      <w:r>
        <w:t xml:space="preserve">licated </w:t>
      </w:r>
      <w:r>
        <w:lastRenderedPageBreak/>
        <w:t xml:space="preserve">crime issues, and as a result, the officers overlook the significance of an issue, but exaggerate the simple ones </w:t>
      </w:r>
      <w:r>
        <w:rPr>
          <w:color w:val="000000"/>
          <w:highlight w:val="white"/>
        </w:rPr>
        <w:t>(Schlosser et al., 2015)</w:t>
      </w:r>
      <w:r>
        <w:t>.</w:t>
      </w:r>
    </w:p>
    <w:p w:rsidR="006605C3" w:rsidRDefault="0008623F">
      <w:pPr>
        <w:pStyle w:val="Heading2"/>
        <w:numPr>
          <w:ilvl w:val="1"/>
          <w:numId w:val="1"/>
        </w:numPr>
      </w:pPr>
      <w:bookmarkStart w:id="5" w:name="_tyjcwt" w:colFirst="0" w:colLast="0"/>
      <w:bookmarkEnd w:id="5"/>
      <w:r>
        <w:t xml:space="preserve">Real-life Incident and Hotspot </w:t>
      </w:r>
    </w:p>
    <w:p w:rsidR="006605C3" w:rsidRDefault="0008623F">
      <w:pPr>
        <w:pStyle w:val="normal0"/>
        <w:jc w:val="both"/>
      </w:pPr>
      <w:r>
        <w:t>To understand the Hot spots model better, it can be applied to a real-life i</w:t>
      </w:r>
      <w:r>
        <w:t>ncident. However, it is important to note that due to its small yet significant nature, this model is used almost everywhere, especially in the US, in places where crimes are reported to have occurred repeatedly, and that can include train stations, street</w:t>
      </w:r>
      <w:r>
        <w:t xml:space="preserve">s, and blocks. To be more specific, a certain case of the Kansas City Gun Project can be cited, which took place between 1992 and 1993, and was focused on seizing guns from gun hot spots where suspicious handlers were sited (Braga et al., 2019). This case </w:t>
      </w:r>
      <w:r>
        <w:t>is a classic example of the Hot spots model in use. For starters, the experiment was held in targeted areas, or hot spots, in the city of Kansas by its police department. Since they were specifically targeting hot spots, the police put forward extra patrol</w:t>
      </w:r>
      <w:r>
        <w:t>s in gun crimes in those areas. As per protocol, these extra patrols were offered in rotation by the officers from the Central Patrol Division in a pair of two-officer cars (Youth.gov, 2022). These police officers worked from 7pm to 1pm every day, includin</w:t>
      </w:r>
      <w:r>
        <w:t>g the weekends, and had to concentrate on detecting guns in possession of passersby's and entrants of those targeted hot spots. It is evident that the Kansas Central Police Department (KCPD) would use strategies from the hot spots model to fit their approa</w:t>
      </w:r>
      <w:r>
        <w:t>ches in those targeted Kansas areas. As a result, they used three different strategies in their implementation plan to increase gun seizures and prevent potential crimes. Firstly, they went door-to-door in the targeted areas for anonymous tips. Secondly, t</w:t>
      </w:r>
      <w:r>
        <w:t>hey trained the police officers to detect which person might be carrying a gun through his or her body language. And thirdly, they had to present field interrogations in those specific hot spots. It is essential to understand here that since this experimen</w:t>
      </w:r>
      <w:r>
        <w:t xml:space="preserve">t was largely following the hot spots approach, their solutions and strategies to seize guns from suspected criminals needed to revolve around specific people who come in and go in those specific areas. </w:t>
      </w:r>
    </w:p>
    <w:p w:rsidR="006605C3" w:rsidRDefault="0008623F">
      <w:pPr>
        <w:pStyle w:val="normal0"/>
        <w:jc w:val="both"/>
      </w:pPr>
      <w:r>
        <w:t>Therefore, the experiment consisted of a safety chec</w:t>
      </w:r>
      <w:r>
        <w:t>k during traffic stops in those hot spots, which involved pulling a driver over for violating traffic rules. The officers would ask for the license, and here, their job was to see if there was a bulge in the driver’s jacket when he or she leaned over to ta</w:t>
      </w:r>
      <w:r>
        <w:t xml:space="preserve">lk to them. If the driver had guns in their positions, the officers would immediately seize them before anything disastrous could happen (Youth.gov, 2022). Next, it is </w:t>
      </w:r>
      <w:r>
        <w:lastRenderedPageBreak/>
        <w:t>also apparent that a gun bulge in plain sight would also get taken into custody immediat</w:t>
      </w:r>
      <w:r>
        <w:t>ely, and a warrant to arrest on the scene was also issued to allow the officers to seize gun-handlers on the spot. Hence, it can be noted that the Kentucky police evidently applied the Hot spots model here. Furthermore, to give a more known example, the fa</w:t>
      </w:r>
      <w:r>
        <w:t xml:space="preserve">mous case of the immortal painting, Mona Lisa, being stolen in 1911, can be mentioned. During this year, this popular </w:t>
      </w:r>
      <w:proofErr w:type="spellStart"/>
      <w:r>
        <w:t>da</w:t>
      </w:r>
      <w:proofErr w:type="spellEnd"/>
      <w:r>
        <w:t xml:space="preserve"> Vinci’s painting was stolen from the walls of its home in France, the Louvre Museum (Crime Museum, 2022). This case can be interpreted </w:t>
      </w:r>
      <w:r>
        <w:t xml:space="preserve">as an example for the Hot spots policing model because to find the Mona Lisa, the renowned museum of Paris was turned into a hot spot, because the French National Criminal Investigation Department turned the place upside down, issued patrols for the area, </w:t>
      </w:r>
      <w:r>
        <w:t>and only targeted it before proclaiming that the painting might have been lost forever, despite being found two years later. Although the museum is a huge place, coming over 49-acre land to be exact, and does not face recurring crimes, nor has potential cr</w:t>
      </w:r>
      <w:r>
        <w:t>iminals waiting for disaster to strike at any moment, it can still be considered as a hot spot because the police applied the model’s strategy to find the beloved painting, and their investigation made the huge museum look small. Therefore, by looking at t</w:t>
      </w:r>
      <w:r>
        <w:t xml:space="preserve">hese two real-life incidents, it can be noted that the Hot Spot model proves to be convenient for police and investigators as it does not need them to search everywhere, and rather just stay on guard at a specific area, thus allowing </w:t>
      </w:r>
      <w:proofErr w:type="gramStart"/>
      <w:r>
        <w:t>themselves</w:t>
      </w:r>
      <w:proofErr w:type="gramEnd"/>
      <w:r>
        <w:t xml:space="preserve"> to catch th</w:t>
      </w:r>
      <w:r>
        <w:t>e criminal or prevent crimes like shooting from occurring.</w:t>
      </w:r>
    </w:p>
    <w:p w:rsidR="006605C3" w:rsidRDefault="0008623F">
      <w:pPr>
        <w:pStyle w:val="Heading2"/>
        <w:numPr>
          <w:ilvl w:val="1"/>
          <w:numId w:val="1"/>
        </w:numPr>
      </w:pPr>
      <w:bookmarkStart w:id="6" w:name="_3dy6vkm" w:colFirst="0" w:colLast="0"/>
      <w:bookmarkEnd w:id="6"/>
      <w:r>
        <w:t xml:space="preserve">Real-life Incident and SARA </w:t>
      </w:r>
    </w:p>
    <w:p w:rsidR="006605C3" w:rsidRDefault="0008623F">
      <w:pPr>
        <w:pStyle w:val="normal0"/>
        <w:jc w:val="both"/>
        <w:rPr>
          <w:highlight w:val="white"/>
        </w:rPr>
      </w:pPr>
      <w:r>
        <w:t>Just as it was with the Hot spots model, the SARA model of policing also has real-life incidents that can be touched upon for its better elucidation. It is important to</w:t>
      </w:r>
      <w:r>
        <w:t xml:space="preserve"> note here that this model is not only used for criminal activities, and can also be used to keep things under control, especially during an uncertain time where people do not know what to think or how to act due to sudden changes overlapping each other in</w:t>
      </w:r>
      <w:r>
        <w:t xml:space="preserve"> their lives. Evidently, such a time is the COVID-19 pandemic, which recently took the world by storm as the novel virus spread nation to nation and spread absolute chaos everywhere. Hence, during such a time, people are bound to get out of control, especi</w:t>
      </w:r>
      <w:r>
        <w:t xml:space="preserve">ally in hospitals when their loved ones are admitted after contracting </w:t>
      </w:r>
      <w:proofErr w:type="spellStart"/>
      <w:r>
        <w:t>Coronavirus</w:t>
      </w:r>
      <w:proofErr w:type="spellEnd"/>
      <w:r>
        <w:t xml:space="preserve"> in their beings. To keep an upper hand on such people, hospitals frequently used the SARA model, where they scanned, analyzed, responded to, and assessed the problems at han</w:t>
      </w:r>
      <w:r>
        <w:t xml:space="preserve">d (Grace, 2020). Incidents of patients’ families wanting to barge in the ICUs are numerous, and the hospital staff </w:t>
      </w:r>
      <w:r>
        <w:lastRenderedPageBreak/>
        <w:t xml:space="preserve">identified the problem, and solved them on the spot with the help of this model. Furthermore, another incident can be mentioned here, too. A </w:t>
      </w:r>
      <w:r>
        <w:t xml:space="preserve">report indicated that during this time, a man was arrested after refusing to move when an officer asked him to, simply because he wanted to know if the officer had arrested his friend </w:t>
      </w:r>
      <w:r>
        <w:rPr>
          <w:highlight w:val="white"/>
        </w:rPr>
        <w:t>(Burton and McGregor, 2018)</w:t>
      </w:r>
      <w:r>
        <w:t>. Scanning the problem led the officer to ide</w:t>
      </w:r>
      <w:r>
        <w:t>ntify it – an abusive man who would not follow protocol due to his hot-headedness, which also comes in analyzing the problem. The officer's response was arresting the offender on the spot and escorting him to the station. His assessment occurred when the m</w:t>
      </w:r>
      <w:r>
        <w:t>an started acting friendly instead of feeling remorse from sitting in a police station with handcuffs. Although such cases might have happened millions of times around the world, a part of it is worth noting here because the officer's quick thinking indica</w:t>
      </w:r>
      <w:r>
        <w:t>ted that he was using the SARA model. Hence, it can be said that this SARA model is convenient for officers, especially those ones that are in a tight spot, like facing an abusive and angry citizen or a mob of crowd wanting to see their loved ones in the h</w:t>
      </w:r>
      <w:r>
        <w:t>ospital.</w:t>
      </w:r>
    </w:p>
    <w:p w:rsidR="006605C3" w:rsidRDefault="0008623F">
      <w:pPr>
        <w:pStyle w:val="Heading1"/>
        <w:numPr>
          <w:ilvl w:val="0"/>
          <w:numId w:val="1"/>
        </w:numPr>
      </w:pPr>
      <w:bookmarkStart w:id="7" w:name="_1t3h5sf" w:colFirst="0" w:colLast="0"/>
      <w:bookmarkEnd w:id="7"/>
      <w:r>
        <w:t xml:space="preserve"> Conclusion</w:t>
      </w:r>
    </w:p>
    <w:p w:rsidR="006605C3" w:rsidRDefault="0008623F">
      <w:pPr>
        <w:pStyle w:val="normal0"/>
        <w:jc w:val="both"/>
      </w:pPr>
      <w:r>
        <w:t>In conclusion, it can be seen how important policing models, like the Hot spots and SARA models, are for the world. The essay highlighted each model with the help of real-life incidents, thus indicating how significant their implementa</w:t>
      </w:r>
      <w:r>
        <w:t>tion can prove to be, for it allows prevention of gun crimes and solves problems quickly at hand.</w:t>
      </w: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6605C3">
      <w:pPr>
        <w:pStyle w:val="normal0"/>
      </w:pPr>
    </w:p>
    <w:p w:rsidR="006605C3" w:rsidRDefault="0008623F">
      <w:pPr>
        <w:pStyle w:val="normal0"/>
        <w:spacing w:before="0" w:after="160" w:line="259" w:lineRule="auto"/>
        <w:rPr>
          <w:b/>
          <w:sz w:val="28"/>
          <w:szCs w:val="28"/>
        </w:rPr>
      </w:pPr>
      <w:bookmarkStart w:id="8" w:name="_4d34og8" w:colFirst="0" w:colLast="0"/>
      <w:bookmarkEnd w:id="8"/>
      <w:r>
        <w:br w:type="page"/>
      </w:r>
    </w:p>
    <w:p w:rsidR="006605C3" w:rsidRDefault="0008623F">
      <w:pPr>
        <w:pStyle w:val="Heading1"/>
        <w:numPr>
          <w:ilvl w:val="0"/>
          <w:numId w:val="1"/>
        </w:numPr>
      </w:pPr>
      <w:r>
        <w:lastRenderedPageBreak/>
        <w:t>References</w:t>
      </w:r>
    </w:p>
    <w:p w:rsidR="006605C3" w:rsidRDefault="0008623F">
      <w:pPr>
        <w:pStyle w:val="normal0"/>
        <w:ind w:left="720" w:hanging="720"/>
        <w:jc w:val="both"/>
        <w:rPr>
          <w:color w:val="000000"/>
          <w:highlight w:val="white"/>
        </w:rPr>
      </w:pPr>
      <w:r>
        <w:rPr>
          <w:color w:val="000000"/>
          <w:highlight w:val="white"/>
        </w:rPr>
        <w:t xml:space="preserve">Braga, A.A., </w:t>
      </w:r>
      <w:proofErr w:type="spellStart"/>
      <w:r>
        <w:rPr>
          <w:color w:val="000000"/>
          <w:highlight w:val="white"/>
        </w:rPr>
        <w:t>Turchan</w:t>
      </w:r>
      <w:proofErr w:type="spellEnd"/>
      <w:r>
        <w:rPr>
          <w:color w:val="000000"/>
          <w:highlight w:val="white"/>
        </w:rPr>
        <w:t xml:space="preserve">, B., </w:t>
      </w:r>
      <w:proofErr w:type="spellStart"/>
      <w:r>
        <w:rPr>
          <w:color w:val="000000"/>
          <w:highlight w:val="white"/>
        </w:rPr>
        <w:t>Papachristos</w:t>
      </w:r>
      <w:proofErr w:type="spellEnd"/>
      <w:r>
        <w:rPr>
          <w:color w:val="000000"/>
          <w:highlight w:val="white"/>
        </w:rPr>
        <w:t xml:space="preserve">, A.V. and </w:t>
      </w:r>
      <w:proofErr w:type="spellStart"/>
      <w:r>
        <w:rPr>
          <w:color w:val="000000"/>
          <w:highlight w:val="white"/>
        </w:rPr>
        <w:t>Hureau</w:t>
      </w:r>
      <w:proofErr w:type="spellEnd"/>
      <w:r>
        <w:rPr>
          <w:color w:val="000000"/>
          <w:highlight w:val="white"/>
        </w:rPr>
        <w:t xml:space="preserve">, D.M., 2019. </w:t>
      </w:r>
      <w:proofErr w:type="gramStart"/>
      <w:r>
        <w:rPr>
          <w:color w:val="000000"/>
          <w:highlight w:val="white"/>
        </w:rPr>
        <w:t>Hot spots policing of small geographic areas effects on crime.</w:t>
      </w:r>
      <w:proofErr w:type="gramEnd"/>
      <w:r>
        <w:rPr>
          <w:color w:val="000000"/>
          <w:highlight w:val="white"/>
        </w:rPr>
        <w:t> </w:t>
      </w:r>
      <w:r>
        <w:rPr>
          <w:i/>
          <w:color w:val="000000"/>
          <w:highlight w:val="white"/>
        </w:rPr>
        <w:t>Campbell Systematic Reviews</w:t>
      </w:r>
      <w:r>
        <w:rPr>
          <w:color w:val="000000"/>
          <w:highlight w:val="white"/>
        </w:rPr>
        <w:t>, </w:t>
      </w:r>
      <w:r>
        <w:rPr>
          <w:i/>
          <w:color w:val="000000"/>
          <w:highlight w:val="white"/>
        </w:rPr>
        <w:t>15</w:t>
      </w:r>
      <w:r>
        <w:rPr>
          <w:color w:val="000000"/>
          <w:highlight w:val="white"/>
        </w:rPr>
        <w:t>(3), p.e1046.</w:t>
      </w:r>
    </w:p>
    <w:p w:rsidR="006605C3" w:rsidRDefault="0008623F">
      <w:pPr>
        <w:pStyle w:val="normal0"/>
        <w:ind w:left="720" w:hanging="720"/>
        <w:jc w:val="both"/>
        <w:rPr>
          <w:color w:val="000000"/>
          <w:highlight w:val="white"/>
        </w:rPr>
      </w:pPr>
      <w:proofErr w:type="gramStart"/>
      <w:r>
        <w:rPr>
          <w:color w:val="000000"/>
          <w:highlight w:val="white"/>
        </w:rPr>
        <w:t>Burton, S. and McGregor, M., 2018.</w:t>
      </w:r>
      <w:proofErr w:type="gramEnd"/>
      <w:r>
        <w:rPr>
          <w:color w:val="000000"/>
          <w:highlight w:val="white"/>
        </w:rPr>
        <w:t xml:space="preserve"> </w:t>
      </w:r>
      <w:proofErr w:type="gramStart"/>
      <w:r>
        <w:rPr>
          <w:color w:val="000000"/>
          <w:highlight w:val="white"/>
        </w:rPr>
        <w:t>Enhancing SARA: a new approach in an increasingly complex world.</w:t>
      </w:r>
      <w:proofErr w:type="gramEnd"/>
      <w:r>
        <w:rPr>
          <w:color w:val="000000"/>
          <w:highlight w:val="white"/>
        </w:rPr>
        <w:t> </w:t>
      </w:r>
      <w:proofErr w:type="gramStart"/>
      <w:r>
        <w:rPr>
          <w:i/>
          <w:color w:val="000000"/>
          <w:highlight w:val="white"/>
        </w:rPr>
        <w:t>Crime Science</w:t>
      </w:r>
      <w:r>
        <w:rPr>
          <w:color w:val="000000"/>
          <w:highlight w:val="white"/>
        </w:rPr>
        <w:t>, </w:t>
      </w:r>
      <w:r>
        <w:rPr>
          <w:i/>
          <w:color w:val="000000"/>
          <w:highlight w:val="white"/>
        </w:rPr>
        <w:t>7</w:t>
      </w:r>
      <w:r>
        <w:rPr>
          <w:color w:val="000000"/>
          <w:highlight w:val="white"/>
        </w:rPr>
        <w:t>(1), pp.1-5.</w:t>
      </w:r>
      <w:proofErr w:type="gramEnd"/>
    </w:p>
    <w:p w:rsidR="006605C3" w:rsidRDefault="0008623F">
      <w:pPr>
        <w:pStyle w:val="normal0"/>
        <w:ind w:left="720" w:hanging="720"/>
        <w:jc w:val="both"/>
        <w:rPr>
          <w:color w:val="000000"/>
        </w:rPr>
      </w:pPr>
      <w:proofErr w:type="spellStart"/>
      <w:r>
        <w:rPr>
          <w:color w:val="000000"/>
          <w:highlight w:val="white"/>
        </w:rPr>
        <w:t>Collazos</w:t>
      </w:r>
      <w:proofErr w:type="spellEnd"/>
      <w:r>
        <w:rPr>
          <w:color w:val="000000"/>
          <w:highlight w:val="white"/>
        </w:rPr>
        <w:t xml:space="preserve">, D., </w:t>
      </w:r>
      <w:proofErr w:type="spellStart"/>
      <w:r>
        <w:rPr>
          <w:color w:val="000000"/>
          <w:highlight w:val="white"/>
        </w:rPr>
        <w:t>García</w:t>
      </w:r>
      <w:proofErr w:type="spellEnd"/>
      <w:r>
        <w:rPr>
          <w:color w:val="000000"/>
          <w:highlight w:val="white"/>
        </w:rPr>
        <w:t xml:space="preserve">, E., </w:t>
      </w:r>
      <w:proofErr w:type="spellStart"/>
      <w:r>
        <w:rPr>
          <w:color w:val="000000"/>
          <w:highlight w:val="white"/>
        </w:rPr>
        <w:t>Mejía</w:t>
      </w:r>
      <w:proofErr w:type="spellEnd"/>
      <w:r>
        <w:rPr>
          <w:color w:val="000000"/>
          <w:highlight w:val="white"/>
        </w:rPr>
        <w:t xml:space="preserve">, D., Ortega, D. and </w:t>
      </w:r>
      <w:proofErr w:type="spellStart"/>
      <w:r>
        <w:rPr>
          <w:color w:val="000000"/>
          <w:highlight w:val="white"/>
        </w:rPr>
        <w:t>Tobón</w:t>
      </w:r>
      <w:proofErr w:type="spellEnd"/>
      <w:r>
        <w:rPr>
          <w:color w:val="000000"/>
          <w:highlight w:val="white"/>
        </w:rPr>
        <w:t>, S., 2021. Hot spots pol</w:t>
      </w:r>
      <w:r>
        <w:rPr>
          <w:color w:val="000000"/>
          <w:highlight w:val="white"/>
        </w:rPr>
        <w:t>icing in a high-crime environment: An experimental evaluation in Medellin. </w:t>
      </w:r>
      <w:proofErr w:type="gramStart"/>
      <w:r>
        <w:rPr>
          <w:i/>
          <w:color w:val="000000"/>
          <w:highlight w:val="white"/>
        </w:rPr>
        <w:t>Journal of Experimental Criminology</w:t>
      </w:r>
      <w:r>
        <w:rPr>
          <w:color w:val="000000"/>
          <w:highlight w:val="white"/>
        </w:rPr>
        <w:t>, </w:t>
      </w:r>
      <w:r>
        <w:rPr>
          <w:i/>
          <w:color w:val="000000"/>
          <w:highlight w:val="white"/>
        </w:rPr>
        <w:t>17</w:t>
      </w:r>
      <w:r>
        <w:rPr>
          <w:color w:val="000000"/>
          <w:highlight w:val="white"/>
        </w:rPr>
        <w:t>(3), pp.473-506.</w:t>
      </w:r>
      <w:proofErr w:type="gramEnd"/>
    </w:p>
    <w:p w:rsidR="006605C3" w:rsidRDefault="0008623F">
      <w:pPr>
        <w:pStyle w:val="normal0"/>
        <w:ind w:left="720" w:hanging="720"/>
        <w:jc w:val="both"/>
        <w:rPr>
          <w:color w:val="000000"/>
          <w:highlight w:val="white"/>
        </w:rPr>
      </w:pPr>
      <w:proofErr w:type="gramStart"/>
      <w:r>
        <w:rPr>
          <w:color w:val="000000"/>
          <w:highlight w:val="white"/>
        </w:rPr>
        <w:t>Crime Museum.</w:t>
      </w:r>
      <w:proofErr w:type="gramEnd"/>
      <w:r>
        <w:rPr>
          <w:color w:val="000000"/>
          <w:highlight w:val="white"/>
        </w:rPr>
        <w:t xml:space="preserve"> </w:t>
      </w:r>
      <w:proofErr w:type="gramStart"/>
      <w:r>
        <w:rPr>
          <w:color w:val="000000"/>
          <w:highlight w:val="white"/>
        </w:rPr>
        <w:t>2022. </w:t>
      </w:r>
      <w:r>
        <w:rPr>
          <w:i/>
          <w:color w:val="000000"/>
          <w:highlight w:val="white"/>
        </w:rPr>
        <w:t xml:space="preserve">Leonardo </w:t>
      </w:r>
      <w:proofErr w:type="spellStart"/>
      <w:r>
        <w:rPr>
          <w:i/>
          <w:color w:val="000000"/>
          <w:highlight w:val="white"/>
        </w:rPr>
        <w:t>da</w:t>
      </w:r>
      <w:proofErr w:type="spellEnd"/>
      <w:r>
        <w:rPr>
          <w:i/>
          <w:color w:val="000000"/>
          <w:highlight w:val="white"/>
        </w:rPr>
        <w:t xml:space="preserve"> Vinci’s Mona Lisa - Crime Museum</w:t>
      </w:r>
      <w:r>
        <w:rPr>
          <w:color w:val="000000"/>
          <w:highlight w:val="white"/>
        </w:rPr>
        <w:t>.</w:t>
      </w:r>
      <w:proofErr w:type="gramEnd"/>
      <w:r>
        <w:rPr>
          <w:color w:val="000000"/>
          <w:highlight w:val="white"/>
        </w:rPr>
        <w:t xml:space="preserve"> [</w:t>
      </w:r>
      <w:proofErr w:type="gramStart"/>
      <w:r>
        <w:rPr>
          <w:color w:val="000000"/>
          <w:highlight w:val="white"/>
        </w:rPr>
        <w:t>online</w:t>
      </w:r>
      <w:proofErr w:type="gramEnd"/>
      <w:r>
        <w:rPr>
          <w:color w:val="000000"/>
          <w:highlight w:val="white"/>
        </w:rPr>
        <w:t>] Available at: &lt;https://www.crimemuseum.org/crime-l</w:t>
      </w:r>
      <w:r>
        <w:rPr>
          <w:color w:val="000000"/>
          <w:highlight w:val="white"/>
        </w:rPr>
        <w:t>ibrary/robberies/leonardo-da-vinci-mona-lisa-theft/&gt; [Accessed 8 June 2022].</w:t>
      </w:r>
    </w:p>
    <w:p w:rsidR="006605C3" w:rsidRDefault="0008623F">
      <w:pPr>
        <w:pStyle w:val="normal0"/>
        <w:ind w:left="720" w:hanging="720"/>
        <w:jc w:val="both"/>
        <w:rPr>
          <w:color w:val="000000"/>
          <w:highlight w:val="white"/>
        </w:rPr>
      </w:pPr>
      <w:proofErr w:type="gramStart"/>
      <w:r>
        <w:rPr>
          <w:color w:val="000000"/>
          <w:highlight w:val="white"/>
        </w:rPr>
        <w:t>Grace, S., 2020.</w:t>
      </w:r>
      <w:proofErr w:type="gramEnd"/>
      <w:r>
        <w:rPr>
          <w:color w:val="000000"/>
          <w:highlight w:val="white"/>
        </w:rPr>
        <w:t xml:space="preserve"> </w:t>
      </w:r>
      <w:proofErr w:type="gramStart"/>
      <w:r>
        <w:rPr>
          <w:color w:val="000000"/>
          <w:highlight w:val="white"/>
        </w:rPr>
        <w:t xml:space="preserve">Policing social distancing: gaining and maintaining compliance in the age of </w:t>
      </w:r>
      <w:proofErr w:type="spellStart"/>
      <w:r>
        <w:rPr>
          <w:color w:val="000000"/>
          <w:highlight w:val="white"/>
        </w:rPr>
        <w:t>coronavirus</w:t>
      </w:r>
      <w:proofErr w:type="spellEnd"/>
      <w:r>
        <w:rPr>
          <w:color w:val="000000"/>
          <w:highlight w:val="white"/>
        </w:rPr>
        <w:t>.</w:t>
      </w:r>
      <w:proofErr w:type="gramEnd"/>
      <w:r>
        <w:rPr>
          <w:color w:val="000000"/>
          <w:highlight w:val="white"/>
        </w:rPr>
        <w:t> </w:t>
      </w:r>
      <w:r>
        <w:rPr>
          <w:i/>
          <w:color w:val="000000"/>
          <w:highlight w:val="white"/>
        </w:rPr>
        <w:t>Policing: A Journal of Policy and Practice</w:t>
      </w:r>
      <w:r>
        <w:rPr>
          <w:color w:val="000000"/>
          <w:highlight w:val="white"/>
        </w:rPr>
        <w:t>, </w:t>
      </w:r>
      <w:r>
        <w:rPr>
          <w:i/>
          <w:color w:val="000000"/>
          <w:highlight w:val="white"/>
        </w:rPr>
        <w:t>14</w:t>
      </w:r>
      <w:r>
        <w:rPr>
          <w:color w:val="000000"/>
          <w:highlight w:val="white"/>
        </w:rPr>
        <w:t>(4), pp.1034-1053.</w:t>
      </w:r>
    </w:p>
    <w:p w:rsidR="006605C3" w:rsidRDefault="0008623F">
      <w:pPr>
        <w:pStyle w:val="normal0"/>
        <w:ind w:left="720" w:hanging="720"/>
        <w:jc w:val="both"/>
        <w:rPr>
          <w:color w:val="000000"/>
          <w:highlight w:val="white"/>
        </w:rPr>
      </w:pPr>
      <w:r>
        <w:rPr>
          <w:color w:val="000000"/>
          <w:highlight w:val="white"/>
        </w:rPr>
        <w:t xml:space="preserve">Hinkle, J.C., </w:t>
      </w:r>
      <w:proofErr w:type="spellStart"/>
      <w:r>
        <w:rPr>
          <w:color w:val="000000"/>
          <w:highlight w:val="white"/>
        </w:rPr>
        <w:t>Weisburd</w:t>
      </w:r>
      <w:proofErr w:type="spellEnd"/>
      <w:r>
        <w:rPr>
          <w:color w:val="000000"/>
          <w:highlight w:val="white"/>
        </w:rPr>
        <w:t xml:space="preserve">, D., </w:t>
      </w:r>
      <w:proofErr w:type="spellStart"/>
      <w:r>
        <w:rPr>
          <w:color w:val="000000"/>
          <w:highlight w:val="white"/>
        </w:rPr>
        <w:t>Telep</w:t>
      </w:r>
      <w:proofErr w:type="spellEnd"/>
      <w:r>
        <w:rPr>
          <w:color w:val="000000"/>
          <w:highlight w:val="white"/>
        </w:rPr>
        <w:t>, C.W. and Petersen, K., 2020. Problem</w:t>
      </w:r>
      <w:r>
        <w:rPr>
          <w:rFonts w:ascii="Cambria Math" w:eastAsia="Cambria Math" w:hAnsi="Cambria Math" w:cs="Cambria Math"/>
          <w:color w:val="000000"/>
          <w:highlight w:val="white"/>
        </w:rPr>
        <w:t>‐</w:t>
      </w:r>
      <w:r>
        <w:rPr>
          <w:color w:val="000000"/>
          <w:highlight w:val="white"/>
        </w:rPr>
        <w:t>oriented policing for reducing crime and disorder: An updated systematic review and meta</w:t>
      </w:r>
      <w:r>
        <w:rPr>
          <w:rFonts w:ascii="Cambria Math" w:eastAsia="Cambria Math" w:hAnsi="Cambria Math" w:cs="Cambria Math"/>
          <w:color w:val="000000"/>
          <w:highlight w:val="white"/>
        </w:rPr>
        <w:t>‐</w:t>
      </w:r>
      <w:r>
        <w:rPr>
          <w:color w:val="000000"/>
          <w:highlight w:val="white"/>
        </w:rPr>
        <w:t>analysis. </w:t>
      </w:r>
      <w:r>
        <w:rPr>
          <w:i/>
          <w:color w:val="000000"/>
          <w:highlight w:val="white"/>
        </w:rPr>
        <w:t>Campbell systematic reviews</w:t>
      </w:r>
      <w:r>
        <w:rPr>
          <w:color w:val="000000"/>
          <w:highlight w:val="white"/>
        </w:rPr>
        <w:t>, </w:t>
      </w:r>
      <w:r>
        <w:rPr>
          <w:i/>
          <w:color w:val="000000"/>
          <w:highlight w:val="white"/>
        </w:rPr>
        <w:t>16</w:t>
      </w:r>
      <w:r>
        <w:rPr>
          <w:color w:val="000000"/>
          <w:highlight w:val="white"/>
        </w:rPr>
        <w:t>(2), p.e1089.</w:t>
      </w:r>
    </w:p>
    <w:p w:rsidR="006605C3" w:rsidRDefault="0008623F">
      <w:pPr>
        <w:pStyle w:val="normal0"/>
        <w:ind w:left="720" w:hanging="720"/>
        <w:jc w:val="both"/>
        <w:rPr>
          <w:color w:val="000000"/>
          <w:highlight w:val="white"/>
        </w:rPr>
      </w:pPr>
      <w:proofErr w:type="gramStart"/>
      <w:r>
        <w:rPr>
          <w:color w:val="000000"/>
          <w:highlight w:val="white"/>
        </w:rPr>
        <w:t>Hooper, M.K., 2014.</w:t>
      </w:r>
      <w:proofErr w:type="gramEnd"/>
      <w:r>
        <w:rPr>
          <w:color w:val="000000"/>
          <w:highlight w:val="white"/>
        </w:rPr>
        <w:t xml:space="preserve"> </w:t>
      </w:r>
      <w:proofErr w:type="gramStart"/>
      <w:r>
        <w:rPr>
          <w:color w:val="000000"/>
          <w:highlight w:val="white"/>
        </w:rPr>
        <w:t>Acknowledging the ex</w:t>
      </w:r>
      <w:r>
        <w:rPr>
          <w:color w:val="000000"/>
          <w:highlight w:val="white"/>
        </w:rPr>
        <w:t>istence of a fourth era of policing: The information era.</w:t>
      </w:r>
      <w:proofErr w:type="gramEnd"/>
      <w:r>
        <w:rPr>
          <w:color w:val="000000"/>
          <w:highlight w:val="white"/>
        </w:rPr>
        <w:t xml:space="preserve"> </w:t>
      </w:r>
      <w:proofErr w:type="gramStart"/>
      <w:r>
        <w:rPr>
          <w:i/>
          <w:color w:val="000000"/>
          <w:highlight w:val="white"/>
        </w:rPr>
        <w:t>Journal of Forensic Research and Crime Studies</w:t>
      </w:r>
      <w:r>
        <w:rPr>
          <w:color w:val="000000"/>
          <w:highlight w:val="white"/>
        </w:rPr>
        <w:t>, </w:t>
      </w:r>
      <w:r>
        <w:rPr>
          <w:i/>
          <w:color w:val="000000"/>
          <w:highlight w:val="white"/>
        </w:rPr>
        <w:t>1</w:t>
      </w:r>
      <w:r>
        <w:rPr>
          <w:color w:val="000000"/>
          <w:highlight w:val="white"/>
        </w:rPr>
        <w:t>, pp.1-4.</w:t>
      </w:r>
      <w:proofErr w:type="gramEnd"/>
    </w:p>
    <w:p w:rsidR="006605C3" w:rsidRDefault="0008623F">
      <w:pPr>
        <w:pStyle w:val="normal0"/>
        <w:ind w:left="720" w:hanging="720"/>
        <w:jc w:val="both"/>
        <w:rPr>
          <w:color w:val="000000"/>
          <w:highlight w:val="white"/>
        </w:rPr>
      </w:pPr>
      <w:proofErr w:type="gramStart"/>
      <w:r>
        <w:rPr>
          <w:highlight w:val="white"/>
        </w:rPr>
        <w:t xml:space="preserve">Meijer, A. and </w:t>
      </w:r>
      <w:proofErr w:type="spellStart"/>
      <w:r>
        <w:rPr>
          <w:highlight w:val="white"/>
        </w:rPr>
        <w:t>Wessels</w:t>
      </w:r>
      <w:proofErr w:type="spellEnd"/>
      <w:r>
        <w:rPr>
          <w:highlight w:val="white"/>
        </w:rPr>
        <w:t>, M., 2019.</w:t>
      </w:r>
      <w:proofErr w:type="gramEnd"/>
      <w:r>
        <w:rPr>
          <w:highlight w:val="white"/>
        </w:rPr>
        <w:t xml:space="preserve"> Predictive policing: Review of benefits and drawbacks. </w:t>
      </w:r>
      <w:proofErr w:type="gramStart"/>
      <w:r>
        <w:rPr>
          <w:i/>
          <w:highlight w:val="white"/>
        </w:rPr>
        <w:t>International Journal of Public Administration</w:t>
      </w:r>
      <w:r>
        <w:rPr>
          <w:highlight w:val="white"/>
        </w:rPr>
        <w:t>, </w:t>
      </w:r>
      <w:r>
        <w:rPr>
          <w:i/>
          <w:highlight w:val="white"/>
        </w:rPr>
        <w:t>42</w:t>
      </w:r>
      <w:r>
        <w:rPr>
          <w:highlight w:val="white"/>
        </w:rPr>
        <w:t>(12), pp.1031-1039.</w:t>
      </w:r>
      <w:proofErr w:type="gramEnd"/>
    </w:p>
    <w:p w:rsidR="006605C3" w:rsidRDefault="0008623F">
      <w:pPr>
        <w:pStyle w:val="normal0"/>
        <w:ind w:left="720" w:hanging="720"/>
        <w:jc w:val="both"/>
        <w:rPr>
          <w:color w:val="000000"/>
        </w:rPr>
      </w:pPr>
      <w:proofErr w:type="spellStart"/>
      <w:r>
        <w:rPr>
          <w:color w:val="000000"/>
          <w:highlight w:val="white"/>
        </w:rPr>
        <w:t>Rodríguez</w:t>
      </w:r>
      <w:proofErr w:type="spellEnd"/>
      <w:r>
        <w:rPr>
          <w:color w:val="000000"/>
          <w:highlight w:val="white"/>
        </w:rPr>
        <w:t>, N., Wang, Q. and Zhang, L., 2021. Understanding the Effects of On-and Off-Hotspot Policing: Evidence of Hotspot, Oscillating, and Chaotic Activities. </w:t>
      </w:r>
      <w:r>
        <w:rPr>
          <w:i/>
          <w:color w:val="000000"/>
          <w:highlight w:val="white"/>
        </w:rPr>
        <w:t xml:space="preserve">SIAM Journal </w:t>
      </w:r>
      <w:proofErr w:type="gramStart"/>
      <w:r>
        <w:rPr>
          <w:i/>
          <w:color w:val="000000"/>
          <w:highlight w:val="white"/>
        </w:rPr>
        <w:t>On</w:t>
      </w:r>
      <w:proofErr w:type="gramEnd"/>
      <w:r>
        <w:rPr>
          <w:i/>
          <w:color w:val="000000"/>
          <w:highlight w:val="white"/>
        </w:rPr>
        <w:t xml:space="preserve"> Applied Dynamical Systems</w:t>
      </w:r>
      <w:r>
        <w:rPr>
          <w:color w:val="000000"/>
          <w:highlight w:val="white"/>
        </w:rPr>
        <w:t>, </w:t>
      </w:r>
      <w:r>
        <w:rPr>
          <w:i/>
          <w:color w:val="000000"/>
          <w:highlight w:val="white"/>
        </w:rPr>
        <w:t>20</w:t>
      </w:r>
      <w:r>
        <w:rPr>
          <w:color w:val="000000"/>
          <w:highlight w:val="white"/>
        </w:rPr>
        <w:t>(4), pp.1882-1916.</w:t>
      </w:r>
    </w:p>
    <w:p w:rsidR="006605C3" w:rsidRDefault="0008623F">
      <w:pPr>
        <w:pStyle w:val="normal0"/>
        <w:ind w:left="720" w:hanging="720"/>
        <w:jc w:val="both"/>
        <w:rPr>
          <w:color w:val="000000"/>
          <w:highlight w:val="white"/>
        </w:rPr>
      </w:pPr>
      <w:proofErr w:type="gramStart"/>
      <w:r>
        <w:rPr>
          <w:color w:val="000000"/>
          <w:highlight w:val="white"/>
        </w:rPr>
        <w:t>Schlosser,</w:t>
      </w:r>
      <w:r>
        <w:rPr>
          <w:color w:val="000000"/>
          <w:highlight w:val="white"/>
        </w:rPr>
        <w:t xml:space="preserve"> M.D., Cha-</w:t>
      </w:r>
      <w:proofErr w:type="spellStart"/>
      <w:r>
        <w:rPr>
          <w:color w:val="000000"/>
          <w:highlight w:val="white"/>
        </w:rPr>
        <w:t>Jua</w:t>
      </w:r>
      <w:proofErr w:type="spellEnd"/>
      <w:r>
        <w:rPr>
          <w:color w:val="000000"/>
          <w:highlight w:val="white"/>
        </w:rPr>
        <w:t xml:space="preserve">, S., </w:t>
      </w:r>
      <w:proofErr w:type="spellStart"/>
      <w:r>
        <w:rPr>
          <w:color w:val="000000"/>
          <w:highlight w:val="white"/>
        </w:rPr>
        <w:t>Valgoi</w:t>
      </w:r>
      <w:proofErr w:type="spellEnd"/>
      <w:r>
        <w:rPr>
          <w:color w:val="000000"/>
          <w:highlight w:val="white"/>
        </w:rPr>
        <w:t>, M.J. and Neville, H.A., 2015.</w:t>
      </w:r>
      <w:proofErr w:type="gramEnd"/>
      <w:r>
        <w:rPr>
          <w:color w:val="000000"/>
          <w:highlight w:val="white"/>
        </w:rPr>
        <w:t xml:space="preserve"> </w:t>
      </w:r>
      <w:proofErr w:type="gramStart"/>
      <w:r>
        <w:rPr>
          <w:color w:val="000000"/>
          <w:highlight w:val="white"/>
        </w:rPr>
        <w:t>Improving policing in a multiracial society in the United States: A new approach.</w:t>
      </w:r>
      <w:proofErr w:type="gramEnd"/>
      <w:r>
        <w:rPr>
          <w:color w:val="000000"/>
          <w:highlight w:val="white"/>
        </w:rPr>
        <w:t> </w:t>
      </w:r>
      <w:r>
        <w:rPr>
          <w:i/>
          <w:color w:val="000000"/>
          <w:highlight w:val="white"/>
        </w:rPr>
        <w:t>International Journal of criminal justice sciences</w:t>
      </w:r>
      <w:r>
        <w:rPr>
          <w:color w:val="000000"/>
          <w:highlight w:val="white"/>
        </w:rPr>
        <w:t>, </w:t>
      </w:r>
      <w:r>
        <w:rPr>
          <w:i/>
          <w:color w:val="000000"/>
          <w:highlight w:val="white"/>
        </w:rPr>
        <w:t>10</w:t>
      </w:r>
      <w:r>
        <w:rPr>
          <w:color w:val="000000"/>
          <w:highlight w:val="white"/>
        </w:rPr>
        <w:t>(1), p.115.</w:t>
      </w:r>
    </w:p>
    <w:p w:rsidR="006605C3" w:rsidRDefault="0008623F">
      <w:pPr>
        <w:pStyle w:val="normal0"/>
        <w:ind w:left="720" w:hanging="720"/>
        <w:jc w:val="both"/>
        <w:rPr>
          <w:color w:val="000000"/>
          <w:highlight w:val="white"/>
        </w:rPr>
      </w:pPr>
      <w:proofErr w:type="spellStart"/>
      <w:r>
        <w:rPr>
          <w:color w:val="000000"/>
          <w:highlight w:val="white"/>
        </w:rPr>
        <w:t>Weisburd</w:t>
      </w:r>
      <w:proofErr w:type="spellEnd"/>
      <w:r>
        <w:rPr>
          <w:color w:val="000000"/>
          <w:highlight w:val="white"/>
        </w:rPr>
        <w:t xml:space="preserve">, D. and </w:t>
      </w:r>
      <w:proofErr w:type="spellStart"/>
      <w:r>
        <w:rPr>
          <w:color w:val="000000"/>
          <w:highlight w:val="white"/>
        </w:rPr>
        <w:t>Telep</w:t>
      </w:r>
      <w:proofErr w:type="spellEnd"/>
      <w:r>
        <w:rPr>
          <w:color w:val="000000"/>
          <w:highlight w:val="white"/>
        </w:rPr>
        <w:t>, C.W., 2014. Hot spots poli</w:t>
      </w:r>
      <w:r>
        <w:rPr>
          <w:color w:val="000000"/>
          <w:highlight w:val="white"/>
        </w:rPr>
        <w:t>cing: What we know and what we need to know. </w:t>
      </w:r>
      <w:proofErr w:type="gramStart"/>
      <w:r>
        <w:rPr>
          <w:i/>
          <w:color w:val="000000"/>
          <w:highlight w:val="white"/>
        </w:rPr>
        <w:t>Journal of Contemporary Criminal Justice</w:t>
      </w:r>
      <w:r>
        <w:rPr>
          <w:color w:val="000000"/>
          <w:highlight w:val="white"/>
        </w:rPr>
        <w:t>, </w:t>
      </w:r>
      <w:r>
        <w:rPr>
          <w:i/>
          <w:color w:val="000000"/>
          <w:highlight w:val="white"/>
        </w:rPr>
        <w:t>30</w:t>
      </w:r>
      <w:r>
        <w:rPr>
          <w:color w:val="000000"/>
          <w:highlight w:val="white"/>
        </w:rPr>
        <w:t>(2), pp.200-220.</w:t>
      </w:r>
      <w:proofErr w:type="gramEnd"/>
    </w:p>
    <w:p w:rsidR="006605C3" w:rsidRDefault="0008623F">
      <w:pPr>
        <w:pStyle w:val="normal0"/>
        <w:ind w:left="720" w:hanging="720"/>
        <w:jc w:val="both"/>
        <w:rPr>
          <w:color w:val="000000"/>
          <w:highlight w:val="white"/>
        </w:rPr>
      </w:pPr>
      <w:proofErr w:type="spellStart"/>
      <w:r>
        <w:rPr>
          <w:color w:val="000000"/>
          <w:highlight w:val="white"/>
        </w:rPr>
        <w:lastRenderedPageBreak/>
        <w:t>Weisburd</w:t>
      </w:r>
      <w:proofErr w:type="spellEnd"/>
      <w:r>
        <w:rPr>
          <w:color w:val="000000"/>
          <w:highlight w:val="white"/>
        </w:rPr>
        <w:t xml:space="preserve">, D., Braga, A.A., Groff, E.R. and </w:t>
      </w:r>
      <w:proofErr w:type="spellStart"/>
      <w:r>
        <w:rPr>
          <w:color w:val="000000"/>
          <w:highlight w:val="white"/>
        </w:rPr>
        <w:t>Wooditch</w:t>
      </w:r>
      <w:proofErr w:type="spellEnd"/>
      <w:r>
        <w:rPr>
          <w:color w:val="000000"/>
          <w:highlight w:val="white"/>
        </w:rPr>
        <w:t xml:space="preserve">, A., 2017. Can hot spots policing reduce crime in urban areas? </w:t>
      </w:r>
      <w:proofErr w:type="gramStart"/>
      <w:r>
        <w:rPr>
          <w:color w:val="000000"/>
          <w:highlight w:val="white"/>
        </w:rPr>
        <w:t>An agent</w:t>
      </w:r>
      <w:r>
        <w:rPr>
          <w:rFonts w:ascii="Cambria Math" w:eastAsia="Cambria Math" w:hAnsi="Cambria Math" w:cs="Cambria Math"/>
          <w:color w:val="000000"/>
          <w:highlight w:val="white"/>
        </w:rPr>
        <w:t>‐</w:t>
      </w:r>
      <w:r>
        <w:rPr>
          <w:color w:val="000000"/>
          <w:highlight w:val="white"/>
        </w:rPr>
        <w:t>based simulation.</w:t>
      </w:r>
      <w:proofErr w:type="gramEnd"/>
      <w:r>
        <w:rPr>
          <w:color w:val="000000"/>
          <w:highlight w:val="white"/>
        </w:rPr>
        <w:t> </w:t>
      </w:r>
      <w:proofErr w:type="gramStart"/>
      <w:r>
        <w:rPr>
          <w:i/>
          <w:color w:val="000000"/>
          <w:highlight w:val="white"/>
        </w:rPr>
        <w:t>Criminol</w:t>
      </w:r>
      <w:r>
        <w:rPr>
          <w:i/>
          <w:color w:val="000000"/>
          <w:highlight w:val="white"/>
        </w:rPr>
        <w:t>ogy</w:t>
      </w:r>
      <w:r>
        <w:rPr>
          <w:color w:val="000000"/>
          <w:highlight w:val="white"/>
        </w:rPr>
        <w:t>, </w:t>
      </w:r>
      <w:r>
        <w:rPr>
          <w:i/>
          <w:color w:val="000000"/>
          <w:highlight w:val="white"/>
        </w:rPr>
        <w:t>55</w:t>
      </w:r>
      <w:r>
        <w:rPr>
          <w:color w:val="000000"/>
          <w:highlight w:val="white"/>
        </w:rPr>
        <w:t>(1), pp.137-173.</w:t>
      </w:r>
      <w:proofErr w:type="gramEnd"/>
    </w:p>
    <w:p w:rsidR="006605C3" w:rsidRDefault="0008623F">
      <w:pPr>
        <w:pStyle w:val="normal0"/>
        <w:ind w:left="720" w:hanging="720"/>
        <w:jc w:val="both"/>
        <w:rPr>
          <w:color w:val="000000"/>
          <w:highlight w:val="white"/>
        </w:rPr>
      </w:pPr>
      <w:proofErr w:type="spellStart"/>
      <w:r>
        <w:rPr>
          <w:color w:val="000000"/>
          <w:highlight w:val="white"/>
        </w:rPr>
        <w:t>Weisburd</w:t>
      </w:r>
      <w:proofErr w:type="spellEnd"/>
      <w:r>
        <w:rPr>
          <w:color w:val="000000"/>
          <w:highlight w:val="white"/>
        </w:rPr>
        <w:t xml:space="preserve">, D., Hinkle, J.C. and </w:t>
      </w:r>
      <w:proofErr w:type="spellStart"/>
      <w:r>
        <w:rPr>
          <w:color w:val="000000"/>
          <w:highlight w:val="white"/>
        </w:rPr>
        <w:t>Telep</w:t>
      </w:r>
      <w:proofErr w:type="spellEnd"/>
      <w:r>
        <w:rPr>
          <w:color w:val="000000"/>
          <w:highlight w:val="white"/>
        </w:rPr>
        <w:t>, C., 2019. Updated protocol: The effects of problem</w:t>
      </w:r>
      <w:r>
        <w:rPr>
          <w:rFonts w:ascii="Cambria Math" w:eastAsia="Cambria Math" w:hAnsi="Cambria Math" w:cs="Cambria Math"/>
          <w:color w:val="000000"/>
          <w:highlight w:val="white"/>
        </w:rPr>
        <w:t>‐</w:t>
      </w:r>
      <w:r>
        <w:rPr>
          <w:color w:val="000000"/>
          <w:highlight w:val="white"/>
        </w:rPr>
        <w:t>oriented policing on crime and disorder: An updated systematic review. </w:t>
      </w:r>
      <w:r>
        <w:rPr>
          <w:i/>
          <w:color w:val="000000"/>
          <w:highlight w:val="white"/>
        </w:rPr>
        <w:t>Campbell Systematic Reviews</w:t>
      </w:r>
      <w:r>
        <w:rPr>
          <w:color w:val="000000"/>
          <w:highlight w:val="white"/>
        </w:rPr>
        <w:t>, </w:t>
      </w:r>
      <w:r>
        <w:rPr>
          <w:i/>
          <w:color w:val="000000"/>
          <w:highlight w:val="white"/>
        </w:rPr>
        <w:t>15</w:t>
      </w:r>
      <w:r>
        <w:rPr>
          <w:color w:val="000000"/>
          <w:highlight w:val="white"/>
        </w:rPr>
        <w:t>(1-2).</w:t>
      </w:r>
    </w:p>
    <w:p w:rsidR="006605C3" w:rsidRDefault="0008623F">
      <w:pPr>
        <w:pStyle w:val="normal0"/>
        <w:ind w:left="720" w:hanging="720"/>
        <w:jc w:val="both"/>
        <w:rPr>
          <w:color w:val="000000"/>
          <w:highlight w:val="white"/>
        </w:rPr>
      </w:pPr>
      <w:proofErr w:type="gramStart"/>
      <w:r>
        <w:rPr>
          <w:color w:val="000000"/>
          <w:highlight w:val="white"/>
        </w:rPr>
        <w:t>Youth.gov. 2022.</w:t>
      </w:r>
      <w:proofErr w:type="gramEnd"/>
      <w:r>
        <w:rPr>
          <w:color w:val="000000"/>
          <w:highlight w:val="white"/>
        </w:rPr>
        <w:t> </w:t>
      </w:r>
      <w:proofErr w:type="gramStart"/>
      <w:r>
        <w:rPr>
          <w:i/>
          <w:color w:val="000000"/>
          <w:highlight w:val="white"/>
        </w:rPr>
        <w:t xml:space="preserve">Kansas City (MO) </w:t>
      </w:r>
      <w:r>
        <w:rPr>
          <w:i/>
          <w:color w:val="000000"/>
          <w:highlight w:val="white"/>
        </w:rPr>
        <w:t>Gun Experiment | Youth.gov</w:t>
      </w:r>
      <w:r>
        <w:rPr>
          <w:color w:val="000000"/>
          <w:highlight w:val="white"/>
        </w:rPr>
        <w:t>.</w:t>
      </w:r>
      <w:proofErr w:type="gramEnd"/>
      <w:r>
        <w:rPr>
          <w:color w:val="000000"/>
          <w:highlight w:val="white"/>
        </w:rPr>
        <w:t xml:space="preserve"> [</w:t>
      </w:r>
      <w:proofErr w:type="gramStart"/>
      <w:r>
        <w:rPr>
          <w:color w:val="000000"/>
          <w:highlight w:val="white"/>
        </w:rPr>
        <w:t>online</w:t>
      </w:r>
      <w:proofErr w:type="gramEnd"/>
      <w:r>
        <w:rPr>
          <w:color w:val="000000"/>
          <w:highlight w:val="white"/>
        </w:rPr>
        <w:t>] Available at: &lt;https://youth.gov/content/kansas-city-mo-gun-experiment&gt; [Accessed 8 June 2022].</w:t>
      </w:r>
    </w:p>
    <w:p w:rsidR="006605C3" w:rsidRDefault="006605C3">
      <w:pPr>
        <w:pStyle w:val="normal0"/>
        <w:jc w:val="both"/>
        <w:rPr>
          <w:color w:val="000000"/>
          <w:highlight w:val="white"/>
        </w:rPr>
      </w:pPr>
    </w:p>
    <w:sectPr w:rsidR="006605C3" w:rsidSect="006605C3">
      <w:pgSz w:w="12240" w:h="15840"/>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20573BC"/>
    <w:multiLevelType w:val="multilevel"/>
    <w:tmpl w:val="2AB24FF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605C3"/>
    <w:rsid w:val="0008623F"/>
    <w:rsid w:val="006605C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120" w:after="120"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6605C3"/>
    <w:pPr>
      <w:ind w:left="432" w:hanging="432"/>
      <w:outlineLvl w:val="0"/>
    </w:pPr>
    <w:rPr>
      <w:b/>
      <w:sz w:val="28"/>
      <w:szCs w:val="28"/>
    </w:rPr>
  </w:style>
  <w:style w:type="paragraph" w:styleId="Heading2">
    <w:name w:val="heading 2"/>
    <w:basedOn w:val="normal0"/>
    <w:next w:val="normal0"/>
    <w:rsid w:val="006605C3"/>
    <w:pPr>
      <w:ind w:left="576" w:hanging="576"/>
      <w:outlineLvl w:val="1"/>
    </w:pPr>
    <w:rPr>
      <w:b/>
      <w:sz w:val="26"/>
      <w:szCs w:val="26"/>
    </w:rPr>
  </w:style>
  <w:style w:type="paragraph" w:styleId="Heading3">
    <w:name w:val="heading 3"/>
    <w:basedOn w:val="normal0"/>
    <w:next w:val="normal0"/>
    <w:rsid w:val="006605C3"/>
    <w:pPr>
      <w:ind w:left="720" w:hanging="720"/>
      <w:outlineLvl w:val="2"/>
    </w:pPr>
    <w:rPr>
      <w:b/>
      <w:i/>
    </w:rPr>
  </w:style>
  <w:style w:type="paragraph" w:styleId="Heading4">
    <w:name w:val="heading 4"/>
    <w:basedOn w:val="normal0"/>
    <w:next w:val="normal0"/>
    <w:rsid w:val="006605C3"/>
    <w:pPr>
      <w:keepNext/>
      <w:keepLines/>
      <w:spacing w:before="40" w:after="0"/>
      <w:ind w:left="864" w:hanging="864"/>
      <w:outlineLvl w:val="3"/>
    </w:pPr>
    <w:rPr>
      <w:rFonts w:ascii="Calibri" w:eastAsia="Calibri" w:hAnsi="Calibri" w:cs="Calibri"/>
      <w:i/>
      <w:color w:val="2F5496"/>
    </w:rPr>
  </w:style>
  <w:style w:type="paragraph" w:styleId="Heading5">
    <w:name w:val="heading 5"/>
    <w:basedOn w:val="normal0"/>
    <w:next w:val="normal0"/>
    <w:rsid w:val="006605C3"/>
    <w:pPr>
      <w:keepNext/>
      <w:keepLines/>
      <w:spacing w:before="40" w:after="0"/>
      <w:ind w:left="1008" w:hanging="1008"/>
      <w:outlineLvl w:val="4"/>
    </w:pPr>
    <w:rPr>
      <w:rFonts w:ascii="Calibri" w:eastAsia="Calibri" w:hAnsi="Calibri" w:cs="Calibri"/>
      <w:color w:val="2F5496"/>
    </w:rPr>
  </w:style>
  <w:style w:type="paragraph" w:styleId="Heading6">
    <w:name w:val="heading 6"/>
    <w:basedOn w:val="normal0"/>
    <w:next w:val="normal0"/>
    <w:rsid w:val="006605C3"/>
    <w:pPr>
      <w:keepNext/>
      <w:keepLines/>
      <w:spacing w:before="40" w:after="0"/>
      <w:ind w:left="1152" w:hanging="1152"/>
      <w:outlineLvl w:val="5"/>
    </w:pPr>
    <w:rPr>
      <w:rFonts w:ascii="Calibri" w:eastAsia="Calibri" w:hAnsi="Calibri" w:cs="Calibri"/>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6605C3"/>
  </w:style>
  <w:style w:type="paragraph" w:styleId="Title">
    <w:name w:val="Title"/>
    <w:basedOn w:val="normal0"/>
    <w:next w:val="normal0"/>
    <w:rsid w:val="006605C3"/>
    <w:pPr>
      <w:keepNext/>
      <w:keepLines/>
      <w:spacing w:before="480"/>
    </w:pPr>
    <w:rPr>
      <w:b/>
      <w:sz w:val="72"/>
      <w:szCs w:val="72"/>
    </w:rPr>
  </w:style>
  <w:style w:type="paragraph" w:styleId="Subtitle">
    <w:name w:val="Subtitle"/>
    <w:basedOn w:val="normal0"/>
    <w:next w:val="normal0"/>
    <w:rsid w:val="006605C3"/>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08623F"/>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23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2351</Words>
  <Characters>13405</Characters>
  <Application>Microsoft Office Word</Application>
  <DocSecurity>0</DocSecurity>
  <Lines>111</Lines>
  <Paragraphs>31</Paragraphs>
  <ScaleCrop>false</ScaleCrop>
  <Company>Grizli777</Company>
  <LinksUpToDate>false</LinksUpToDate>
  <CharactersWithSpaces>15725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cp:revision>
  <dcterms:created xsi:type="dcterms:W3CDTF">2022-06-17T09:16:00Z</dcterms:created>
  <dcterms:modified xsi:type="dcterms:W3CDTF">2022-06-17T09:19:00Z</dcterms:modified>
</cp:coreProperties>
</file>