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7AB76" w14:textId="77777777" w:rsidR="000807CD" w:rsidRDefault="000807CD" w:rsidP="003A500D">
      <w:pPr>
        <w:pStyle w:val="Heading1"/>
        <w:spacing w:line="360" w:lineRule="auto"/>
        <w:jc w:val="center"/>
        <w:rPr>
          <w:rFonts w:ascii="Arial" w:eastAsia="Arial" w:hAnsi="Arial" w:cs="Arial"/>
          <w:i/>
          <w:sz w:val="40"/>
          <w:szCs w:val="40"/>
        </w:rPr>
      </w:pPr>
      <w:bookmarkStart w:id="0" w:name="_gjdgxs" w:colFirst="0" w:colLast="0"/>
      <w:bookmarkEnd w:id="0"/>
      <w:r>
        <w:rPr>
          <w:rFonts w:ascii="Arial" w:eastAsia="Arial" w:hAnsi="Arial" w:cs="Arial"/>
          <w:i/>
          <w:sz w:val="40"/>
          <w:szCs w:val="40"/>
        </w:rPr>
        <w:t>Certificate of Higher Education Skills for the Workplace</w:t>
      </w:r>
    </w:p>
    <w:p w14:paraId="02D99641" w14:textId="77777777" w:rsidR="000807CD" w:rsidRDefault="000807CD" w:rsidP="003A500D">
      <w:pPr>
        <w:pStyle w:val="Heading1"/>
        <w:spacing w:line="360" w:lineRule="auto"/>
        <w:jc w:val="center"/>
        <w:rPr>
          <w:rFonts w:ascii="Arial" w:eastAsia="Arial" w:hAnsi="Arial" w:cs="Arial"/>
          <w:sz w:val="40"/>
          <w:szCs w:val="40"/>
          <w:u w:val="single"/>
        </w:rPr>
      </w:pPr>
      <w:r>
        <w:rPr>
          <w:rFonts w:ascii="Arial" w:eastAsia="Arial" w:hAnsi="Arial" w:cs="Arial"/>
          <w:sz w:val="40"/>
          <w:szCs w:val="40"/>
          <w:u w:val="single"/>
        </w:rPr>
        <w:t>ACADEMIC AND EMPLOYABILITY SKILLS</w:t>
      </w:r>
    </w:p>
    <w:p w14:paraId="7065DA8E" w14:textId="77777777" w:rsidR="000807CD" w:rsidRDefault="000807CD" w:rsidP="003A500D">
      <w:pPr>
        <w:spacing w:line="360" w:lineRule="auto"/>
        <w:jc w:val="center"/>
        <w:rPr>
          <w:rFonts w:ascii="Arial" w:eastAsia="Arial" w:hAnsi="Arial" w:cs="Arial"/>
          <w:b/>
          <w:sz w:val="40"/>
          <w:szCs w:val="40"/>
        </w:rPr>
      </w:pPr>
      <w:r>
        <w:rPr>
          <w:rFonts w:ascii="Arial" w:eastAsia="Arial" w:hAnsi="Arial" w:cs="Arial"/>
          <w:b/>
          <w:sz w:val="40"/>
          <w:szCs w:val="40"/>
        </w:rPr>
        <w:t>Module code: BMSW4001</w:t>
      </w:r>
    </w:p>
    <w:p w14:paraId="0E7E7A78" w14:textId="77777777" w:rsidR="000807CD" w:rsidRDefault="000807CD" w:rsidP="003A500D">
      <w:pPr>
        <w:pStyle w:val="Heading1"/>
        <w:spacing w:line="360" w:lineRule="auto"/>
        <w:jc w:val="center"/>
        <w:rPr>
          <w:rFonts w:ascii="Arial" w:eastAsia="Arial" w:hAnsi="Arial" w:cs="Arial"/>
          <w:b w:val="0"/>
          <w:sz w:val="36"/>
          <w:szCs w:val="36"/>
        </w:rPr>
      </w:pPr>
      <w:r>
        <w:rPr>
          <w:rFonts w:ascii="Arial" w:eastAsia="Arial" w:hAnsi="Arial" w:cs="Arial"/>
          <w:b w:val="0"/>
          <w:sz w:val="36"/>
          <w:szCs w:val="36"/>
        </w:rPr>
        <w:t xml:space="preserve">Student name: </w:t>
      </w:r>
      <w:proofErr w:type="spellStart"/>
      <w:r>
        <w:rPr>
          <w:rFonts w:ascii="Arial" w:eastAsia="Arial" w:hAnsi="Arial" w:cs="Arial"/>
          <w:b w:val="0"/>
          <w:sz w:val="36"/>
          <w:szCs w:val="36"/>
        </w:rPr>
        <w:t>Steliana</w:t>
      </w:r>
      <w:proofErr w:type="spellEnd"/>
      <w:r>
        <w:rPr>
          <w:rFonts w:ascii="Arial" w:eastAsia="Arial" w:hAnsi="Arial" w:cs="Arial"/>
          <w:b w:val="0"/>
          <w:sz w:val="36"/>
          <w:szCs w:val="36"/>
        </w:rPr>
        <w:t xml:space="preserve"> Stan (2123020)</w:t>
      </w:r>
    </w:p>
    <w:p w14:paraId="252D01F8" w14:textId="77777777" w:rsidR="000807CD" w:rsidRDefault="000807CD" w:rsidP="003A500D">
      <w:pPr>
        <w:spacing w:line="360" w:lineRule="auto"/>
        <w:jc w:val="center"/>
        <w:rPr>
          <w:rFonts w:ascii="Arial" w:eastAsia="Arial" w:hAnsi="Arial" w:cs="Arial"/>
          <w:sz w:val="36"/>
          <w:szCs w:val="36"/>
        </w:rPr>
      </w:pPr>
      <w:r>
        <w:rPr>
          <w:rFonts w:ascii="Arial" w:eastAsia="Arial" w:hAnsi="Arial" w:cs="Arial"/>
          <w:sz w:val="36"/>
          <w:szCs w:val="36"/>
        </w:rPr>
        <w:t xml:space="preserve">Lecturer: </w:t>
      </w:r>
      <w:r>
        <w:rPr>
          <w:rFonts w:ascii="Arial" w:eastAsia="Arial" w:hAnsi="Arial" w:cs="Arial"/>
          <w:sz w:val="36"/>
          <w:szCs w:val="36"/>
          <w:u w:val="single"/>
        </w:rPr>
        <w:t xml:space="preserve">Isaiah </w:t>
      </w:r>
      <w:proofErr w:type="spellStart"/>
      <w:r>
        <w:rPr>
          <w:rFonts w:ascii="Arial" w:eastAsia="Arial" w:hAnsi="Arial" w:cs="Arial"/>
          <w:sz w:val="36"/>
          <w:szCs w:val="36"/>
          <w:u w:val="single"/>
        </w:rPr>
        <w:t>Oino</w:t>
      </w:r>
      <w:proofErr w:type="spellEnd"/>
    </w:p>
    <w:p w14:paraId="4AB15FA9" w14:textId="77777777" w:rsidR="000807CD" w:rsidRDefault="000807CD" w:rsidP="003A500D">
      <w:pPr>
        <w:spacing w:line="360" w:lineRule="auto"/>
        <w:jc w:val="center"/>
        <w:rPr>
          <w:rFonts w:ascii="Arial" w:eastAsia="Arial" w:hAnsi="Arial" w:cs="Arial"/>
          <w:sz w:val="36"/>
          <w:szCs w:val="36"/>
        </w:rPr>
      </w:pPr>
    </w:p>
    <w:p w14:paraId="11AFA4B3" w14:textId="77777777" w:rsidR="000807CD" w:rsidRDefault="000807CD" w:rsidP="003A500D">
      <w:pPr>
        <w:tabs>
          <w:tab w:val="left" w:pos="496"/>
        </w:tabs>
        <w:spacing w:line="360" w:lineRule="auto"/>
        <w:rPr>
          <w:i/>
        </w:rPr>
      </w:pPr>
      <w:r>
        <w:tab/>
      </w:r>
    </w:p>
    <w:p w14:paraId="0AF51A08" w14:textId="77F45768" w:rsidR="003A500D" w:rsidRPr="003A500D" w:rsidRDefault="000807CD" w:rsidP="003A500D">
      <w:pPr>
        <w:tabs>
          <w:tab w:val="left" w:pos="496"/>
        </w:tabs>
        <w:spacing w:line="360" w:lineRule="auto"/>
        <w:jc w:val="center"/>
        <w:rPr>
          <w:rFonts w:ascii="Arial" w:eastAsia="Arial" w:hAnsi="Arial" w:cs="Arial"/>
          <w:b/>
          <w:iCs/>
          <w:sz w:val="44"/>
          <w:szCs w:val="44"/>
          <w:u w:val="single"/>
        </w:rPr>
      </w:pPr>
      <w:r w:rsidRPr="003A500D">
        <w:rPr>
          <w:rFonts w:ascii="Arial" w:eastAsia="Arial" w:hAnsi="Arial" w:cs="Arial"/>
          <w:b/>
          <w:iCs/>
          <w:sz w:val="44"/>
          <w:szCs w:val="44"/>
          <w:u w:val="single"/>
        </w:rPr>
        <w:t xml:space="preserve">Task </w:t>
      </w:r>
      <w:r w:rsidRPr="003A500D">
        <w:rPr>
          <w:rFonts w:ascii="Arial" w:eastAsia="Arial" w:hAnsi="Arial" w:cs="Arial"/>
          <w:b/>
          <w:iCs/>
          <w:sz w:val="44"/>
          <w:szCs w:val="44"/>
          <w:u w:val="single"/>
        </w:rPr>
        <w:t>1</w:t>
      </w:r>
    </w:p>
    <w:p w14:paraId="1A4E1363" w14:textId="4299378E" w:rsidR="000807CD" w:rsidRPr="003A500D" w:rsidRDefault="003A500D" w:rsidP="003A500D">
      <w:pPr>
        <w:tabs>
          <w:tab w:val="left" w:pos="496"/>
        </w:tabs>
        <w:spacing w:line="360" w:lineRule="auto"/>
        <w:jc w:val="center"/>
        <w:rPr>
          <w:rFonts w:ascii="Arial" w:eastAsia="Arial" w:hAnsi="Arial" w:cs="Arial"/>
          <w:b/>
          <w:iCs/>
          <w:sz w:val="44"/>
          <w:szCs w:val="44"/>
        </w:rPr>
      </w:pPr>
      <w:r w:rsidRPr="003A500D">
        <w:rPr>
          <w:rFonts w:ascii="Arial" w:eastAsia="Arial" w:hAnsi="Arial" w:cs="Arial"/>
          <w:b/>
          <w:iCs/>
          <w:sz w:val="44"/>
          <w:szCs w:val="44"/>
        </w:rPr>
        <w:t xml:space="preserve"> Academic report ,, </w:t>
      </w:r>
      <w:r w:rsidRPr="003A500D">
        <w:rPr>
          <w:rFonts w:ascii="Arial" w:eastAsia="Arial" w:hAnsi="Arial" w:cs="Arial"/>
          <w:b/>
          <w:i/>
          <w:sz w:val="44"/>
          <w:szCs w:val="44"/>
          <w:u w:val="single"/>
        </w:rPr>
        <w:t>What is the most effective way to motivate staff ?“</w:t>
      </w:r>
    </w:p>
    <w:p w14:paraId="6200494E" w14:textId="77777777" w:rsidR="00834367" w:rsidRDefault="00834367" w:rsidP="003A500D">
      <w:pPr>
        <w:pStyle w:val="Heading1"/>
        <w:spacing w:line="360" w:lineRule="auto"/>
        <w:rPr>
          <w:color w:val="36363D"/>
        </w:rPr>
      </w:pPr>
    </w:p>
    <w:p w14:paraId="38D1296A" w14:textId="77777777" w:rsidR="00834367" w:rsidRDefault="00834367" w:rsidP="003A500D">
      <w:pPr>
        <w:pStyle w:val="Heading1"/>
        <w:spacing w:line="360" w:lineRule="auto"/>
        <w:rPr>
          <w:color w:val="36363D"/>
        </w:rPr>
      </w:pPr>
    </w:p>
    <w:p w14:paraId="5552B7A0" w14:textId="77777777" w:rsidR="00834367" w:rsidRDefault="00834367" w:rsidP="003A500D">
      <w:pPr>
        <w:pStyle w:val="Heading1"/>
        <w:spacing w:line="360" w:lineRule="auto"/>
        <w:rPr>
          <w:color w:val="36363D"/>
        </w:rPr>
      </w:pPr>
    </w:p>
    <w:p w14:paraId="16423B52" w14:textId="05EA782F" w:rsidR="000807CD" w:rsidRDefault="000807CD" w:rsidP="003A500D">
      <w:pPr>
        <w:spacing w:line="360" w:lineRule="auto"/>
      </w:pPr>
    </w:p>
    <w:p w14:paraId="0F1149D1" w14:textId="77777777" w:rsidR="000807CD" w:rsidRPr="000807CD" w:rsidRDefault="000807CD" w:rsidP="003A500D">
      <w:pPr>
        <w:spacing w:line="360" w:lineRule="auto"/>
      </w:pPr>
    </w:p>
    <w:p w14:paraId="2E2DA041" w14:textId="77777777" w:rsidR="00834367" w:rsidRDefault="00834367" w:rsidP="003A500D">
      <w:pPr>
        <w:pStyle w:val="Heading1"/>
        <w:spacing w:line="360" w:lineRule="auto"/>
        <w:rPr>
          <w:color w:val="36363D"/>
        </w:rPr>
      </w:pPr>
    </w:p>
    <w:sdt>
      <w:sdtPr>
        <w:id w:val="-1787346126"/>
        <w:docPartObj>
          <w:docPartGallery w:val="Table of Contents"/>
          <w:docPartUnique/>
        </w:docPartObj>
      </w:sdtPr>
      <w:sdtEndPr>
        <w:rPr>
          <w:rFonts w:ascii="Calibri" w:eastAsia="Calibri" w:hAnsi="Calibri" w:cs="SimSun"/>
          <w:noProof/>
          <w:color w:val="auto"/>
          <w:sz w:val="22"/>
          <w:szCs w:val="22"/>
          <w:lang w:val="en-IN"/>
        </w:rPr>
      </w:sdtEndPr>
      <w:sdtContent>
        <w:p w14:paraId="47D6746C" w14:textId="093D2270" w:rsidR="000807CD" w:rsidRPr="000807CD" w:rsidRDefault="000807CD" w:rsidP="003A500D">
          <w:pPr>
            <w:pStyle w:val="TOCHeading"/>
            <w:spacing w:line="360" w:lineRule="auto"/>
          </w:pPr>
          <w:r>
            <w:t>Table of Contents</w:t>
          </w:r>
        </w:p>
        <w:p w14:paraId="180801B9" w14:textId="6E4CFEE7" w:rsidR="000807CD" w:rsidRDefault="000807CD" w:rsidP="003A500D">
          <w:pPr>
            <w:pStyle w:val="TOC1"/>
            <w:tabs>
              <w:tab w:val="right" w:leader="dot" w:pos="9016"/>
            </w:tabs>
            <w:spacing w:line="360" w:lineRule="auto"/>
            <w:rPr>
              <w:noProof/>
            </w:rPr>
          </w:pPr>
          <w:r>
            <w:rPr>
              <w:b w:val="0"/>
              <w:bCs w:val="0"/>
            </w:rPr>
            <w:fldChar w:fldCharType="begin"/>
          </w:r>
          <w:r>
            <w:instrText xml:space="preserve"> TOC \o "1-3" \h \z \u </w:instrText>
          </w:r>
          <w:r>
            <w:rPr>
              <w:b w:val="0"/>
              <w:bCs w:val="0"/>
            </w:rPr>
            <w:fldChar w:fldCharType="separate"/>
          </w:r>
          <w:hyperlink w:anchor="_Toc99985386" w:history="1">
            <w:r w:rsidRPr="00C12607">
              <w:rPr>
                <w:rStyle w:val="Hyperlink"/>
                <w:noProof/>
              </w:rPr>
              <w:t>Task 1</w:t>
            </w:r>
            <w:r>
              <w:rPr>
                <w:noProof/>
                <w:webHidden/>
              </w:rPr>
              <w:tab/>
            </w:r>
            <w:r>
              <w:rPr>
                <w:noProof/>
                <w:webHidden/>
              </w:rPr>
              <w:fldChar w:fldCharType="begin"/>
            </w:r>
            <w:r>
              <w:rPr>
                <w:noProof/>
                <w:webHidden/>
              </w:rPr>
              <w:instrText xml:space="preserve"> PAGEREF _Toc99985386 \h </w:instrText>
            </w:r>
            <w:r>
              <w:rPr>
                <w:noProof/>
                <w:webHidden/>
              </w:rPr>
            </w:r>
            <w:r>
              <w:rPr>
                <w:noProof/>
                <w:webHidden/>
              </w:rPr>
              <w:fldChar w:fldCharType="separate"/>
            </w:r>
            <w:r>
              <w:rPr>
                <w:noProof/>
                <w:webHidden/>
              </w:rPr>
              <w:t>3</w:t>
            </w:r>
            <w:r>
              <w:rPr>
                <w:noProof/>
                <w:webHidden/>
              </w:rPr>
              <w:fldChar w:fldCharType="end"/>
            </w:r>
          </w:hyperlink>
        </w:p>
        <w:p w14:paraId="0636CD82" w14:textId="0B2C1AE4" w:rsidR="000807CD" w:rsidRDefault="000807CD" w:rsidP="003A500D">
          <w:pPr>
            <w:pStyle w:val="TOC2"/>
            <w:tabs>
              <w:tab w:val="right" w:leader="dot" w:pos="9016"/>
            </w:tabs>
            <w:spacing w:line="360" w:lineRule="auto"/>
            <w:rPr>
              <w:noProof/>
            </w:rPr>
          </w:pPr>
          <w:hyperlink w:anchor="_Toc99985387" w:history="1">
            <w:r w:rsidRPr="00C12607">
              <w:rPr>
                <w:rStyle w:val="Hyperlink"/>
                <w:noProof/>
              </w:rPr>
              <w:t>Introductio</w:t>
            </w:r>
            <w:r w:rsidRPr="00C12607">
              <w:rPr>
                <w:rStyle w:val="Hyperlink"/>
                <w:noProof/>
              </w:rPr>
              <w:t>n</w:t>
            </w:r>
            <w:r>
              <w:rPr>
                <w:noProof/>
                <w:webHidden/>
              </w:rPr>
              <w:tab/>
            </w:r>
            <w:r>
              <w:rPr>
                <w:noProof/>
                <w:webHidden/>
              </w:rPr>
              <w:fldChar w:fldCharType="begin"/>
            </w:r>
            <w:r>
              <w:rPr>
                <w:noProof/>
                <w:webHidden/>
              </w:rPr>
              <w:instrText xml:space="preserve"> PAGEREF _Toc99985387 \h </w:instrText>
            </w:r>
            <w:r>
              <w:rPr>
                <w:noProof/>
                <w:webHidden/>
              </w:rPr>
            </w:r>
            <w:r>
              <w:rPr>
                <w:noProof/>
                <w:webHidden/>
              </w:rPr>
              <w:fldChar w:fldCharType="separate"/>
            </w:r>
            <w:r>
              <w:rPr>
                <w:noProof/>
                <w:webHidden/>
              </w:rPr>
              <w:t>3</w:t>
            </w:r>
            <w:r>
              <w:rPr>
                <w:noProof/>
                <w:webHidden/>
              </w:rPr>
              <w:fldChar w:fldCharType="end"/>
            </w:r>
          </w:hyperlink>
        </w:p>
        <w:p w14:paraId="7F76A9A6" w14:textId="44352077" w:rsidR="000807CD" w:rsidRDefault="000807CD" w:rsidP="003A500D">
          <w:pPr>
            <w:pStyle w:val="TOC2"/>
            <w:tabs>
              <w:tab w:val="right" w:leader="dot" w:pos="9016"/>
            </w:tabs>
            <w:spacing w:line="360" w:lineRule="auto"/>
            <w:rPr>
              <w:noProof/>
            </w:rPr>
          </w:pPr>
          <w:hyperlink w:anchor="_Toc99985388" w:history="1">
            <w:r w:rsidRPr="00C12607">
              <w:rPr>
                <w:rStyle w:val="Hyperlink"/>
                <w:noProof/>
              </w:rPr>
              <w:t>The different ways that staff can be motivated</w:t>
            </w:r>
            <w:r>
              <w:rPr>
                <w:noProof/>
                <w:webHidden/>
              </w:rPr>
              <w:tab/>
            </w:r>
            <w:r>
              <w:rPr>
                <w:noProof/>
                <w:webHidden/>
              </w:rPr>
              <w:fldChar w:fldCharType="begin"/>
            </w:r>
            <w:r>
              <w:rPr>
                <w:noProof/>
                <w:webHidden/>
              </w:rPr>
              <w:instrText xml:space="preserve"> PAGEREF _Toc99985388 \h </w:instrText>
            </w:r>
            <w:r>
              <w:rPr>
                <w:noProof/>
                <w:webHidden/>
              </w:rPr>
            </w:r>
            <w:r>
              <w:rPr>
                <w:noProof/>
                <w:webHidden/>
              </w:rPr>
              <w:fldChar w:fldCharType="separate"/>
            </w:r>
            <w:r>
              <w:rPr>
                <w:noProof/>
                <w:webHidden/>
              </w:rPr>
              <w:t>3</w:t>
            </w:r>
            <w:r>
              <w:rPr>
                <w:noProof/>
                <w:webHidden/>
              </w:rPr>
              <w:fldChar w:fldCharType="end"/>
            </w:r>
          </w:hyperlink>
        </w:p>
        <w:p w14:paraId="065732B4" w14:textId="20C01A65" w:rsidR="000807CD" w:rsidRDefault="000807CD" w:rsidP="003A500D">
          <w:pPr>
            <w:pStyle w:val="TOC3"/>
            <w:tabs>
              <w:tab w:val="right" w:leader="dot" w:pos="9016"/>
            </w:tabs>
            <w:spacing w:line="360" w:lineRule="auto"/>
            <w:rPr>
              <w:noProof/>
            </w:rPr>
          </w:pPr>
          <w:hyperlink w:anchor="_Toc99985389" w:history="1">
            <w:r w:rsidRPr="00C12607">
              <w:rPr>
                <w:rStyle w:val="Hyperlink"/>
                <w:noProof/>
              </w:rPr>
              <w:t>Pay</w:t>
            </w:r>
            <w:r>
              <w:rPr>
                <w:noProof/>
                <w:webHidden/>
              </w:rPr>
              <w:tab/>
            </w:r>
            <w:r>
              <w:rPr>
                <w:noProof/>
                <w:webHidden/>
              </w:rPr>
              <w:fldChar w:fldCharType="begin"/>
            </w:r>
            <w:r>
              <w:rPr>
                <w:noProof/>
                <w:webHidden/>
              </w:rPr>
              <w:instrText xml:space="preserve"> PAGEREF _Toc99985389 \h </w:instrText>
            </w:r>
            <w:r>
              <w:rPr>
                <w:noProof/>
                <w:webHidden/>
              </w:rPr>
            </w:r>
            <w:r>
              <w:rPr>
                <w:noProof/>
                <w:webHidden/>
              </w:rPr>
              <w:fldChar w:fldCharType="separate"/>
            </w:r>
            <w:r>
              <w:rPr>
                <w:noProof/>
                <w:webHidden/>
              </w:rPr>
              <w:t>3</w:t>
            </w:r>
            <w:r>
              <w:rPr>
                <w:noProof/>
                <w:webHidden/>
              </w:rPr>
              <w:fldChar w:fldCharType="end"/>
            </w:r>
          </w:hyperlink>
        </w:p>
        <w:p w14:paraId="5A40DE5C" w14:textId="607CA077" w:rsidR="000807CD" w:rsidRDefault="000807CD" w:rsidP="003A500D">
          <w:pPr>
            <w:pStyle w:val="TOC2"/>
            <w:tabs>
              <w:tab w:val="right" w:leader="dot" w:pos="9016"/>
            </w:tabs>
            <w:spacing w:line="360" w:lineRule="auto"/>
            <w:rPr>
              <w:noProof/>
            </w:rPr>
          </w:pPr>
          <w:hyperlink w:anchor="_Toc99985390" w:history="1">
            <w:r w:rsidRPr="00C12607">
              <w:rPr>
                <w:rStyle w:val="Hyperlink"/>
                <w:noProof/>
              </w:rPr>
              <w:t>Recognition and Rewards</w:t>
            </w:r>
            <w:r>
              <w:rPr>
                <w:noProof/>
                <w:webHidden/>
              </w:rPr>
              <w:tab/>
            </w:r>
            <w:r>
              <w:rPr>
                <w:noProof/>
                <w:webHidden/>
              </w:rPr>
              <w:fldChar w:fldCharType="begin"/>
            </w:r>
            <w:r>
              <w:rPr>
                <w:noProof/>
                <w:webHidden/>
              </w:rPr>
              <w:instrText xml:space="preserve"> PAGEREF _Toc99985390 \h </w:instrText>
            </w:r>
            <w:r>
              <w:rPr>
                <w:noProof/>
                <w:webHidden/>
              </w:rPr>
            </w:r>
            <w:r>
              <w:rPr>
                <w:noProof/>
                <w:webHidden/>
              </w:rPr>
              <w:fldChar w:fldCharType="separate"/>
            </w:r>
            <w:r>
              <w:rPr>
                <w:noProof/>
                <w:webHidden/>
              </w:rPr>
              <w:t>4</w:t>
            </w:r>
            <w:r>
              <w:rPr>
                <w:noProof/>
                <w:webHidden/>
              </w:rPr>
              <w:fldChar w:fldCharType="end"/>
            </w:r>
          </w:hyperlink>
        </w:p>
        <w:p w14:paraId="059F4764" w14:textId="5E334921" w:rsidR="000807CD" w:rsidRDefault="000807CD" w:rsidP="003A500D">
          <w:pPr>
            <w:pStyle w:val="TOC2"/>
            <w:tabs>
              <w:tab w:val="right" w:leader="dot" w:pos="9016"/>
            </w:tabs>
            <w:spacing w:line="360" w:lineRule="auto"/>
            <w:rPr>
              <w:noProof/>
            </w:rPr>
          </w:pPr>
          <w:hyperlink w:anchor="_Toc99985391" w:history="1">
            <w:r w:rsidRPr="00C12607">
              <w:rPr>
                <w:rStyle w:val="Hyperlink"/>
                <w:noProof/>
              </w:rPr>
              <w:t>Additional holiday</w:t>
            </w:r>
            <w:r>
              <w:rPr>
                <w:noProof/>
                <w:webHidden/>
              </w:rPr>
              <w:tab/>
            </w:r>
            <w:r>
              <w:rPr>
                <w:noProof/>
                <w:webHidden/>
              </w:rPr>
              <w:fldChar w:fldCharType="begin"/>
            </w:r>
            <w:r>
              <w:rPr>
                <w:noProof/>
                <w:webHidden/>
              </w:rPr>
              <w:instrText xml:space="preserve"> PAGEREF _Toc99985391 \h </w:instrText>
            </w:r>
            <w:r>
              <w:rPr>
                <w:noProof/>
                <w:webHidden/>
              </w:rPr>
            </w:r>
            <w:r>
              <w:rPr>
                <w:noProof/>
                <w:webHidden/>
              </w:rPr>
              <w:fldChar w:fldCharType="separate"/>
            </w:r>
            <w:r>
              <w:rPr>
                <w:noProof/>
                <w:webHidden/>
              </w:rPr>
              <w:t>5</w:t>
            </w:r>
            <w:r>
              <w:rPr>
                <w:noProof/>
                <w:webHidden/>
              </w:rPr>
              <w:fldChar w:fldCharType="end"/>
            </w:r>
          </w:hyperlink>
        </w:p>
        <w:p w14:paraId="4A82843F" w14:textId="26A890F0" w:rsidR="000807CD" w:rsidRDefault="000807CD" w:rsidP="003A500D">
          <w:pPr>
            <w:pStyle w:val="TOC2"/>
            <w:tabs>
              <w:tab w:val="right" w:leader="dot" w:pos="9016"/>
            </w:tabs>
            <w:spacing w:line="360" w:lineRule="auto"/>
            <w:rPr>
              <w:noProof/>
            </w:rPr>
          </w:pPr>
          <w:hyperlink w:anchor="_Toc99985392" w:history="1">
            <w:r w:rsidRPr="00C12607">
              <w:rPr>
                <w:rStyle w:val="Hyperlink"/>
                <w:noProof/>
              </w:rPr>
              <w:t>Good Working Conditions</w:t>
            </w:r>
            <w:r>
              <w:rPr>
                <w:noProof/>
                <w:webHidden/>
              </w:rPr>
              <w:tab/>
            </w:r>
            <w:r>
              <w:rPr>
                <w:noProof/>
                <w:webHidden/>
              </w:rPr>
              <w:fldChar w:fldCharType="begin"/>
            </w:r>
            <w:r>
              <w:rPr>
                <w:noProof/>
                <w:webHidden/>
              </w:rPr>
              <w:instrText xml:space="preserve"> PAGEREF _Toc99985392 \h </w:instrText>
            </w:r>
            <w:r>
              <w:rPr>
                <w:noProof/>
                <w:webHidden/>
              </w:rPr>
            </w:r>
            <w:r>
              <w:rPr>
                <w:noProof/>
                <w:webHidden/>
              </w:rPr>
              <w:fldChar w:fldCharType="separate"/>
            </w:r>
            <w:r>
              <w:rPr>
                <w:noProof/>
                <w:webHidden/>
              </w:rPr>
              <w:t>6</w:t>
            </w:r>
            <w:r>
              <w:rPr>
                <w:noProof/>
                <w:webHidden/>
              </w:rPr>
              <w:fldChar w:fldCharType="end"/>
            </w:r>
          </w:hyperlink>
        </w:p>
        <w:p w14:paraId="0C183237" w14:textId="250ED3E0" w:rsidR="000807CD" w:rsidRDefault="000807CD" w:rsidP="003A500D">
          <w:pPr>
            <w:pStyle w:val="TOC2"/>
            <w:tabs>
              <w:tab w:val="right" w:leader="dot" w:pos="9016"/>
            </w:tabs>
            <w:spacing w:line="360" w:lineRule="auto"/>
            <w:rPr>
              <w:noProof/>
            </w:rPr>
          </w:pPr>
          <w:hyperlink w:anchor="_Toc99985393" w:history="1">
            <w:r w:rsidRPr="00C12607">
              <w:rPr>
                <w:rStyle w:val="Hyperlink"/>
                <w:noProof/>
              </w:rPr>
              <w:t>Recommendations</w:t>
            </w:r>
            <w:r>
              <w:rPr>
                <w:noProof/>
                <w:webHidden/>
              </w:rPr>
              <w:tab/>
            </w:r>
            <w:r>
              <w:rPr>
                <w:noProof/>
                <w:webHidden/>
              </w:rPr>
              <w:fldChar w:fldCharType="begin"/>
            </w:r>
            <w:r>
              <w:rPr>
                <w:noProof/>
                <w:webHidden/>
              </w:rPr>
              <w:instrText xml:space="preserve"> PAGEREF _Toc99985393 \h </w:instrText>
            </w:r>
            <w:r>
              <w:rPr>
                <w:noProof/>
                <w:webHidden/>
              </w:rPr>
            </w:r>
            <w:r>
              <w:rPr>
                <w:noProof/>
                <w:webHidden/>
              </w:rPr>
              <w:fldChar w:fldCharType="separate"/>
            </w:r>
            <w:r>
              <w:rPr>
                <w:noProof/>
                <w:webHidden/>
              </w:rPr>
              <w:t>7</w:t>
            </w:r>
            <w:r>
              <w:rPr>
                <w:noProof/>
                <w:webHidden/>
              </w:rPr>
              <w:fldChar w:fldCharType="end"/>
            </w:r>
          </w:hyperlink>
        </w:p>
        <w:p w14:paraId="174B2CD8" w14:textId="2CB496E6" w:rsidR="000807CD" w:rsidRDefault="000807CD" w:rsidP="003A500D">
          <w:pPr>
            <w:pStyle w:val="TOC2"/>
            <w:tabs>
              <w:tab w:val="right" w:leader="dot" w:pos="9016"/>
            </w:tabs>
            <w:spacing w:line="360" w:lineRule="auto"/>
            <w:rPr>
              <w:noProof/>
            </w:rPr>
          </w:pPr>
          <w:hyperlink w:anchor="_Toc99985394" w:history="1">
            <w:r w:rsidRPr="00C12607">
              <w:rPr>
                <w:rStyle w:val="Hyperlink"/>
                <w:noProof/>
              </w:rPr>
              <w:t>Conclusion</w:t>
            </w:r>
            <w:r>
              <w:rPr>
                <w:noProof/>
                <w:webHidden/>
              </w:rPr>
              <w:tab/>
            </w:r>
            <w:r>
              <w:rPr>
                <w:noProof/>
                <w:webHidden/>
              </w:rPr>
              <w:fldChar w:fldCharType="begin"/>
            </w:r>
            <w:r>
              <w:rPr>
                <w:noProof/>
                <w:webHidden/>
              </w:rPr>
              <w:instrText xml:space="preserve"> PAGEREF _Toc99985394 \h </w:instrText>
            </w:r>
            <w:r>
              <w:rPr>
                <w:noProof/>
                <w:webHidden/>
              </w:rPr>
            </w:r>
            <w:r>
              <w:rPr>
                <w:noProof/>
                <w:webHidden/>
              </w:rPr>
              <w:fldChar w:fldCharType="separate"/>
            </w:r>
            <w:r>
              <w:rPr>
                <w:noProof/>
                <w:webHidden/>
              </w:rPr>
              <w:t>8</w:t>
            </w:r>
            <w:r>
              <w:rPr>
                <w:noProof/>
                <w:webHidden/>
              </w:rPr>
              <w:fldChar w:fldCharType="end"/>
            </w:r>
          </w:hyperlink>
        </w:p>
        <w:p w14:paraId="3A040B2C" w14:textId="12F75AD8" w:rsidR="000807CD" w:rsidRDefault="000807CD" w:rsidP="003A500D">
          <w:pPr>
            <w:pStyle w:val="TOC1"/>
            <w:tabs>
              <w:tab w:val="right" w:leader="dot" w:pos="9016"/>
            </w:tabs>
            <w:spacing w:line="360" w:lineRule="auto"/>
            <w:rPr>
              <w:noProof/>
            </w:rPr>
          </w:pPr>
          <w:hyperlink w:anchor="_Toc99985395" w:history="1">
            <w:r w:rsidRPr="00C12607">
              <w:rPr>
                <w:rStyle w:val="Hyperlink"/>
                <w:noProof/>
              </w:rPr>
              <w:t>Reference:</w:t>
            </w:r>
            <w:r>
              <w:rPr>
                <w:noProof/>
                <w:webHidden/>
              </w:rPr>
              <w:tab/>
            </w:r>
            <w:r>
              <w:rPr>
                <w:noProof/>
                <w:webHidden/>
              </w:rPr>
              <w:fldChar w:fldCharType="begin"/>
            </w:r>
            <w:r>
              <w:rPr>
                <w:noProof/>
                <w:webHidden/>
              </w:rPr>
              <w:instrText xml:space="preserve"> PAGEREF _Toc99985395 \h </w:instrText>
            </w:r>
            <w:r>
              <w:rPr>
                <w:noProof/>
                <w:webHidden/>
              </w:rPr>
            </w:r>
            <w:r>
              <w:rPr>
                <w:noProof/>
                <w:webHidden/>
              </w:rPr>
              <w:fldChar w:fldCharType="separate"/>
            </w:r>
            <w:r>
              <w:rPr>
                <w:noProof/>
                <w:webHidden/>
              </w:rPr>
              <w:t>9</w:t>
            </w:r>
            <w:r>
              <w:rPr>
                <w:noProof/>
                <w:webHidden/>
              </w:rPr>
              <w:fldChar w:fldCharType="end"/>
            </w:r>
          </w:hyperlink>
        </w:p>
        <w:p w14:paraId="610207E8" w14:textId="3664DF12" w:rsidR="000807CD" w:rsidRDefault="000807CD" w:rsidP="003A500D">
          <w:pPr>
            <w:spacing w:line="360" w:lineRule="auto"/>
          </w:pPr>
          <w:r>
            <w:rPr>
              <w:b/>
              <w:bCs/>
              <w:noProof/>
            </w:rPr>
            <w:fldChar w:fldCharType="end"/>
          </w:r>
        </w:p>
      </w:sdtContent>
    </w:sdt>
    <w:p w14:paraId="1B9352A1" w14:textId="68008824" w:rsidR="00834367" w:rsidRDefault="00834367" w:rsidP="003A500D">
      <w:pPr>
        <w:pStyle w:val="Heading1"/>
        <w:spacing w:line="360" w:lineRule="auto"/>
        <w:rPr>
          <w:color w:val="36363D"/>
        </w:rPr>
      </w:pPr>
    </w:p>
    <w:p w14:paraId="7773C2CA" w14:textId="2F04A6EF" w:rsidR="00834367" w:rsidRDefault="00834367" w:rsidP="003A500D">
      <w:pPr>
        <w:spacing w:line="360" w:lineRule="auto"/>
      </w:pPr>
    </w:p>
    <w:p w14:paraId="6084F9DC" w14:textId="6872615C" w:rsidR="00834367" w:rsidRDefault="00834367" w:rsidP="003A500D">
      <w:pPr>
        <w:spacing w:line="360" w:lineRule="auto"/>
      </w:pPr>
    </w:p>
    <w:p w14:paraId="070DEA9B" w14:textId="3BEDEA2A" w:rsidR="00834367" w:rsidRDefault="00834367" w:rsidP="003A500D">
      <w:pPr>
        <w:spacing w:line="360" w:lineRule="auto"/>
      </w:pPr>
    </w:p>
    <w:p w14:paraId="313D2D64" w14:textId="130330E5" w:rsidR="00834367" w:rsidRDefault="00834367" w:rsidP="003A500D">
      <w:pPr>
        <w:spacing w:line="360" w:lineRule="auto"/>
      </w:pPr>
    </w:p>
    <w:p w14:paraId="7C777351" w14:textId="0D8FD820" w:rsidR="00834367" w:rsidRDefault="00834367" w:rsidP="003A500D">
      <w:pPr>
        <w:spacing w:line="360" w:lineRule="auto"/>
      </w:pPr>
    </w:p>
    <w:p w14:paraId="6262F41A" w14:textId="093B774B" w:rsidR="00834367" w:rsidRDefault="00834367" w:rsidP="003A500D">
      <w:pPr>
        <w:spacing w:line="360" w:lineRule="auto"/>
      </w:pPr>
    </w:p>
    <w:p w14:paraId="495C36A9" w14:textId="71A9D6FF" w:rsidR="00834367" w:rsidRDefault="00834367" w:rsidP="003A500D">
      <w:pPr>
        <w:spacing w:line="360" w:lineRule="auto"/>
      </w:pPr>
    </w:p>
    <w:p w14:paraId="1BA9DA2B" w14:textId="5E235BE4" w:rsidR="00834367" w:rsidRDefault="00834367" w:rsidP="003A500D">
      <w:pPr>
        <w:spacing w:line="360" w:lineRule="auto"/>
      </w:pPr>
    </w:p>
    <w:p w14:paraId="0D89237B" w14:textId="6122DD81" w:rsidR="00834367" w:rsidRDefault="00834367" w:rsidP="003A500D">
      <w:pPr>
        <w:spacing w:line="360" w:lineRule="auto"/>
      </w:pPr>
    </w:p>
    <w:p w14:paraId="11988412" w14:textId="230F50BA" w:rsidR="00834367" w:rsidRDefault="00834367" w:rsidP="003A500D">
      <w:pPr>
        <w:spacing w:line="360" w:lineRule="auto"/>
      </w:pPr>
    </w:p>
    <w:p w14:paraId="50C49DAD" w14:textId="21E1E5B8" w:rsidR="00834367" w:rsidRDefault="00834367" w:rsidP="003A500D">
      <w:pPr>
        <w:spacing w:line="360" w:lineRule="auto"/>
      </w:pPr>
    </w:p>
    <w:p w14:paraId="72367E96" w14:textId="2FA329EB" w:rsidR="00834367" w:rsidRPr="003A500D" w:rsidRDefault="00834367" w:rsidP="003A500D">
      <w:pPr>
        <w:spacing w:line="360" w:lineRule="auto"/>
        <w:rPr>
          <w:rFonts w:ascii="Arial" w:hAnsi="Arial" w:cs="Arial"/>
        </w:rPr>
      </w:pPr>
    </w:p>
    <w:p w14:paraId="5C164E8A" w14:textId="5ECFE982" w:rsidR="00834367" w:rsidRPr="003A500D" w:rsidRDefault="00834367" w:rsidP="003A500D">
      <w:pPr>
        <w:spacing w:line="360" w:lineRule="auto"/>
        <w:rPr>
          <w:rFonts w:ascii="Arial" w:hAnsi="Arial" w:cs="Arial"/>
        </w:rPr>
      </w:pPr>
    </w:p>
    <w:p w14:paraId="693E1736" w14:textId="77777777" w:rsidR="00834367" w:rsidRPr="003A500D" w:rsidRDefault="00834367" w:rsidP="003A500D">
      <w:pPr>
        <w:spacing w:line="360" w:lineRule="auto"/>
        <w:rPr>
          <w:rFonts w:ascii="Arial" w:hAnsi="Arial" w:cs="Arial"/>
        </w:rPr>
      </w:pPr>
    </w:p>
    <w:p w14:paraId="3C685E9E" w14:textId="2769A95E" w:rsidR="00834367" w:rsidRPr="003A500D" w:rsidRDefault="00834367" w:rsidP="003A500D">
      <w:pPr>
        <w:pStyle w:val="Heading1"/>
        <w:spacing w:line="360" w:lineRule="auto"/>
        <w:rPr>
          <w:rFonts w:ascii="Arial" w:hAnsi="Arial" w:cs="Arial"/>
          <w:sz w:val="22"/>
          <w:szCs w:val="22"/>
        </w:rPr>
      </w:pPr>
      <w:bookmarkStart w:id="1" w:name="_Toc99985386"/>
      <w:r w:rsidRPr="003A500D">
        <w:rPr>
          <w:rFonts w:ascii="Arial" w:hAnsi="Arial" w:cs="Arial"/>
          <w:sz w:val="22"/>
          <w:szCs w:val="22"/>
        </w:rPr>
        <w:t>Task 1</w:t>
      </w:r>
      <w:bookmarkEnd w:id="1"/>
    </w:p>
    <w:p w14:paraId="0B02B87B" w14:textId="77777777" w:rsidR="00834367" w:rsidRPr="003A500D" w:rsidRDefault="00834367" w:rsidP="003A500D">
      <w:pPr>
        <w:pStyle w:val="Heading2"/>
        <w:spacing w:line="360" w:lineRule="auto"/>
        <w:rPr>
          <w:rFonts w:ascii="Arial" w:hAnsi="Arial" w:cs="Arial"/>
          <w:sz w:val="22"/>
          <w:szCs w:val="22"/>
        </w:rPr>
      </w:pPr>
      <w:bookmarkStart w:id="2" w:name="_Toc99748797"/>
      <w:bookmarkStart w:id="3" w:name="_Toc99985387"/>
      <w:r w:rsidRPr="003A500D">
        <w:rPr>
          <w:rFonts w:ascii="Arial" w:hAnsi="Arial" w:cs="Arial"/>
          <w:sz w:val="22"/>
          <w:szCs w:val="22"/>
        </w:rPr>
        <w:t>Introduction</w:t>
      </w:r>
      <w:bookmarkEnd w:id="2"/>
      <w:bookmarkEnd w:id="3"/>
    </w:p>
    <w:p w14:paraId="026BFB70" w14:textId="77777777" w:rsidR="00834367" w:rsidRPr="003A500D" w:rsidRDefault="00834367" w:rsidP="003A500D">
      <w:pPr>
        <w:spacing w:line="360" w:lineRule="auto"/>
        <w:jc w:val="both"/>
        <w:rPr>
          <w:rFonts w:ascii="Arial" w:hAnsi="Arial" w:cs="Arial"/>
          <w:color w:val="36363D"/>
        </w:rPr>
      </w:pPr>
      <w:r w:rsidRPr="003A500D">
        <w:rPr>
          <w:rFonts w:ascii="Arial" w:hAnsi="Arial" w:cs="Arial"/>
          <w:color w:val="36363D"/>
        </w:rPr>
        <w:t>In this research, the primary goal is to objectively analyse the most successful method of motivating employees. Furthermore, the difficulties of inspiring employees in any workplace are discussed in this paper.. A person's motivation may be defined as any external elements and situations, as well as any action or inactivity that causes them to behave in a specific manner. In order to engage in any activity or pursue personal growth, one must first be motivated. A person's motivation may be defined as the reasons and elements that influence his or her behaviour in the ordinary course of affairs. Employee productivity may be increased by encouraging and inspiring them. This is a fundamental aspect of every company's personnel policy.</w:t>
      </w:r>
    </w:p>
    <w:p w14:paraId="0399A65F" w14:textId="77777777" w:rsidR="00834367" w:rsidRPr="003A500D" w:rsidRDefault="00834367" w:rsidP="003A500D">
      <w:pPr>
        <w:spacing w:line="360" w:lineRule="auto"/>
        <w:jc w:val="both"/>
        <w:rPr>
          <w:rFonts w:ascii="Arial" w:hAnsi="Arial" w:cs="Arial"/>
          <w:color w:val="36363D"/>
        </w:rPr>
      </w:pPr>
      <w:r w:rsidRPr="003A500D">
        <w:rPr>
          <w:rFonts w:ascii="Arial" w:hAnsi="Arial" w:cs="Arial"/>
          <w:color w:val="36363D"/>
        </w:rPr>
        <w:t>Motivation is essential for getting the most out of individuals and their teams. One of the most essential roles of managers is to guarantee that the level of work inspiration of each employee of the steering committee and of the team is appropriate for the circumstances (</w:t>
      </w:r>
      <w:r w:rsidRPr="003A500D">
        <w:rPr>
          <w:rFonts w:ascii="Arial" w:hAnsi="Arial" w:cs="Arial"/>
          <w:color w:val="36363D"/>
          <w:shd w:val="clear" w:color="auto" w:fill="FFFFFF"/>
        </w:rPr>
        <w:t>Kafai et al. 2020</w:t>
      </w:r>
      <w:r w:rsidRPr="003A500D">
        <w:rPr>
          <w:rFonts w:ascii="Arial" w:hAnsi="Arial" w:cs="Arial"/>
          <w:color w:val="36363D"/>
        </w:rPr>
        <w:t>). Everyone in the organisation will find it simpler to work together for the same objective if they take this approach, which will be beneficial to everyone. It is advantageous to have a motivated workforce for a variety of reasons, including higher production and a more favourable working atmosphere for everyone involved. As a result, the purpose of this research is to examine some of the most successful strategies that businesses may utilise to develop a strong motivating plan for their workers.</w:t>
      </w:r>
    </w:p>
    <w:p w14:paraId="38904436" w14:textId="77777777" w:rsidR="00834367" w:rsidRPr="003A500D" w:rsidRDefault="00834367" w:rsidP="003A500D">
      <w:pPr>
        <w:pStyle w:val="Heading2"/>
        <w:spacing w:line="360" w:lineRule="auto"/>
        <w:rPr>
          <w:rFonts w:ascii="Arial" w:hAnsi="Arial" w:cs="Arial"/>
          <w:sz w:val="22"/>
          <w:szCs w:val="22"/>
        </w:rPr>
      </w:pPr>
      <w:bookmarkStart w:id="4" w:name="_Toc99748798"/>
      <w:bookmarkStart w:id="5" w:name="_Toc99985388"/>
      <w:r w:rsidRPr="003A500D">
        <w:rPr>
          <w:rFonts w:ascii="Arial" w:hAnsi="Arial" w:cs="Arial"/>
          <w:sz w:val="22"/>
          <w:szCs w:val="22"/>
        </w:rPr>
        <w:t>The different ways that staff can be motivated</w:t>
      </w:r>
      <w:bookmarkEnd w:id="4"/>
      <w:bookmarkEnd w:id="5"/>
    </w:p>
    <w:p w14:paraId="119590D8" w14:textId="77777777" w:rsidR="00834367" w:rsidRPr="003A500D" w:rsidRDefault="00834367" w:rsidP="003A500D">
      <w:pPr>
        <w:spacing w:line="360" w:lineRule="auto"/>
        <w:jc w:val="both"/>
        <w:rPr>
          <w:rFonts w:ascii="Arial" w:hAnsi="Arial" w:cs="Arial"/>
          <w:color w:val="36363D"/>
        </w:rPr>
      </w:pPr>
      <w:r w:rsidRPr="003A500D">
        <w:rPr>
          <w:rFonts w:ascii="Arial" w:hAnsi="Arial" w:cs="Arial"/>
          <w:color w:val="36363D"/>
        </w:rPr>
        <w:t>Sustainable corporate growth is made possible by a well-thought-out system of employee incentive and reward. The preceding are the several methods through which employees might be motivated:</w:t>
      </w:r>
    </w:p>
    <w:p w14:paraId="31E272BB" w14:textId="77777777" w:rsidR="00834367" w:rsidRPr="003A500D" w:rsidRDefault="00834367" w:rsidP="003A500D">
      <w:pPr>
        <w:pStyle w:val="Heading3"/>
        <w:spacing w:line="360" w:lineRule="auto"/>
        <w:rPr>
          <w:rFonts w:ascii="Arial" w:hAnsi="Arial" w:cs="Arial"/>
          <w:sz w:val="22"/>
        </w:rPr>
      </w:pPr>
      <w:bookmarkStart w:id="6" w:name="_Toc99748799"/>
      <w:bookmarkStart w:id="7" w:name="_Toc99985389"/>
      <w:r w:rsidRPr="003A500D">
        <w:rPr>
          <w:rFonts w:ascii="Arial" w:hAnsi="Arial" w:cs="Arial"/>
          <w:sz w:val="22"/>
        </w:rPr>
        <w:t>Pay</w:t>
      </w:r>
      <w:bookmarkEnd w:id="6"/>
      <w:bookmarkEnd w:id="7"/>
    </w:p>
    <w:p w14:paraId="5758359E" w14:textId="77777777" w:rsidR="00834367" w:rsidRPr="003A500D" w:rsidRDefault="00834367" w:rsidP="003A500D">
      <w:pPr>
        <w:spacing w:line="360" w:lineRule="auto"/>
        <w:jc w:val="both"/>
        <w:rPr>
          <w:rFonts w:ascii="Arial" w:hAnsi="Arial" w:cs="Arial"/>
          <w:color w:val="36363D"/>
        </w:rPr>
      </w:pPr>
      <w:r w:rsidRPr="003A500D">
        <w:rPr>
          <w:rFonts w:ascii="Arial" w:hAnsi="Arial" w:cs="Arial"/>
          <w:color w:val="36363D"/>
        </w:rPr>
        <w:t>In the world of employee motivation, pay is seen as the basis upon which all other ways of motivating employees are built, and without which none would be successful. It may be seen as a motivating force both directly and indirectly, depending on the situation. If looked at in isolation, it has the potential to satisfy the wants and expectations of service providers, inspiring them, and enabling them to conduct their duties more successfully and productively, while also meeting the requirements of organisations (</w:t>
      </w:r>
      <w:r w:rsidRPr="003A500D">
        <w:rPr>
          <w:rFonts w:ascii="Arial" w:hAnsi="Arial" w:cs="Arial"/>
          <w:color w:val="36363D"/>
          <w:shd w:val="clear" w:color="auto" w:fill="FFFFFF"/>
        </w:rPr>
        <w:t>Panadero et al. 2019</w:t>
      </w:r>
      <w:r w:rsidRPr="003A500D">
        <w:rPr>
          <w:rFonts w:ascii="Arial" w:hAnsi="Arial" w:cs="Arial"/>
          <w:color w:val="36363D"/>
        </w:rPr>
        <w:t xml:space="preserve">). However, it is </w:t>
      </w:r>
      <w:r w:rsidRPr="003A500D">
        <w:rPr>
          <w:rFonts w:ascii="Arial" w:hAnsi="Arial" w:cs="Arial"/>
          <w:color w:val="36363D"/>
        </w:rPr>
        <w:lastRenderedPageBreak/>
        <w:t>supplemented by advantages, when they are available, such as: unhealthy work, night shift, overtime, and dangerous work, among other benefits that are particular to certain professions, such as: When faced with a choice between two occupations, individuals are more likely to select the one with the greater wage after considering a variety of other criteria.</w:t>
      </w:r>
    </w:p>
    <w:p w14:paraId="6E0DC563" w14:textId="77777777" w:rsidR="00834367" w:rsidRPr="003A500D" w:rsidRDefault="00834367" w:rsidP="003A500D">
      <w:pPr>
        <w:spacing w:line="360" w:lineRule="auto"/>
        <w:jc w:val="both"/>
        <w:rPr>
          <w:rFonts w:ascii="Arial" w:hAnsi="Arial" w:cs="Arial"/>
          <w:color w:val="36363D"/>
        </w:rPr>
      </w:pPr>
      <w:r w:rsidRPr="003A500D">
        <w:rPr>
          <w:rFonts w:ascii="Arial" w:hAnsi="Arial" w:cs="Arial"/>
          <w:color w:val="36363D"/>
        </w:rPr>
        <w:t>Sabir (2017) emphasizes Maslow's "Hierarchy of Needs" and Herzberg's "Factors Hygiene-Motivation" as the two most important theories for understanding motivation. Associating "Maslow and Herzberg's theory" with our issue of pay as a motivational element, it is possible to notice that salary participates indirectly, and it is possible to understand why compensation is so closely associated with the fulfilment of human wants. When comparing the Maslow and Herzberg theories of motivation, income is not as important as it formerly was, but it still makes a major contribution, which means that compensation is vital to the fulfilment of human wants.</w:t>
      </w:r>
    </w:p>
    <w:p w14:paraId="215A62C0" w14:textId="77777777" w:rsidR="00834367" w:rsidRPr="003A500D" w:rsidRDefault="00834367" w:rsidP="003A500D">
      <w:pPr>
        <w:spacing w:line="360" w:lineRule="auto"/>
        <w:jc w:val="both"/>
        <w:rPr>
          <w:rFonts w:ascii="Arial" w:hAnsi="Arial" w:cs="Arial"/>
          <w:color w:val="36363D"/>
        </w:rPr>
      </w:pPr>
      <w:r w:rsidRPr="003A500D">
        <w:rPr>
          <w:rFonts w:ascii="Arial" w:hAnsi="Arial" w:cs="Arial"/>
          <w:color w:val="36363D"/>
        </w:rPr>
        <w:t>In addition to pay, the cold transaction of output for compensation does not drive workers; it is only an equitable recompense for their efforts, and the employee is solely important in preserving his or her own existence (</w:t>
      </w:r>
      <w:proofErr w:type="spellStart"/>
      <w:r w:rsidRPr="003A500D">
        <w:rPr>
          <w:rFonts w:ascii="Arial" w:hAnsi="Arial" w:cs="Arial"/>
          <w:color w:val="36363D"/>
          <w:shd w:val="clear" w:color="auto" w:fill="FFFFFF"/>
        </w:rPr>
        <w:t>Naeimi</w:t>
      </w:r>
      <w:proofErr w:type="spellEnd"/>
      <w:r w:rsidRPr="003A500D">
        <w:rPr>
          <w:rFonts w:ascii="Arial" w:hAnsi="Arial" w:cs="Arial"/>
          <w:color w:val="36363D"/>
          <w:shd w:val="clear" w:color="auto" w:fill="FFFFFF"/>
        </w:rPr>
        <w:t xml:space="preserve"> et al. 2020</w:t>
      </w:r>
      <w:r w:rsidRPr="003A500D">
        <w:rPr>
          <w:rFonts w:ascii="Arial" w:hAnsi="Arial" w:cs="Arial"/>
          <w:color w:val="36363D"/>
        </w:rPr>
        <w:t>). A pay should be seen as an extra function of incentive by the firm in this context, and the corporation should aim to utilise it as an essential option in the alignment of personal and organisational goals. Despite the fact that individuals are complicated creatures and that money is not always a source of work encouragement, but it's no less true that an employee who feels underappreciated is more likely to get demotivated at the workplace.</w:t>
      </w:r>
    </w:p>
    <w:p w14:paraId="238B15ED" w14:textId="77777777" w:rsidR="00834367" w:rsidRPr="003A500D" w:rsidRDefault="00834367" w:rsidP="003A500D">
      <w:pPr>
        <w:pStyle w:val="Heading2"/>
        <w:spacing w:line="360" w:lineRule="auto"/>
        <w:rPr>
          <w:rFonts w:ascii="Arial" w:hAnsi="Arial" w:cs="Arial"/>
          <w:sz w:val="22"/>
          <w:szCs w:val="22"/>
        </w:rPr>
      </w:pPr>
      <w:bookmarkStart w:id="8" w:name="_Toc99748800"/>
      <w:bookmarkStart w:id="9" w:name="_Toc99985390"/>
      <w:r w:rsidRPr="003A500D">
        <w:rPr>
          <w:rFonts w:ascii="Arial" w:hAnsi="Arial" w:cs="Arial"/>
          <w:sz w:val="22"/>
          <w:szCs w:val="22"/>
        </w:rPr>
        <w:t>Recognition and Rewards</w:t>
      </w:r>
      <w:bookmarkEnd w:id="8"/>
      <w:bookmarkEnd w:id="9"/>
    </w:p>
    <w:p w14:paraId="29D4E517" w14:textId="77777777" w:rsidR="00834367" w:rsidRPr="003A500D" w:rsidRDefault="00834367" w:rsidP="003A500D">
      <w:pPr>
        <w:spacing w:line="360" w:lineRule="auto"/>
        <w:jc w:val="both"/>
        <w:rPr>
          <w:rFonts w:ascii="Arial" w:hAnsi="Arial" w:cs="Arial"/>
          <w:color w:val="36363D"/>
        </w:rPr>
      </w:pPr>
      <w:r w:rsidRPr="003A500D">
        <w:rPr>
          <w:rFonts w:ascii="Arial" w:hAnsi="Arial" w:cs="Arial"/>
          <w:color w:val="36363D"/>
        </w:rPr>
        <w:t>In today's competitive business environment, executives have fewer alternatives for affecting the behaviour of their staff, thus incentives and acknowledgement are more important than ever. Even in tough economic times, a company's morale may surge owing to rewards like financial rewards and other public recognition. When it comes to recognising and rewarding workers' efforts, there are many factors to keep in mind: tailoring the reward to the individual, tailoring the award to the accomplishment, and being appropriate and detailed.</w:t>
      </w:r>
    </w:p>
    <w:p w14:paraId="67655B7A" w14:textId="77777777" w:rsidR="00834367" w:rsidRPr="003A500D" w:rsidRDefault="00834367" w:rsidP="003A500D">
      <w:pPr>
        <w:spacing w:line="360" w:lineRule="auto"/>
        <w:jc w:val="both"/>
        <w:rPr>
          <w:rFonts w:ascii="Arial" w:hAnsi="Arial" w:cs="Arial"/>
          <w:color w:val="36363D"/>
        </w:rPr>
      </w:pPr>
      <w:r w:rsidRPr="003A500D">
        <w:rPr>
          <w:rFonts w:ascii="Arial" w:hAnsi="Arial" w:cs="Arial"/>
          <w:color w:val="36363D"/>
        </w:rPr>
        <w:t>Our family and friends, colleagues, and community all have a role in helping us reach self-realization, according to Maslow's hierarchy of human needs. Employees could feel a sense of accomplishment when they get an award, which is free and can signify a great deal since it validates their hard work (</w:t>
      </w:r>
      <w:proofErr w:type="spellStart"/>
      <w:r w:rsidRPr="003A500D">
        <w:rPr>
          <w:rFonts w:ascii="Arial" w:hAnsi="Arial" w:cs="Arial"/>
          <w:color w:val="36363D"/>
          <w:shd w:val="clear" w:color="auto" w:fill="FFFFFF"/>
        </w:rPr>
        <w:t>Zampini</w:t>
      </w:r>
      <w:proofErr w:type="spellEnd"/>
      <w:r w:rsidRPr="003A500D">
        <w:rPr>
          <w:rFonts w:ascii="Arial" w:hAnsi="Arial" w:cs="Arial"/>
          <w:color w:val="36363D"/>
          <w:shd w:val="clear" w:color="auto" w:fill="FFFFFF"/>
        </w:rPr>
        <w:t xml:space="preserve"> </w:t>
      </w:r>
      <w:proofErr w:type="spellStart"/>
      <w:r w:rsidRPr="003A500D">
        <w:rPr>
          <w:rFonts w:ascii="Arial" w:hAnsi="Arial" w:cs="Arial"/>
          <w:color w:val="36363D"/>
          <w:shd w:val="clear" w:color="auto" w:fill="FFFFFF"/>
        </w:rPr>
        <w:t>etal</w:t>
      </w:r>
      <w:proofErr w:type="spellEnd"/>
      <w:r w:rsidRPr="003A500D">
        <w:rPr>
          <w:rFonts w:ascii="Arial" w:hAnsi="Arial" w:cs="Arial"/>
          <w:color w:val="36363D"/>
          <w:shd w:val="clear" w:color="auto" w:fill="FFFFFF"/>
        </w:rPr>
        <w:t>. 2019</w:t>
      </w:r>
      <w:r w:rsidRPr="003A500D">
        <w:rPr>
          <w:rFonts w:ascii="Arial" w:hAnsi="Arial" w:cs="Arial"/>
          <w:color w:val="36363D"/>
        </w:rPr>
        <w:t>). It is important to recognise their everyday labour in order to urge them to continue working for the benefit of the company's success.</w:t>
      </w:r>
    </w:p>
    <w:p w14:paraId="36733309" w14:textId="77777777" w:rsidR="00834367" w:rsidRPr="003A500D" w:rsidRDefault="00834367" w:rsidP="003A500D">
      <w:pPr>
        <w:spacing w:line="360" w:lineRule="auto"/>
        <w:jc w:val="both"/>
        <w:rPr>
          <w:rFonts w:ascii="Arial" w:hAnsi="Arial" w:cs="Arial"/>
          <w:color w:val="36363D"/>
        </w:rPr>
      </w:pPr>
      <w:r w:rsidRPr="003A500D">
        <w:rPr>
          <w:rFonts w:ascii="Arial" w:hAnsi="Arial" w:cs="Arial"/>
          <w:color w:val="36363D"/>
        </w:rPr>
        <w:t xml:space="preserve">Acknowledging one's accomplishments, as well as ensuring one's expectations are met, is part of the identification process. Employees should be recognised and rewarded for their accomplishments at work, both monetarily and in some other methods, like vacations, social </w:t>
      </w:r>
      <w:r w:rsidRPr="003A500D">
        <w:rPr>
          <w:rFonts w:ascii="Arial" w:hAnsi="Arial" w:cs="Arial"/>
          <w:color w:val="36363D"/>
        </w:rPr>
        <w:lastRenderedPageBreak/>
        <w:t>activities, and gifts. 'Workers must be convinced that if individuals put up the effort to produce high-quality work, their efforts are going to be motivated with advancements and advancements within the organisation.</w:t>
      </w:r>
    </w:p>
    <w:p w14:paraId="7C79A054" w14:textId="77777777" w:rsidR="00834367" w:rsidRPr="003A500D" w:rsidRDefault="00834367" w:rsidP="003A500D">
      <w:pPr>
        <w:spacing w:line="360" w:lineRule="auto"/>
        <w:jc w:val="both"/>
        <w:rPr>
          <w:rFonts w:ascii="Arial" w:hAnsi="Arial" w:cs="Arial"/>
          <w:color w:val="36363D"/>
        </w:rPr>
      </w:pPr>
      <w:r w:rsidRPr="003A500D">
        <w:rPr>
          <w:rFonts w:ascii="Arial" w:hAnsi="Arial" w:cs="Arial"/>
          <w:color w:val="36363D"/>
        </w:rPr>
        <w:t xml:space="preserve">One of the most time-honoured methods for celebrating employee success and fostering healthy rivalry among co-workers is the establishment of an </w:t>
      </w:r>
      <w:proofErr w:type="spellStart"/>
      <w:r w:rsidRPr="003A500D">
        <w:rPr>
          <w:rFonts w:ascii="Arial" w:hAnsi="Arial" w:cs="Arial"/>
          <w:color w:val="36363D"/>
        </w:rPr>
        <w:t>Honor</w:t>
      </w:r>
      <w:proofErr w:type="spellEnd"/>
      <w:r w:rsidRPr="003A500D">
        <w:rPr>
          <w:rFonts w:ascii="Arial" w:hAnsi="Arial" w:cs="Arial"/>
          <w:color w:val="36363D"/>
        </w:rPr>
        <w:t xml:space="preserve"> Board. McDonald's continues to utilise this time-honoured method of reinforcing employee morale by posting a picture of the month's top performer at each of its locations for co-workers and customers to view. The "board of motivations" is a similar strategy. This is a brand-new method that involves writing down the company's outcomes and other quality measures on a whiteboard. Workers are able to monitor their own development, compare it to that of other workers, and see how they stack up against others.</w:t>
      </w:r>
    </w:p>
    <w:p w14:paraId="6108C255" w14:textId="77777777" w:rsidR="00834367" w:rsidRPr="003A500D" w:rsidRDefault="00834367" w:rsidP="003A500D">
      <w:pPr>
        <w:spacing w:line="360" w:lineRule="auto"/>
        <w:jc w:val="both"/>
        <w:rPr>
          <w:rFonts w:ascii="Arial" w:hAnsi="Arial" w:cs="Arial"/>
          <w:color w:val="36363D"/>
        </w:rPr>
      </w:pPr>
      <w:r w:rsidRPr="003A500D">
        <w:rPr>
          <w:rFonts w:ascii="Arial" w:hAnsi="Arial" w:cs="Arial"/>
          <w:color w:val="36363D"/>
        </w:rPr>
        <w:t>If the company has the funds, it should give incentives like free meals, fare compensation, and mobile phone payments to encourage employees (</w:t>
      </w:r>
      <w:proofErr w:type="spellStart"/>
      <w:r w:rsidRPr="003A500D">
        <w:rPr>
          <w:rFonts w:ascii="Arial" w:hAnsi="Arial" w:cs="Arial"/>
          <w:color w:val="36363D"/>
          <w:shd w:val="clear" w:color="auto" w:fill="FFFFFF"/>
        </w:rPr>
        <w:t>Korpi</w:t>
      </w:r>
      <w:proofErr w:type="spellEnd"/>
      <w:r w:rsidRPr="003A500D">
        <w:rPr>
          <w:rFonts w:ascii="Arial" w:hAnsi="Arial" w:cs="Arial"/>
          <w:color w:val="36363D"/>
          <w:shd w:val="clear" w:color="auto" w:fill="FFFFFF"/>
        </w:rPr>
        <w:t xml:space="preserve"> et al. 2018</w:t>
      </w:r>
      <w:r w:rsidRPr="003A500D">
        <w:rPr>
          <w:rFonts w:ascii="Arial" w:hAnsi="Arial" w:cs="Arial"/>
          <w:color w:val="36363D"/>
        </w:rPr>
        <w:t>). This will lead to more motivated and loyal employees. It is most customary to provide bonuses via a material manner. Bonus amounts are often predetermined and awarded regardless of how well an employee performs or how much they surpass their goals. Pfizer, on the other hand, includes medical insurance for employees and their families as part of its benefits package, in addition to free eating, a corporate vehicle, a gym, a sauna, and other perks for the whole family.</w:t>
      </w:r>
    </w:p>
    <w:p w14:paraId="28140E9F" w14:textId="77777777" w:rsidR="00834367" w:rsidRPr="003A500D" w:rsidRDefault="00834367" w:rsidP="003A500D">
      <w:pPr>
        <w:pStyle w:val="Heading2"/>
        <w:spacing w:line="360" w:lineRule="auto"/>
        <w:rPr>
          <w:rFonts w:ascii="Arial" w:hAnsi="Arial" w:cs="Arial"/>
          <w:sz w:val="22"/>
          <w:szCs w:val="22"/>
        </w:rPr>
      </w:pPr>
      <w:bookmarkStart w:id="10" w:name="_Toc99748801"/>
      <w:bookmarkStart w:id="11" w:name="_Toc99985391"/>
      <w:r w:rsidRPr="003A500D">
        <w:rPr>
          <w:rFonts w:ascii="Arial" w:hAnsi="Arial" w:cs="Arial"/>
          <w:sz w:val="22"/>
          <w:szCs w:val="22"/>
        </w:rPr>
        <w:t>Additional holiday</w:t>
      </w:r>
      <w:bookmarkEnd w:id="10"/>
      <w:bookmarkEnd w:id="11"/>
    </w:p>
    <w:p w14:paraId="2481B824" w14:textId="77777777" w:rsidR="00834367" w:rsidRPr="003A500D" w:rsidRDefault="00834367" w:rsidP="003A500D">
      <w:pPr>
        <w:spacing w:line="360" w:lineRule="auto"/>
        <w:jc w:val="both"/>
        <w:rPr>
          <w:rFonts w:ascii="Arial" w:hAnsi="Arial" w:cs="Arial"/>
          <w:color w:val="36363D"/>
        </w:rPr>
      </w:pPr>
      <w:r w:rsidRPr="003A500D">
        <w:rPr>
          <w:rFonts w:ascii="Arial" w:hAnsi="Arial" w:cs="Arial"/>
          <w:color w:val="36363D"/>
        </w:rPr>
        <w:t>In supplementary to basic leave, an employee is entitled to additional time off work. The employee's income and place of employment are maintained throughout the extra leave term. Employees often take these breaks in conjunction with their major vacation. The lengthiest possible leave is agreed upon by both the company and its workers. It is dependent on the worker being temporarily relieved of his official duties for a certain length of time. However, the worker is able to keep his current job. Motivation may be achieved through recognising workers' achievements, providing timely feedback, and letting the team know how much management appreciates their contributions to the team's shared purpose. New techniques for motivating employees have been developed in recent years (</w:t>
      </w:r>
      <w:proofErr w:type="spellStart"/>
      <w:r w:rsidRPr="003A500D">
        <w:rPr>
          <w:rFonts w:ascii="Arial" w:hAnsi="Arial" w:cs="Arial"/>
          <w:color w:val="36363D"/>
          <w:shd w:val="clear" w:color="auto" w:fill="FFFFFF"/>
        </w:rPr>
        <w:t>Geertsema</w:t>
      </w:r>
      <w:proofErr w:type="spellEnd"/>
      <w:r w:rsidRPr="003A500D">
        <w:rPr>
          <w:rFonts w:ascii="Arial" w:hAnsi="Arial" w:cs="Arial"/>
          <w:color w:val="36363D"/>
          <w:shd w:val="clear" w:color="auto" w:fill="FFFFFF"/>
        </w:rPr>
        <w:t xml:space="preserve">, and </w:t>
      </w:r>
      <w:proofErr w:type="spellStart"/>
      <w:r w:rsidRPr="003A500D">
        <w:rPr>
          <w:rFonts w:ascii="Arial" w:hAnsi="Arial" w:cs="Arial"/>
          <w:color w:val="36363D"/>
          <w:shd w:val="clear" w:color="auto" w:fill="FFFFFF"/>
        </w:rPr>
        <w:t>Bolander</w:t>
      </w:r>
      <w:proofErr w:type="spellEnd"/>
      <w:r w:rsidRPr="003A500D">
        <w:rPr>
          <w:rFonts w:ascii="Arial" w:hAnsi="Arial" w:cs="Arial"/>
          <w:color w:val="36363D"/>
          <w:shd w:val="clear" w:color="auto" w:fill="FFFFFF"/>
        </w:rPr>
        <w:t xml:space="preserve"> </w:t>
      </w:r>
      <w:proofErr w:type="spellStart"/>
      <w:r w:rsidRPr="003A500D">
        <w:rPr>
          <w:rFonts w:ascii="Arial" w:hAnsi="Arial" w:cs="Arial"/>
          <w:color w:val="36363D"/>
          <w:shd w:val="clear" w:color="auto" w:fill="FFFFFF"/>
        </w:rPr>
        <w:t>Laksov</w:t>
      </w:r>
      <w:proofErr w:type="spellEnd"/>
      <w:r w:rsidRPr="003A500D">
        <w:rPr>
          <w:rFonts w:ascii="Arial" w:hAnsi="Arial" w:cs="Arial"/>
          <w:color w:val="36363D"/>
          <w:shd w:val="clear" w:color="auto" w:fill="FFFFFF"/>
        </w:rPr>
        <w:t>, 2019</w:t>
      </w:r>
      <w:r w:rsidRPr="003A500D">
        <w:rPr>
          <w:rFonts w:ascii="Arial" w:hAnsi="Arial" w:cs="Arial"/>
          <w:color w:val="36363D"/>
        </w:rPr>
        <w:t>). An employee's motivation may be boosted through non-monetary advantages such as incentives and high wages. If a worker has a real need for unpaid or compensated time off, an employer may be permitted to provide it. Obtaining this form of leave must be "bureaucratized" at the workplace. This is quite crucial. It is only appropriate to offer this kind of leave under specified conditions and for a limited amount of time.</w:t>
      </w:r>
    </w:p>
    <w:p w14:paraId="1F81F068" w14:textId="77777777" w:rsidR="00834367" w:rsidRPr="003A500D" w:rsidRDefault="00834367" w:rsidP="003A500D">
      <w:pPr>
        <w:spacing w:line="360" w:lineRule="auto"/>
        <w:jc w:val="both"/>
        <w:rPr>
          <w:rFonts w:ascii="Arial" w:hAnsi="Arial" w:cs="Arial"/>
          <w:color w:val="36363D"/>
        </w:rPr>
      </w:pPr>
      <w:r w:rsidRPr="003A500D">
        <w:rPr>
          <w:rFonts w:ascii="Arial" w:hAnsi="Arial" w:cs="Arial"/>
          <w:color w:val="36363D"/>
        </w:rPr>
        <w:t xml:space="preserve">The length of the interval for rest and food established by the employers is also significant. Employees may not be able to properly relax if the employer imposes a time limit of 20 minutes </w:t>
      </w:r>
      <w:r w:rsidRPr="003A500D">
        <w:rPr>
          <w:rFonts w:ascii="Arial" w:hAnsi="Arial" w:cs="Arial"/>
          <w:color w:val="36363D"/>
        </w:rPr>
        <w:lastRenderedPageBreak/>
        <w:t>for such a break. Flexibility in work schedules and leave policies are highly valued by employees. Providing an employee with a paid day off in recognition of a specific job accomplishment is a terrific non-monetary motivation. Workers may accumulate such days and use them all at once, resulting in an extra short holiday for attaining great productivity.</w:t>
      </w:r>
    </w:p>
    <w:p w14:paraId="56F08984" w14:textId="77777777" w:rsidR="00834367" w:rsidRPr="003A500D" w:rsidRDefault="00834367" w:rsidP="003A500D">
      <w:pPr>
        <w:pStyle w:val="Heading2"/>
        <w:spacing w:line="360" w:lineRule="auto"/>
        <w:rPr>
          <w:rFonts w:ascii="Arial" w:hAnsi="Arial" w:cs="Arial"/>
          <w:sz w:val="22"/>
          <w:szCs w:val="22"/>
        </w:rPr>
      </w:pPr>
      <w:bookmarkStart w:id="12" w:name="_Toc99748802"/>
      <w:bookmarkStart w:id="13" w:name="_Toc99985392"/>
      <w:r w:rsidRPr="003A500D">
        <w:rPr>
          <w:rFonts w:ascii="Arial" w:hAnsi="Arial" w:cs="Arial"/>
          <w:sz w:val="22"/>
          <w:szCs w:val="22"/>
        </w:rPr>
        <w:t>Good Working Conditions</w:t>
      </w:r>
      <w:bookmarkEnd w:id="12"/>
      <w:bookmarkEnd w:id="13"/>
    </w:p>
    <w:p w14:paraId="64D86E95" w14:textId="77777777" w:rsidR="00834367" w:rsidRPr="003A500D" w:rsidRDefault="00834367" w:rsidP="003A500D">
      <w:pPr>
        <w:spacing w:line="360" w:lineRule="auto"/>
        <w:jc w:val="both"/>
        <w:rPr>
          <w:rFonts w:ascii="Arial" w:hAnsi="Arial" w:cs="Arial"/>
          <w:color w:val="36363D"/>
        </w:rPr>
      </w:pPr>
      <w:r w:rsidRPr="003A500D">
        <w:rPr>
          <w:rFonts w:ascii="Arial" w:hAnsi="Arial" w:cs="Arial"/>
          <w:color w:val="36363D"/>
        </w:rPr>
        <w:t>In addition to increasing motivation, having a flexible work arrangement or the opportunity to work from residence may also improve productivity (</w:t>
      </w:r>
      <w:r w:rsidRPr="003A500D">
        <w:rPr>
          <w:rFonts w:ascii="Arial" w:hAnsi="Arial" w:cs="Arial"/>
          <w:color w:val="36363D"/>
          <w:shd w:val="clear" w:color="auto" w:fill="FFFFFF"/>
        </w:rPr>
        <w:t>Ferretti et al. 2019</w:t>
      </w:r>
      <w:r w:rsidRPr="003A500D">
        <w:rPr>
          <w:rFonts w:ascii="Arial" w:hAnsi="Arial" w:cs="Arial"/>
          <w:color w:val="36363D"/>
        </w:rPr>
        <w:t>). However, there are various disadvantages to using this kind of motivated augmentation. In addition to posing extra hazards, such as non-compliance with tasks or information leaking, remote employment with an open calendar is not suited for many experts. Offering workers the ability to choose where and how their work is allocated may seem to be a high-risk proposition at first glance, yet it was among the most effective strategies of wants to succeed in organisations all over the globe. Additionally, it is critical to maintain the finest staffs by making them feel more connected into the organisation, in addition to cutting office expenditures. It is well-known that PwC provides worldwide mobility, as well as flexible working hours and a pleasant working environment.</w:t>
      </w:r>
    </w:p>
    <w:p w14:paraId="5E173DF7" w14:textId="77777777" w:rsidR="00834367" w:rsidRPr="003A500D" w:rsidRDefault="00834367" w:rsidP="003A500D">
      <w:pPr>
        <w:spacing w:line="360" w:lineRule="auto"/>
        <w:jc w:val="both"/>
        <w:rPr>
          <w:rFonts w:ascii="Arial" w:hAnsi="Arial" w:cs="Arial"/>
          <w:color w:val="36363D"/>
        </w:rPr>
      </w:pPr>
      <w:r w:rsidRPr="003A500D">
        <w:rPr>
          <w:rFonts w:ascii="Arial" w:hAnsi="Arial" w:cs="Arial"/>
          <w:color w:val="36363D"/>
        </w:rPr>
        <w:t>Contracted time should not have to be strictly adhered to in order to function. To better meet the needs of their workers, businesses may devise alternative work schedules that are more accommodating. To give you an example, you might minimize lunchtime in order to move the conclusion of the professional day closer to the beginning of the next. Extending working hours Monday through Thursday in return for Saturday off would also be beneficial to a large number of workers (</w:t>
      </w:r>
      <w:proofErr w:type="spellStart"/>
      <w:r w:rsidRPr="003A500D">
        <w:rPr>
          <w:rFonts w:ascii="Arial" w:hAnsi="Arial" w:cs="Arial"/>
          <w:color w:val="36363D"/>
          <w:shd w:val="clear" w:color="auto" w:fill="FFFFFF"/>
        </w:rPr>
        <w:t>Toquero</w:t>
      </w:r>
      <w:proofErr w:type="spellEnd"/>
      <w:r w:rsidRPr="003A500D">
        <w:rPr>
          <w:rFonts w:ascii="Arial" w:hAnsi="Arial" w:cs="Arial"/>
          <w:color w:val="36363D"/>
          <w:shd w:val="clear" w:color="auto" w:fill="FFFFFF"/>
        </w:rPr>
        <w:t xml:space="preserve"> 2020</w:t>
      </w:r>
      <w:r w:rsidRPr="003A500D">
        <w:rPr>
          <w:rFonts w:ascii="Arial" w:hAnsi="Arial" w:cs="Arial"/>
          <w:color w:val="36363D"/>
        </w:rPr>
        <w:t>). Employees' quality of life is improved as a result of simple time changes, which make it easier to balance professional, personal, and family responsibilities. It is also advisable to deploy the intense shift during the summer season, since this enhances production while also allowing employees to spend more time with family members.</w:t>
      </w:r>
    </w:p>
    <w:p w14:paraId="3CB125E4" w14:textId="77777777" w:rsidR="00834367" w:rsidRPr="003A500D" w:rsidRDefault="00834367" w:rsidP="003A500D">
      <w:pPr>
        <w:spacing w:line="360" w:lineRule="auto"/>
        <w:jc w:val="both"/>
        <w:rPr>
          <w:rFonts w:ascii="Arial" w:hAnsi="Arial" w:cs="Arial"/>
          <w:color w:val="36363D"/>
        </w:rPr>
      </w:pPr>
      <w:r w:rsidRPr="003A500D">
        <w:rPr>
          <w:rFonts w:ascii="Arial" w:hAnsi="Arial" w:cs="Arial"/>
          <w:color w:val="36363D"/>
        </w:rPr>
        <w:t>The two-factor theory of motivation developed by Frederik Herzberg is built on a different idea. Two sorts of requirements were identified by him: hygienic and motivating for the personnel. It is the psychotherapist described during the first group who has specific demands in relation to the elimination of unfavourable work-related components. Job happiness, the establishment of a system for assessing and acknowledging performance, career progression, and other factors that lead to success are among the elements that make up the second set of motivating factors to work.</w:t>
      </w:r>
    </w:p>
    <w:p w14:paraId="73076AA6" w14:textId="77777777" w:rsidR="00834367" w:rsidRPr="003A500D" w:rsidRDefault="00834367" w:rsidP="003A500D">
      <w:pPr>
        <w:spacing w:line="360" w:lineRule="auto"/>
        <w:jc w:val="both"/>
        <w:rPr>
          <w:rFonts w:ascii="Arial" w:hAnsi="Arial" w:cs="Arial"/>
          <w:color w:val="36363D"/>
        </w:rPr>
      </w:pPr>
      <w:r w:rsidRPr="003A500D">
        <w:rPr>
          <w:rFonts w:ascii="Arial" w:hAnsi="Arial" w:cs="Arial"/>
          <w:color w:val="36363D"/>
        </w:rPr>
        <w:t>Frederic Herzberg must identify what motivates people to stay in their present jobs and what drives them to work more in order to improve effectiveness (</w:t>
      </w:r>
      <w:r w:rsidRPr="003A500D">
        <w:rPr>
          <w:rFonts w:ascii="Arial" w:hAnsi="Arial" w:cs="Arial"/>
          <w:color w:val="36363D"/>
          <w:shd w:val="clear" w:color="auto" w:fill="FFFFFF"/>
        </w:rPr>
        <w:t>Frazier et al. 2019</w:t>
      </w:r>
      <w:r w:rsidRPr="003A500D">
        <w:rPr>
          <w:rFonts w:ascii="Arial" w:hAnsi="Arial" w:cs="Arial"/>
          <w:color w:val="36363D"/>
        </w:rPr>
        <w:t xml:space="preserve">). The author </w:t>
      </w:r>
      <w:r w:rsidRPr="003A500D">
        <w:rPr>
          <w:rFonts w:ascii="Arial" w:hAnsi="Arial" w:cs="Arial"/>
          <w:color w:val="36363D"/>
        </w:rPr>
        <w:lastRenderedPageBreak/>
        <w:t>also introduced the concepts of "satisfaction" and "dissatisfaction" with work circumstances, which might have an impact on certain aspects of human behaviour.</w:t>
      </w:r>
    </w:p>
    <w:p w14:paraId="7E9365CD" w14:textId="77777777" w:rsidR="00834367" w:rsidRPr="003A500D" w:rsidRDefault="00834367" w:rsidP="003A500D">
      <w:pPr>
        <w:pStyle w:val="Heading2"/>
        <w:spacing w:line="360" w:lineRule="auto"/>
        <w:rPr>
          <w:rFonts w:ascii="Arial" w:hAnsi="Arial" w:cs="Arial"/>
          <w:sz w:val="22"/>
          <w:szCs w:val="22"/>
        </w:rPr>
      </w:pPr>
      <w:bookmarkStart w:id="14" w:name="_Toc99748803"/>
      <w:bookmarkStart w:id="15" w:name="_Toc99985393"/>
      <w:r w:rsidRPr="003A500D">
        <w:rPr>
          <w:rFonts w:ascii="Arial" w:hAnsi="Arial" w:cs="Arial"/>
          <w:sz w:val="22"/>
          <w:szCs w:val="22"/>
        </w:rPr>
        <w:t>Recommendations</w:t>
      </w:r>
      <w:bookmarkEnd w:id="14"/>
      <w:bookmarkEnd w:id="15"/>
    </w:p>
    <w:p w14:paraId="77B56148" w14:textId="77777777" w:rsidR="00834367" w:rsidRPr="003A500D" w:rsidRDefault="00834367" w:rsidP="003A500D">
      <w:pPr>
        <w:spacing w:line="360" w:lineRule="auto"/>
        <w:jc w:val="both"/>
        <w:rPr>
          <w:rFonts w:ascii="Arial" w:hAnsi="Arial" w:cs="Arial"/>
          <w:color w:val="36363D"/>
        </w:rPr>
      </w:pPr>
      <w:r w:rsidRPr="003A500D">
        <w:rPr>
          <w:rFonts w:ascii="Arial" w:hAnsi="Arial" w:cs="Arial"/>
          <w:color w:val="36363D"/>
        </w:rPr>
        <w:t>To ensure that the company's workers are properly motivated, it is important to follow a set of guidelines. Research into human psychology and practical experience are used to create these guidelines. Cash bonuses and high pay aren't the only kind of economic incentives that should be employed. Organizational and moral-psychological evaluations are two examples of these methods. Employees' physical and emotional well-being may be improved through monthly contributions to leisure activities.</w:t>
      </w:r>
    </w:p>
    <w:p w14:paraId="0461F215" w14:textId="77777777" w:rsidR="00834367" w:rsidRPr="003A500D" w:rsidRDefault="00834367" w:rsidP="003A500D">
      <w:pPr>
        <w:spacing w:line="360" w:lineRule="auto"/>
        <w:jc w:val="both"/>
        <w:rPr>
          <w:rFonts w:ascii="Arial" w:hAnsi="Arial" w:cs="Arial"/>
          <w:color w:val="36363D"/>
        </w:rPr>
      </w:pPr>
      <w:r w:rsidRPr="003A500D">
        <w:rPr>
          <w:rFonts w:ascii="Arial" w:hAnsi="Arial" w:cs="Arial"/>
          <w:color w:val="36363D"/>
        </w:rPr>
        <w:t>It is common for companies to utilise a wide range of methods to encourage their employees. Here are a few ideas to keep in mind for the company:</w:t>
      </w:r>
    </w:p>
    <w:p w14:paraId="3C90CAE6" w14:textId="77777777" w:rsidR="00834367" w:rsidRPr="003A500D" w:rsidRDefault="00834367" w:rsidP="003A500D">
      <w:pPr>
        <w:pStyle w:val="ListParagraph"/>
        <w:numPr>
          <w:ilvl w:val="0"/>
          <w:numId w:val="1"/>
        </w:numPr>
        <w:spacing w:line="360" w:lineRule="auto"/>
        <w:jc w:val="both"/>
        <w:rPr>
          <w:rFonts w:ascii="Arial" w:hAnsi="Arial" w:cs="Arial"/>
          <w:color w:val="36363D"/>
        </w:rPr>
      </w:pPr>
      <w:r w:rsidRPr="003A500D">
        <w:rPr>
          <w:rFonts w:ascii="Arial" w:hAnsi="Arial" w:cs="Arial"/>
          <w:color w:val="36363D"/>
        </w:rPr>
        <w:t>Incentives should be used to encourage employees to recognise and reward their efforts. It may be in the form of money or rewards, such as a vacation or a weekend away (</w:t>
      </w:r>
      <w:proofErr w:type="spellStart"/>
      <w:r w:rsidRPr="003A500D">
        <w:rPr>
          <w:rFonts w:ascii="Arial" w:hAnsi="Arial" w:cs="Arial"/>
          <w:color w:val="36363D"/>
          <w:shd w:val="clear" w:color="auto" w:fill="FFFFFF"/>
        </w:rPr>
        <w:t>Tondeur</w:t>
      </w:r>
      <w:proofErr w:type="spellEnd"/>
      <w:r w:rsidRPr="003A500D">
        <w:rPr>
          <w:rFonts w:ascii="Arial" w:hAnsi="Arial" w:cs="Arial"/>
          <w:color w:val="36363D"/>
          <w:shd w:val="clear" w:color="auto" w:fill="FFFFFF"/>
        </w:rPr>
        <w:t xml:space="preserve"> et al. 2018</w:t>
      </w:r>
      <w:r w:rsidRPr="003A500D">
        <w:rPr>
          <w:rFonts w:ascii="Arial" w:hAnsi="Arial" w:cs="Arial"/>
          <w:color w:val="36363D"/>
        </w:rPr>
        <w:t>).</w:t>
      </w:r>
    </w:p>
    <w:p w14:paraId="19C4A708" w14:textId="77777777" w:rsidR="00834367" w:rsidRPr="003A500D" w:rsidRDefault="00834367" w:rsidP="003A500D">
      <w:pPr>
        <w:pStyle w:val="ListParagraph"/>
        <w:numPr>
          <w:ilvl w:val="0"/>
          <w:numId w:val="1"/>
        </w:numPr>
        <w:spacing w:line="360" w:lineRule="auto"/>
        <w:jc w:val="both"/>
        <w:rPr>
          <w:rFonts w:ascii="Arial" w:hAnsi="Arial" w:cs="Arial"/>
          <w:color w:val="36363D"/>
        </w:rPr>
      </w:pPr>
      <w:r w:rsidRPr="003A500D">
        <w:rPr>
          <w:rFonts w:ascii="Arial" w:hAnsi="Arial" w:cs="Arial"/>
          <w:color w:val="36363D"/>
        </w:rPr>
        <w:t>The employer is responsible for helping the employee progress in their career. The employee's motivation will be fuelled by the promise of a better position and pay.</w:t>
      </w:r>
    </w:p>
    <w:p w14:paraId="2848B0B4" w14:textId="77777777" w:rsidR="00834367" w:rsidRPr="003A500D" w:rsidRDefault="00834367" w:rsidP="003A500D">
      <w:pPr>
        <w:pStyle w:val="ListParagraph"/>
        <w:numPr>
          <w:ilvl w:val="0"/>
          <w:numId w:val="1"/>
        </w:numPr>
        <w:spacing w:line="360" w:lineRule="auto"/>
        <w:jc w:val="both"/>
        <w:rPr>
          <w:rFonts w:ascii="Arial" w:hAnsi="Arial" w:cs="Arial"/>
          <w:color w:val="36363D"/>
        </w:rPr>
      </w:pPr>
      <w:r w:rsidRPr="003A500D">
        <w:rPr>
          <w:rFonts w:ascii="Arial" w:hAnsi="Arial" w:cs="Arial"/>
          <w:color w:val="36363D"/>
        </w:rPr>
        <w:t>Employees need to know what they're accountable for, how much time they have, and what their personal goals are for themselves, their team, and the company. As a result, job motivation and cooperation are fostered in the workplace.</w:t>
      </w:r>
    </w:p>
    <w:p w14:paraId="07AFB838" w14:textId="77777777" w:rsidR="00834367" w:rsidRPr="003A500D" w:rsidRDefault="00834367" w:rsidP="003A500D">
      <w:pPr>
        <w:pStyle w:val="ListParagraph"/>
        <w:numPr>
          <w:ilvl w:val="0"/>
          <w:numId w:val="1"/>
        </w:numPr>
        <w:spacing w:line="360" w:lineRule="auto"/>
        <w:jc w:val="both"/>
        <w:rPr>
          <w:rFonts w:ascii="Arial" w:hAnsi="Arial" w:cs="Arial"/>
          <w:color w:val="36363D"/>
        </w:rPr>
      </w:pPr>
      <w:r w:rsidRPr="003A500D">
        <w:rPr>
          <w:rFonts w:ascii="Arial" w:hAnsi="Arial" w:cs="Arial"/>
          <w:color w:val="36363D"/>
        </w:rPr>
        <w:t>Organize the workers in an efficient manner.</w:t>
      </w:r>
    </w:p>
    <w:p w14:paraId="7B3AF31D" w14:textId="688AA805" w:rsidR="00834367" w:rsidRPr="003A500D" w:rsidRDefault="00834367" w:rsidP="003A500D">
      <w:pPr>
        <w:pStyle w:val="ListParagraph"/>
        <w:numPr>
          <w:ilvl w:val="0"/>
          <w:numId w:val="1"/>
        </w:numPr>
        <w:spacing w:line="360" w:lineRule="auto"/>
        <w:jc w:val="both"/>
        <w:rPr>
          <w:rFonts w:ascii="Arial" w:hAnsi="Arial" w:cs="Arial"/>
          <w:color w:val="36363D"/>
        </w:rPr>
      </w:pPr>
      <w:r w:rsidRPr="003A500D">
        <w:rPr>
          <w:rFonts w:ascii="Arial" w:hAnsi="Arial" w:cs="Arial"/>
          <w:color w:val="36363D"/>
        </w:rPr>
        <w:t>Promotion at work: the employer is responsible for providing the employee with the necessary training to grow in their position. It's a powerful strategy for keeping employees engaged in their work on a long-term basis.</w:t>
      </w:r>
    </w:p>
    <w:p w14:paraId="5F5D66FE" w14:textId="15518C2D" w:rsidR="00834367" w:rsidRDefault="00834367" w:rsidP="003A500D">
      <w:pPr>
        <w:spacing w:line="360" w:lineRule="auto"/>
        <w:jc w:val="both"/>
        <w:rPr>
          <w:rFonts w:ascii="Arial" w:hAnsi="Arial" w:cs="Arial"/>
          <w:color w:val="36363D"/>
        </w:rPr>
      </w:pPr>
    </w:p>
    <w:p w14:paraId="747B5876" w14:textId="4EA01583" w:rsidR="00A51786" w:rsidRDefault="00A51786" w:rsidP="003A500D">
      <w:pPr>
        <w:spacing w:line="360" w:lineRule="auto"/>
        <w:jc w:val="both"/>
        <w:rPr>
          <w:rFonts w:ascii="Arial" w:hAnsi="Arial" w:cs="Arial"/>
          <w:color w:val="36363D"/>
        </w:rPr>
      </w:pPr>
    </w:p>
    <w:p w14:paraId="6E66335B" w14:textId="4C4397CB" w:rsidR="00A51786" w:rsidRDefault="00A51786" w:rsidP="003A500D">
      <w:pPr>
        <w:spacing w:line="360" w:lineRule="auto"/>
        <w:jc w:val="both"/>
        <w:rPr>
          <w:rFonts w:ascii="Arial" w:hAnsi="Arial" w:cs="Arial"/>
          <w:color w:val="36363D"/>
        </w:rPr>
      </w:pPr>
    </w:p>
    <w:p w14:paraId="5823356A" w14:textId="78D326E5" w:rsidR="00A51786" w:rsidRDefault="00A51786" w:rsidP="003A500D">
      <w:pPr>
        <w:spacing w:line="360" w:lineRule="auto"/>
        <w:jc w:val="both"/>
        <w:rPr>
          <w:rFonts w:ascii="Arial" w:hAnsi="Arial" w:cs="Arial"/>
          <w:color w:val="36363D"/>
        </w:rPr>
      </w:pPr>
    </w:p>
    <w:p w14:paraId="578823E3" w14:textId="34C4F6A1" w:rsidR="00A51786" w:rsidRDefault="00A51786" w:rsidP="003A500D">
      <w:pPr>
        <w:spacing w:line="360" w:lineRule="auto"/>
        <w:jc w:val="both"/>
        <w:rPr>
          <w:rFonts w:ascii="Arial" w:hAnsi="Arial" w:cs="Arial"/>
          <w:color w:val="36363D"/>
        </w:rPr>
      </w:pPr>
    </w:p>
    <w:p w14:paraId="03365D80" w14:textId="7C0C4A3B" w:rsidR="00A51786" w:rsidRDefault="00A51786" w:rsidP="003A500D">
      <w:pPr>
        <w:spacing w:line="360" w:lineRule="auto"/>
        <w:jc w:val="both"/>
        <w:rPr>
          <w:rFonts w:ascii="Arial" w:hAnsi="Arial" w:cs="Arial"/>
          <w:color w:val="36363D"/>
        </w:rPr>
      </w:pPr>
    </w:p>
    <w:p w14:paraId="7E88BC08" w14:textId="1D0C8409" w:rsidR="00A51786" w:rsidRDefault="00A51786" w:rsidP="003A500D">
      <w:pPr>
        <w:spacing w:line="360" w:lineRule="auto"/>
        <w:jc w:val="both"/>
        <w:rPr>
          <w:rFonts w:ascii="Arial" w:hAnsi="Arial" w:cs="Arial"/>
          <w:color w:val="36363D"/>
        </w:rPr>
      </w:pPr>
    </w:p>
    <w:p w14:paraId="043217AD" w14:textId="680D7331" w:rsidR="00A51786" w:rsidRDefault="00A51786" w:rsidP="003A500D">
      <w:pPr>
        <w:spacing w:line="360" w:lineRule="auto"/>
        <w:jc w:val="both"/>
        <w:rPr>
          <w:rFonts w:ascii="Arial" w:hAnsi="Arial" w:cs="Arial"/>
          <w:color w:val="36363D"/>
        </w:rPr>
      </w:pPr>
    </w:p>
    <w:p w14:paraId="670900E1" w14:textId="5F73AF06" w:rsidR="00A51786" w:rsidRDefault="00A51786" w:rsidP="003A500D">
      <w:pPr>
        <w:spacing w:line="360" w:lineRule="auto"/>
        <w:jc w:val="both"/>
        <w:rPr>
          <w:rFonts w:ascii="Arial" w:hAnsi="Arial" w:cs="Arial"/>
          <w:color w:val="36363D"/>
        </w:rPr>
      </w:pPr>
    </w:p>
    <w:p w14:paraId="740E599C" w14:textId="16B11449" w:rsidR="00A51786" w:rsidRDefault="00A51786" w:rsidP="003A500D">
      <w:pPr>
        <w:spacing w:line="360" w:lineRule="auto"/>
        <w:jc w:val="both"/>
        <w:rPr>
          <w:rFonts w:ascii="Arial" w:hAnsi="Arial" w:cs="Arial"/>
          <w:color w:val="36363D"/>
        </w:rPr>
      </w:pPr>
    </w:p>
    <w:p w14:paraId="2263F52F" w14:textId="7F041F57" w:rsidR="00A51786" w:rsidRDefault="00A51786" w:rsidP="003A500D">
      <w:pPr>
        <w:spacing w:line="360" w:lineRule="auto"/>
        <w:jc w:val="both"/>
        <w:rPr>
          <w:rFonts w:ascii="Arial" w:hAnsi="Arial" w:cs="Arial"/>
          <w:color w:val="36363D"/>
        </w:rPr>
      </w:pPr>
    </w:p>
    <w:p w14:paraId="5C333FC5" w14:textId="77777777" w:rsidR="00A51786" w:rsidRPr="003A500D" w:rsidRDefault="00A51786" w:rsidP="003A500D">
      <w:pPr>
        <w:spacing w:line="360" w:lineRule="auto"/>
        <w:jc w:val="both"/>
        <w:rPr>
          <w:rFonts w:ascii="Arial" w:hAnsi="Arial" w:cs="Arial"/>
          <w:color w:val="36363D"/>
        </w:rPr>
      </w:pPr>
    </w:p>
    <w:p w14:paraId="1F8D9746" w14:textId="77777777" w:rsidR="00834367" w:rsidRPr="003A500D" w:rsidRDefault="00834367" w:rsidP="003A500D">
      <w:pPr>
        <w:pStyle w:val="Heading2"/>
        <w:spacing w:line="360" w:lineRule="auto"/>
        <w:rPr>
          <w:rFonts w:ascii="Arial" w:hAnsi="Arial" w:cs="Arial"/>
          <w:sz w:val="22"/>
          <w:szCs w:val="22"/>
        </w:rPr>
      </w:pPr>
      <w:bookmarkStart w:id="16" w:name="_Toc99748804"/>
      <w:bookmarkStart w:id="17" w:name="_Toc99985394"/>
      <w:r w:rsidRPr="003A500D">
        <w:rPr>
          <w:rFonts w:ascii="Arial" w:hAnsi="Arial" w:cs="Arial"/>
          <w:sz w:val="22"/>
          <w:szCs w:val="22"/>
        </w:rPr>
        <w:t>Conclusion</w:t>
      </w:r>
      <w:bookmarkEnd w:id="16"/>
      <w:bookmarkEnd w:id="17"/>
    </w:p>
    <w:p w14:paraId="15F11619" w14:textId="7E615560" w:rsidR="00834367" w:rsidRDefault="00834367" w:rsidP="003A500D">
      <w:pPr>
        <w:spacing w:line="360" w:lineRule="auto"/>
        <w:jc w:val="both"/>
        <w:rPr>
          <w:rFonts w:ascii="Arial" w:hAnsi="Arial" w:cs="Arial"/>
          <w:color w:val="36363D"/>
        </w:rPr>
      </w:pPr>
      <w:r w:rsidRPr="003A500D">
        <w:rPr>
          <w:rFonts w:ascii="Arial" w:hAnsi="Arial" w:cs="Arial"/>
          <w:color w:val="36363D"/>
        </w:rPr>
        <w:t>Finally, one of the most important aims of business management is to keep employees motivated. To ensure the company's long-term viability, it is essential to have a high level of employee motivation. To ensure that the work on staff motivation is fully realised, it is required to prepare and create the company's policy on employee motivation. Employee motivation may be achieved using any of the strategies listed below. To keep workers motivated, recognition and reward are the most successful methods since they assist develop communication between management and the team, boost productivity, and contribute in the attainment of long-term financial success.</w:t>
      </w:r>
    </w:p>
    <w:p w14:paraId="7715328B" w14:textId="3DCB2A4F" w:rsidR="00A51786" w:rsidRDefault="00A51786" w:rsidP="003A500D">
      <w:pPr>
        <w:spacing w:line="360" w:lineRule="auto"/>
        <w:jc w:val="both"/>
        <w:rPr>
          <w:rFonts w:ascii="Arial" w:hAnsi="Arial" w:cs="Arial"/>
          <w:color w:val="36363D"/>
        </w:rPr>
      </w:pPr>
    </w:p>
    <w:p w14:paraId="3622E3DA" w14:textId="0BA860A2" w:rsidR="00A51786" w:rsidRDefault="00A51786" w:rsidP="003A500D">
      <w:pPr>
        <w:spacing w:line="360" w:lineRule="auto"/>
        <w:jc w:val="both"/>
        <w:rPr>
          <w:rFonts w:ascii="Arial" w:hAnsi="Arial" w:cs="Arial"/>
          <w:color w:val="36363D"/>
        </w:rPr>
      </w:pPr>
    </w:p>
    <w:p w14:paraId="558FD2E9" w14:textId="01471B2C" w:rsidR="00A51786" w:rsidRDefault="00A51786" w:rsidP="003A500D">
      <w:pPr>
        <w:spacing w:line="360" w:lineRule="auto"/>
        <w:jc w:val="both"/>
        <w:rPr>
          <w:rFonts w:ascii="Arial" w:hAnsi="Arial" w:cs="Arial"/>
          <w:color w:val="36363D"/>
        </w:rPr>
      </w:pPr>
    </w:p>
    <w:p w14:paraId="1FEA0FBF" w14:textId="5BC65F18" w:rsidR="00A51786" w:rsidRDefault="00A51786" w:rsidP="003A500D">
      <w:pPr>
        <w:spacing w:line="360" w:lineRule="auto"/>
        <w:jc w:val="both"/>
        <w:rPr>
          <w:rFonts w:ascii="Arial" w:hAnsi="Arial" w:cs="Arial"/>
          <w:color w:val="36363D"/>
        </w:rPr>
      </w:pPr>
    </w:p>
    <w:p w14:paraId="643B036B" w14:textId="562EB4E7" w:rsidR="00A51786" w:rsidRDefault="00A51786" w:rsidP="003A500D">
      <w:pPr>
        <w:spacing w:line="360" w:lineRule="auto"/>
        <w:jc w:val="both"/>
        <w:rPr>
          <w:rFonts w:ascii="Arial" w:hAnsi="Arial" w:cs="Arial"/>
          <w:color w:val="36363D"/>
        </w:rPr>
      </w:pPr>
    </w:p>
    <w:p w14:paraId="58DEF4B5" w14:textId="31616A10" w:rsidR="00A51786" w:rsidRDefault="00A51786" w:rsidP="003A500D">
      <w:pPr>
        <w:spacing w:line="360" w:lineRule="auto"/>
        <w:jc w:val="both"/>
        <w:rPr>
          <w:rFonts w:ascii="Arial" w:hAnsi="Arial" w:cs="Arial"/>
          <w:color w:val="36363D"/>
        </w:rPr>
      </w:pPr>
    </w:p>
    <w:p w14:paraId="012EABB4" w14:textId="0DAEBBFE" w:rsidR="00A51786" w:rsidRDefault="00A51786" w:rsidP="003A500D">
      <w:pPr>
        <w:spacing w:line="360" w:lineRule="auto"/>
        <w:jc w:val="both"/>
        <w:rPr>
          <w:rFonts w:ascii="Arial" w:hAnsi="Arial" w:cs="Arial"/>
          <w:color w:val="36363D"/>
        </w:rPr>
      </w:pPr>
    </w:p>
    <w:p w14:paraId="036EC603" w14:textId="06D93D77" w:rsidR="00A51786" w:rsidRDefault="00A51786" w:rsidP="003A500D">
      <w:pPr>
        <w:spacing w:line="360" w:lineRule="auto"/>
        <w:jc w:val="both"/>
        <w:rPr>
          <w:rFonts w:ascii="Arial" w:hAnsi="Arial" w:cs="Arial"/>
          <w:color w:val="36363D"/>
        </w:rPr>
      </w:pPr>
    </w:p>
    <w:p w14:paraId="5717B347" w14:textId="45EAB065" w:rsidR="00A51786" w:rsidRDefault="00A51786" w:rsidP="003A500D">
      <w:pPr>
        <w:spacing w:line="360" w:lineRule="auto"/>
        <w:jc w:val="both"/>
        <w:rPr>
          <w:rFonts w:ascii="Arial" w:hAnsi="Arial" w:cs="Arial"/>
          <w:color w:val="36363D"/>
        </w:rPr>
      </w:pPr>
    </w:p>
    <w:p w14:paraId="577DE137" w14:textId="4E81CBA3" w:rsidR="00A51786" w:rsidRDefault="00A51786" w:rsidP="003A500D">
      <w:pPr>
        <w:spacing w:line="360" w:lineRule="auto"/>
        <w:jc w:val="both"/>
        <w:rPr>
          <w:rFonts w:ascii="Arial" w:hAnsi="Arial" w:cs="Arial"/>
          <w:color w:val="36363D"/>
        </w:rPr>
      </w:pPr>
    </w:p>
    <w:p w14:paraId="646E1902" w14:textId="29038D53" w:rsidR="00A51786" w:rsidRDefault="00A51786" w:rsidP="003A500D">
      <w:pPr>
        <w:spacing w:line="360" w:lineRule="auto"/>
        <w:jc w:val="both"/>
        <w:rPr>
          <w:rFonts w:ascii="Arial" w:hAnsi="Arial" w:cs="Arial"/>
          <w:color w:val="36363D"/>
        </w:rPr>
      </w:pPr>
    </w:p>
    <w:p w14:paraId="08517A3A" w14:textId="0B9492D7" w:rsidR="00A51786" w:rsidRDefault="00A51786" w:rsidP="003A500D">
      <w:pPr>
        <w:spacing w:line="360" w:lineRule="auto"/>
        <w:jc w:val="both"/>
        <w:rPr>
          <w:rFonts w:ascii="Arial" w:hAnsi="Arial" w:cs="Arial"/>
          <w:color w:val="36363D"/>
        </w:rPr>
      </w:pPr>
    </w:p>
    <w:p w14:paraId="5DD203E4" w14:textId="0EE2463E" w:rsidR="00A51786" w:rsidRDefault="00A51786" w:rsidP="003A500D">
      <w:pPr>
        <w:spacing w:line="360" w:lineRule="auto"/>
        <w:jc w:val="both"/>
        <w:rPr>
          <w:rFonts w:ascii="Arial" w:hAnsi="Arial" w:cs="Arial"/>
          <w:color w:val="36363D"/>
        </w:rPr>
      </w:pPr>
    </w:p>
    <w:p w14:paraId="652F2FD1" w14:textId="7DB542E5" w:rsidR="00A51786" w:rsidRDefault="00A51786" w:rsidP="003A500D">
      <w:pPr>
        <w:spacing w:line="360" w:lineRule="auto"/>
        <w:jc w:val="both"/>
        <w:rPr>
          <w:rFonts w:ascii="Arial" w:hAnsi="Arial" w:cs="Arial"/>
          <w:color w:val="36363D"/>
        </w:rPr>
      </w:pPr>
    </w:p>
    <w:p w14:paraId="485978E0" w14:textId="77777777" w:rsidR="00A51786" w:rsidRPr="003A500D" w:rsidRDefault="00A51786" w:rsidP="003A500D">
      <w:pPr>
        <w:spacing w:line="360" w:lineRule="auto"/>
        <w:jc w:val="both"/>
        <w:rPr>
          <w:rFonts w:ascii="Arial" w:hAnsi="Arial" w:cs="Arial"/>
          <w:color w:val="36363D"/>
        </w:rPr>
      </w:pPr>
    </w:p>
    <w:p w14:paraId="2911304A" w14:textId="23AC8727" w:rsidR="00834367" w:rsidRPr="000807CD" w:rsidRDefault="000807CD" w:rsidP="003A500D">
      <w:pPr>
        <w:pStyle w:val="Heading1"/>
        <w:spacing w:line="360" w:lineRule="auto"/>
      </w:pPr>
      <w:bookmarkStart w:id="18" w:name="_Toc99985395"/>
      <w:r w:rsidRPr="000807CD">
        <w:t>Reference:</w:t>
      </w:r>
      <w:bookmarkEnd w:id="18"/>
      <w:r w:rsidRPr="000807CD">
        <w:t xml:space="preserve"> </w:t>
      </w:r>
    </w:p>
    <w:p w14:paraId="4DF83A5A" w14:textId="77777777" w:rsidR="000807CD" w:rsidRDefault="000807CD" w:rsidP="003A500D">
      <w:pPr>
        <w:spacing w:line="360" w:lineRule="auto"/>
        <w:jc w:val="both"/>
        <w:rPr>
          <w:rFonts w:ascii="Times New Roman" w:hAnsi="Times New Roman" w:cs="Times New Roman"/>
          <w:color w:val="36363D"/>
          <w:sz w:val="24"/>
          <w:szCs w:val="24"/>
          <w:shd w:val="clear" w:color="auto" w:fill="FFFFFF"/>
        </w:rPr>
      </w:pPr>
      <w:r>
        <w:rPr>
          <w:rFonts w:ascii="Times New Roman" w:hAnsi="Times New Roman" w:cs="Times New Roman"/>
          <w:color w:val="36363D"/>
          <w:sz w:val="24"/>
          <w:szCs w:val="24"/>
          <w:shd w:val="clear" w:color="auto" w:fill="FFFFFF"/>
        </w:rPr>
        <w:t>Harwell, T.A., 2020. Turning University/Community Partnerships into Action Through Collaboration and Communication.</w:t>
      </w:r>
    </w:p>
    <w:p w14:paraId="46E37486" w14:textId="77777777" w:rsidR="000807CD" w:rsidRDefault="000807CD" w:rsidP="003A500D">
      <w:pPr>
        <w:spacing w:line="360" w:lineRule="auto"/>
        <w:jc w:val="both"/>
        <w:rPr>
          <w:rFonts w:ascii="Times New Roman" w:hAnsi="Times New Roman" w:cs="Times New Roman"/>
          <w:color w:val="36363D"/>
          <w:sz w:val="24"/>
          <w:szCs w:val="24"/>
          <w:shd w:val="clear" w:color="auto" w:fill="FFFFFF"/>
        </w:rPr>
      </w:pPr>
      <w:r>
        <w:rPr>
          <w:rFonts w:ascii="Times New Roman" w:hAnsi="Times New Roman" w:cs="Times New Roman"/>
          <w:color w:val="36363D"/>
          <w:sz w:val="24"/>
          <w:szCs w:val="24"/>
          <w:shd w:val="clear" w:color="auto" w:fill="FFFFFF"/>
        </w:rPr>
        <w:t>Heck, P. and Schouten, G., 2020. Turning software engineers into ai engineers. </w:t>
      </w:r>
      <w:proofErr w:type="spellStart"/>
      <w:r>
        <w:rPr>
          <w:rFonts w:ascii="Times New Roman" w:hAnsi="Times New Roman" w:cs="Times New Roman"/>
          <w:i/>
          <w:iCs/>
          <w:color w:val="36363D"/>
          <w:sz w:val="24"/>
          <w:szCs w:val="24"/>
          <w:shd w:val="clear" w:color="auto" w:fill="FFFFFF"/>
        </w:rPr>
        <w:t>arXiv</w:t>
      </w:r>
      <w:proofErr w:type="spellEnd"/>
      <w:r>
        <w:rPr>
          <w:rFonts w:ascii="Times New Roman" w:hAnsi="Times New Roman" w:cs="Times New Roman"/>
          <w:i/>
          <w:iCs/>
          <w:color w:val="36363D"/>
          <w:sz w:val="24"/>
          <w:szCs w:val="24"/>
          <w:shd w:val="clear" w:color="auto" w:fill="FFFFFF"/>
        </w:rPr>
        <w:t xml:space="preserve"> preprint arXiv:2011.01590</w:t>
      </w:r>
      <w:r>
        <w:rPr>
          <w:rFonts w:ascii="Times New Roman" w:hAnsi="Times New Roman" w:cs="Times New Roman"/>
          <w:color w:val="36363D"/>
          <w:sz w:val="24"/>
          <w:szCs w:val="24"/>
          <w:shd w:val="clear" w:color="auto" w:fill="FFFFFF"/>
        </w:rPr>
        <w:t>.</w:t>
      </w:r>
    </w:p>
    <w:p w14:paraId="1EFA0CC0" w14:textId="77777777" w:rsidR="000807CD" w:rsidRDefault="000807CD" w:rsidP="003A500D">
      <w:pPr>
        <w:spacing w:line="360" w:lineRule="auto"/>
        <w:jc w:val="both"/>
        <w:rPr>
          <w:rFonts w:ascii="Times New Roman" w:hAnsi="Times New Roman" w:cs="Times New Roman"/>
          <w:color w:val="36363D"/>
          <w:sz w:val="24"/>
          <w:szCs w:val="24"/>
          <w:shd w:val="clear" w:color="auto" w:fill="FFFFFF"/>
        </w:rPr>
      </w:pPr>
      <w:r>
        <w:rPr>
          <w:rFonts w:ascii="Times New Roman" w:hAnsi="Times New Roman" w:cs="Times New Roman"/>
          <w:color w:val="36363D"/>
          <w:sz w:val="24"/>
          <w:szCs w:val="24"/>
          <w:shd w:val="clear" w:color="auto" w:fill="FFFFFF"/>
        </w:rPr>
        <w:t xml:space="preserve">Kafai, Y., Biswas, G., Hutchins, N., Snyder, C., Brennan, K., </w:t>
      </w:r>
      <w:proofErr w:type="spellStart"/>
      <w:r>
        <w:rPr>
          <w:rFonts w:ascii="Times New Roman" w:hAnsi="Times New Roman" w:cs="Times New Roman"/>
          <w:color w:val="36363D"/>
          <w:sz w:val="24"/>
          <w:szCs w:val="24"/>
          <w:shd w:val="clear" w:color="auto" w:fill="FFFFFF"/>
        </w:rPr>
        <w:t>Haduong</w:t>
      </w:r>
      <w:proofErr w:type="spellEnd"/>
      <w:r>
        <w:rPr>
          <w:rFonts w:ascii="Times New Roman" w:hAnsi="Times New Roman" w:cs="Times New Roman"/>
          <w:color w:val="36363D"/>
          <w:sz w:val="24"/>
          <w:szCs w:val="24"/>
          <w:shd w:val="clear" w:color="auto" w:fill="FFFFFF"/>
        </w:rPr>
        <w:t xml:space="preserve">, P., </w:t>
      </w:r>
      <w:proofErr w:type="spellStart"/>
      <w:r>
        <w:rPr>
          <w:rFonts w:ascii="Times New Roman" w:hAnsi="Times New Roman" w:cs="Times New Roman"/>
          <w:color w:val="36363D"/>
          <w:sz w:val="24"/>
          <w:szCs w:val="24"/>
          <w:shd w:val="clear" w:color="auto" w:fill="FFFFFF"/>
        </w:rPr>
        <w:t>DesPortes</w:t>
      </w:r>
      <w:proofErr w:type="spellEnd"/>
      <w:r>
        <w:rPr>
          <w:rFonts w:ascii="Times New Roman" w:hAnsi="Times New Roman" w:cs="Times New Roman"/>
          <w:color w:val="36363D"/>
          <w:sz w:val="24"/>
          <w:szCs w:val="24"/>
          <w:shd w:val="clear" w:color="auto" w:fill="FFFFFF"/>
        </w:rPr>
        <w:t xml:space="preserve">, K., Fong, M., Flood, V.J., Aalst, O.W.V. and </w:t>
      </w:r>
      <w:proofErr w:type="spellStart"/>
      <w:r>
        <w:rPr>
          <w:rFonts w:ascii="Times New Roman" w:hAnsi="Times New Roman" w:cs="Times New Roman"/>
          <w:color w:val="36363D"/>
          <w:sz w:val="24"/>
          <w:szCs w:val="24"/>
          <w:shd w:val="clear" w:color="auto" w:fill="FFFFFF"/>
        </w:rPr>
        <w:t>DeLiema</w:t>
      </w:r>
      <w:proofErr w:type="spellEnd"/>
      <w:r>
        <w:rPr>
          <w:rFonts w:ascii="Times New Roman" w:hAnsi="Times New Roman" w:cs="Times New Roman"/>
          <w:color w:val="36363D"/>
          <w:sz w:val="24"/>
          <w:szCs w:val="24"/>
          <w:shd w:val="clear" w:color="auto" w:fill="FFFFFF"/>
        </w:rPr>
        <w:t>, D., 2020. Turning bugs into learning opportunities: understanding debugging processes, perspectives, and pedagogies.</w:t>
      </w:r>
    </w:p>
    <w:p w14:paraId="79C7F3F1" w14:textId="77777777" w:rsidR="000807CD" w:rsidRDefault="000807CD" w:rsidP="003A500D">
      <w:pPr>
        <w:spacing w:line="360" w:lineRule="auto"/>
        <w:jc w:val="both"/>
        <w:rPr>
          <w:rFonts w:ascii="Times New Roman" w:hAnsi="Times New Roman" w:cs="Times New Roman"/>
          <w:color w:val="36363D"/>
          <w:sz w:val="24"/>
          <w:szCs w:val="24"/>
          <w:shd w:val="clear" w:color="auto" w:fill="FFFFFF"/>
        </w:rPr>
      </w:pPr>
      <w:proofErr w:type="spellStart"/>
      <w:r>
        <w:rPr>
          <w:rFonts w:ascii="Times New Roman" w:hAnsi="Times New Roman" w:cs="Times New Roman"/>
          <w:color w:val="36363D"/>
          <w:sz w:val="24"/>
          <w:szCs w:val="24"/>
          <w:shd w:val="clear" w:color="auto" w:fill="FFFFFF"/>
        </w:rPr>
        <w:t>Kocielnik</w:t>
      </w:r>
      <w:proofErr w:type="spellEnd"/>
      <w:r>
        <w:rPr>
          <w:rFonts w:ascii="Times New Roman" w:hAnsi="Times New Roman" w:cs="Times New Roman"/>
          <w:color w:val="36363D"/>
          <w:sz w:val="24"/>
          <w:szCs w:val="24"/>
          <w:shd w:val="clear" w:color="auto" w:fill="FFFFFF"/>
        </w:rPr>
        <w:t xml:space="preserve">, R., Xiao, L., </w:t>
      </w:r>
      <w:proofErr w:type="spellStart"/>
      <w:r>
        <w:rPr>
          <w:rFonts w:ascii="Times New Roman" w:hAnsi="Times New Roman" w:cs="Times New Roman"/>
          <w:color w:val="36363D"/>
          <w:sz w:val="24"/>
          <w:szCs w:val="24"/>
          <w:shd w:val="clear" w:color="auto" w:fill="FFFFFF"/>
        </w:rPr>
        <w:t>Avrahami</w:t>
      </w:r>
      <w:proofErr w:type="spellEnd"/>
      <w:r>
        <w:rPr>
          <w:rFonts w:ascii="Times New Roman" w:hAnsi="Times New Roman" w:cs="Times New Roman"/>
          <w:color w:val="36363D"/>
          <w:sz w:val="24"/>
          <w:szCs w:val="24"/>
          <w:shd w:val="clear" w:color="auto" w:fill="FFFFFF"/>
        </w:rPr>
        <w:t>, D. and Hsieh, G., 2018. Reflection companion: a conversational system for engaging users in reflection on physical activity. </w:t>
      </w:r>
      <w:r>
        <w:rPr>
          <w:rFonts w:ascii="Times New Roman" w:hAnsi="Times New Roman" w:cs="Times New Roman"/>
          <w:i/>
          <w:iCs/>
          <w:color w:val="36363D"/>
          <w:sz w:val="24"/>
          <w:szCs w:val="24"/>
          <w:shd w:val="clear" w:color="auto" w:fill="FFFFFF"/>
        </w:rPr>
        <w:t>Proceedings of the ACM on Interactive, Mobile, Wearable and Ubiquitous Technologies</w:t>
      </w:r>
      <w:r>
        <w:rPr>
          <w:rFonts w:ascii="Times New Roman" w:hAnsi="Times New Roman" w:cs="Times New Roman"/>
          <w:color w:val="36363D"/>
          <w:sz w:val="24"/>
          <w:szCs w:val="24"/>
          <w:shd w:val="clear" w:color="auto" w:fill="FFFFFF"/>
        </w:rPr>
        <w:t>, </w:t>
      </w:r>
      <w:r>
        <w:rPr>
          <w:rFonts w:ascii="Times New Roman" w:hAnsi="Times New Roman" w:cs="Times New Roman"/>
          <w:i/>
          <w:iCs/>
          <w:color w:val="36363D"/>
          <w:sz w:val="24"/>
          <w:szCs w:val="24"/>
          <w:shd w:val="clear" w:color="auto" w:fill="FFFFFF"/>
        </w:rPr>
        <w:t>2</w:t>
      </w:r>
      <w:r>
        <w:rPr>
          <w:rFonts w:ascii="Times New Roman" w:hAnsi="Times New Roman" w:cs="Times New Roman"/>
          <w:color w:val="36363D"/>
          <w:sz w:val="24"/>
          <w:szCs w:val="24"/>
          <w:shd w:val="clear" w:color="auto" w:fill="FFFFFF"/>
        </w:rPr>
        <w:t>(2), pp.1-26.</w:t>
      </w:r>
    </w:p>
    <w:p w14:paraId="06E66EB9" w14:textId="77777777" w:rsidR="000807CD" w:rsidRDefault="000807CD" w:rsidP="003A500D">
      <w:pPr>
        <w:spacing w:line="360" w:lineRule="auto"/>
        <w:jc w:val="both"/>
        <w:rPr>
          <w:rFonts w:ascii="Times New Roman" w:hAnsi="Times New Roman" w:cs="Times New Roman"/>
          <w:color w:val="36363D"/>
          <w:sz w:val="24"/>
          <w:szCs w:val="24"/>
          <w:shd w:val="clear" w:color="auto" w:fill="FFFFFF"/>
        </w:rPr>
      </w:pPr>
      <w:proofErr w:type="spellStart"/>
      <w:r>
        <w:rPr>
          <w:rFonts w:ascii="Times New Roman" w:hAnsi="Times New Roman" w:cs="Times New Roman"/>
          <w:color w:val="36363D"/>
          <w:sz w:val="24"/>
          <w:szCs w:val="24"/>
          <w:shd w:val="clear" w:color="auto" w:fill="FFFFFF"/>
        </w:rPr>
        <w:t>Korpi</w:t>
      </w:r>
      <w:proofErr w:type="spellEnd"/>
      <w:r>
        <w:rPr>
          <w:rFonts w:ascii="Times New Roman" w:hAnsi="Times New Roman" w:cs="Times New Roman"/>
          <w:color w:val="36363D"/>
          <w:sz w:val="24"/>
          <w:szCs w:val="24"/>
          <w:shd w:val="clear" w:color="auto" w:fill="FFFFFF"/>
        </w:rPr>
        <w:t xml:space="preserve">, H., </w:t>
      </w:r>
      <w:proofErr w:type="spellStart"/>
      <w:r>
        <w:rPr>
          <w:rFonts w:ascii="Times New Roman" w:hAnsi="Times New Roman" w:cs="Times New Roman"/>
          <w:color w:val="36363D"/>
          <w:sz w:val="24"/>
          <w:szCs w:val="24"/>
          <w:shd w:val="clear" w:color="auto" w:fill="FFFFFF"/>
        </w:rPr>
        <w:t>Peltokallio</w:t>
      </w:r>
      <w:proofErr w:type="spellEnd"/>
      <w:r>
        <w:rPr>
          <w:rFonts w:ascii="Times New Roman" w:hAnsi="Times New Roman" w:cs="Times New Roman"/>
          <w:color w:val="36363D"/>
          <w:sz w:val="24"/>
          <w:szCs w:val="24"/>
          <w:shd w:val="clear" w:color="auto" w:fill="FFFFFF"/>
        </w:rPr>
        <w:t xml:space="preserve">, L. and </w:t>
      </w:r>
      <w:proofErr w:type="spellStart"/>
      <w:r>
        <w:rPr>
          <w:rFonts w:ascii="Times New Roman" w:hAnsi="Times New Roman" w:cs="Times New Roman"/>
          <w:color w:val="36363D"/>
          <w:sz w:val="24"/>
          <w:szCs w:val="24"/>
          <w:shd w:val="clear" w:color="auto" w:fill="FFFFFF"/>
        </w:rPr>
        <w:t>Piirainen</w:t>
      </w:r>
      <w:proofErr w:type="spellEnd"/>
      <w:r>
        <w:rPr>
          <w:rFonts w:ascii="Times New Roman" w:hAnsi="Times New Roman" w:cs="Times New Roman"/>
          <w:color w:val="36363D"/>
          <w:sz w:val="24"/>
          <w:szCs w:val="24"/>
          <w:shd w:val="clear" w:color="auto" w:fill="FFFFFF"/>
        </w:rPr>
        <w:t>, A., 2018. Problem-based learning in professional studies from the physiotherapy students’ perspective. </w:t>
      </w:r>
      <w:r>
        <w:rPr>
          <w:rFonts w:ascii="Times New Roman" w:hAnsi="Times New Roman" w:cs="Times New Roman"/>
          <w:i/>
          <w:iCs/>
          <w:color w:val="36363D"/>
          <w:sz w:val="24"/>
          <w:szCs w:val="24"/>
          <w:shd w:val="clear" w:color="auto" w:fill="FFFFFF"/>
        </w:rPr>
        <w:t>Interdisciplinary Journal of Problem-Based Learning</w:t>
      </w:r>
      <w:r>
        <w:rPr>
          <w:rFonts w:ascii="Times New Roman" w:hAnsi="Times New Roman" w:cs="Times New Roman"/>
          <w:color w:val="36363D"/>
          <w:sz w:val="24"/>
          <w:szCs w:val="24"/>
          <w:shd w:val="clear" w:color="auto" w:fill="FFFFFF"/>
        </w:rPr>
        <w:t>, </w:t>
      </w:r>
      <w:r>
        <w:rPr>
          <w:rFonts w:ascii="Times New Roman" w:hAnsi="Times New Roman" w:cs="Times New Roman"/>
          <w:i/>
          <w:iCs/>
          <w:color w:val="36363D"/>
          <w:sz w:val="24"/>
          <w:szCs w:val="24"/>
          <w:shd w:val="clear" w:color="auto" w:fill="FFFFFF"/>
        </w:rPr>
        <w:t>13</w:t>
      </w:r>
      <w:r>
        <w:rPr>
          <w:rFonts w:ascii="Times New Roman" w:hAnsi="Times New Roman" w:cs="Times New Roman"/>
          <w:color w:val="36363D"/>
          <w:sz w:val="24"/>
          <w:szCs w:val="24"/>
          <w:shd w:val="clear" w:color="auto" w:fill="FFFFFF"/>
        </w:rPr>
        <w:t>(1).</w:t>
      </w:r>
    </w:p>
    <w:p w14:paraId="51326096" w14:textId="77777777" w:rsidR="000807CD" w:rsidRDefault="000807CD" w:rsidP="003A500D">
      <w:pPr>
        <w:spacing w:line="360" w:lineRule="auto"/>
        <w:jc w:val="both"/>
        <w:rPr>
          <w:rFonts w:ascii="Times New Roman" w:hAnsi="Times New Roman" w:cs="Times New Roman"/>
          <w:color w:val="36363D"/>
          <w:sz w:val="24"/>
          <w:szCs w:val="24"/>
          <w:shd w:val="clear" w:color="auto" w:fill="FFFFFF"/>
        </w:rPr>
      </w:pPr>
      <w:proofErr w:type="spellStart"/>
      <w:r>
        <w:rPr>
          <w:rFonts w:ascii="Times New Roman" w:hAnsi="Times New Roman" w:cs="Times New Roman"/>
          <w:color w:val="36363D"/>
          <w:sz w:val="24"/>
          <w:szCs w:val="24"/>
          <w:shd w:val="clear" w:color="auto" w:fill="FFFFFF"/>
        </w:rPr>
        <w:t>Naeimi</w:t>
      </w:r>
      <w:proofErr w:type="spellEnd"/>
      <w:r>
        <w:rPr>
          <w:rFonts w:ascii="Times New Roman" w:hAnsi="Times New Roman" w:cs="Times New Roman"/>
          <w:color w:val="36363D"/>
          <w:sz w:val="24"/>
          <w:szCs w:val="24"/>
          <w:shd w:val="clear" w:color="auto" w:fill="FFFFFF"/>
        </w:rPr>
        <w:t xml:space="preserve">, L., </w:t>
      </w:r>
      <w:proofErr w:type="spellStart"/>
      <w:r>
        <w:rPr>
          <w:rFonts w:ascii="Times New Roman" w:hAnsi="Times New Roman" w:cs="Times New Roman"/>
          <w:color w:val="36363D"/>
          <w:sz w:val="24"/>
          <w:szCs w:val="24"/>
          <w:shd w:val="clear" w:color="auto" w:fill="FFFFFF"/>
        </w:rPr>
        <w:t>Asghari</w:t>
      </w:r>
      <w:proofErr w:type="spellEnd"/>
      <w:r>
        <w:rPr>
          <w:rFonts w:ascii="Times New Roman" w:hAnsi="Times New Roman" w:cs="Times New Roman"/>
          <w:color w:val="36363D"/>
          <w:sz w:val="24"/>
          <w:szCs w:val="24"/>
          <w:shd w:val="clear" w:color="auto" w:fill="FFFFFF"/>
        </w:rPr>
        <w:t xml:space="preserve">, F., </w:t>
      </w:r>
      <w:proofErr w:type="spellStart"/>
      <w:r>
        <w:rPr>
          <w:rFonts w:ascii="Times New Roman" w:hAnsi="Times New Roman" w:cs="Times New Roman"/>
          <w:color w:val="36363D"/>
          <w:sz w:val="24"/>
          <w:szCs w:val="24"/>
          <w:shd w:val="clear" w:color="auto" w:fill="FFFFFF"/>
        </w:rPr>
        <w:t>Nedjat</w:t>
      </w:r>
      <w:proofErr w:type="spellEnd"/>
      <w:r>
        <w:rPr>
          <w:rFonts w:ascii="Times New Roman" w:hAnsi="Times New Roman" w:cs="Times New Roman"/>
          <w:color w:val="36363D"/>
          <w:sz w:val="24"/>
          <w:szCs w:val="24"/>
          <w:shd w:val="clear" w:color="auto" w:fill="FFFFFF"/>
        </w:rPr>
        <w:t xml:space="preserve">, S., </w:t>
      </w:r>
      <w:proofErr w:type="spellStart"/>
      <w:r>
        <w:rPr>
          <w:rFonts w:ascii="Times New Roman" w:hAnsi="Times New Roman" w:cs="Times New Roman"/>
          <w:color w:val="36363D"/>
          <w:sz w:val="24"/>
          <w:szCs w:val="24"/>
          <w:shd w:val="clear" w:color="auto" w:fill="FFFFFF"/>
        </w:rPr>
        <w:t>Mirzazadeh</w:t>
      </w:r>
      <w:proofErr w:type="spellEnd"/>
      <w:r>
        <w:rPr>
          <w:rFonts w:ascii="Times New Roman" w:hAnsi="Times New Roman" w:cs="Times New Roman"/>
          <w:color w:val="36363D"/>
          <w:sz w:val="24"/>
          <w:szCs w:val="24"/>
          <w:shd w:val="clear" w:color="auto" w:fill="FFFFFF"/>
        </w:rPr>
        <w:t xml:space="preserve">, A., </w:t>
      </w:r>
      <w:proofErr w:type="spellStart"/>
      <w:r>
        <w:rPr>
          <w:rFonts w:ascii="Times New Roman" w:hAnsi="Times New Roman" w:cs="Times New Roman"/>
          <w:color w:val="36363D"/>
          <w:sz w:val="24"/>
          <w:szCs w:val="24"/>
          <w:shd w:val="clear" w:color="auto" w:fill="FFFFFF"/>
        </w:rPr>
        <w:t>Abbaszadeh</w:t>
      </w:r>
      <w:proofErr w:type="spellEnd"/>
      <w:r>
        <w:rPr>
          <w:rFonts w:ascii="Times New Roman" w:hAnsi="Times New Roman" w:cs="Times New Roman"/>
          <w:color w:val="36363D"/>
          <w:sz w:val="24"/>
          <w:szCs w:val="24"/>
          <w:shd w:val="clear" w:color="auto" w:fill="FFFFFF"/>
        </w:rPr>
        <w:t xml:space="preserve">, M., </w:t>
      </w:r>
      <w:proofErr w:type="spellStart"/>
      <w:r>
        <w:rPr>
          <w:rFonts w:ascii="Times New Roman" w:hAnsi="Times New Roman" w:cs="Times New Roman"/>
          <w:color w:val="36363D"/>
          <w:sz w:val="24"/>
          <w:szCs w:val="24"/>
          <w:shd w:val="clear" w:color="auto" w:fill="FFFFFF"/>
        </w:rPr>
        <w:t>Sima</w:t>
      </w:r>
      <w:proofErr w:type="spellEnd"/>
      <w:r>
        <w:rPr>
          <w:rFonts w:ascii="Times New Roman" w:hAnsi="Times New Roman" w:cs="Times New Roman"/>
          <w:color w:val="36363D"/>
          <w:sz w:val="24"/>
          <w:szCs w:val="24"/>
          <w:shd w:val="clear" w:color="auto" w:fill="FFFFFF"/>
        </w:rPr>
        <w:t xml:space="preserve">, A.R. and </w:t>
      </w:r>
      <w:proofErr w:type="spellStart"/>
      <w:r>
        <w:rPr>
          <w:rFonts w:ascii="Times New Roman" w:hAnsi="Times New Roman" w:cs="Times New Roman"/>
          <w:color w:val="36363D"/>
          <w:sz w:val="24"/>
          <w:szCs w:val="24"/>
          <w:shd w:val="clear" w:color="auto" w:fill="FFFFFF"/>
        </w:rPr>
        <w:t>Hejri</w:t>
      </w:r>
      <w:proofErr w:type="spellEnd"/>
      <w:r>
        <w:rPr>
          <w:rFonts w:ascii="Times New Roman" w:hAnsi="Times New Roman" w:cs="Times New Roman"/>
          <w:color w:val="36363D"/>
          <w:sz w:val="24"/>
          <w:szCs w:val="24"/>
          <w:shd w:val="clear" w:color="auto" w:fill="FFFFFF"/>
        </w:rPr>
        <w:t xml:space="preserve">, S.M., 2020. Turning unprofessional </w:t>
      </w:r>
      <w:proofErr w:type="spellStart"/>
      <w:r>
        <w:rPr>
          <w:rFonts w:ascii="Times New Roman" w:hAnsi="Times New Roman" w:cs="Times New Roman"/>
          <w:color w:val="36363D"/>
          <w:sz w:val="24"/>
          <w:szCs w:val="24"/>
          <w:shd w:val="clear" w:color="auto" w:fill="FFFFFF"/>
        </w:rPr>
        <w:t>behaviors</w:t>
      </w:r>
      <w:proofErr w:type="spellEnd"/>
      <w:r>
        <w:rPr>
          <w:rFonts w:ascii="Times New Roman" w:hAnsi="Times New Roman" w:cs="Times New Roman"/>
          <w:color w:val="36363D"/>
          <w:sz w:val="24"/>
          <w:szCs w:val="24"/>
          <w:shd w:val="clear" w:color="auto" w:fill="FFFFFF"/>
        </w:rPr>
        <w:t xml:space="preserve"> around using Holmes' reflection approach: a randomized controlled study. </w:t>
      </w:r>
      <w:r>
        <w:rPr>
          <w:rFonts w:ascii="Times New Roman" w:hAnsi="Times New Roman" w:cs="Times New Roman"/>
          <w:i/>
          <w:iCs/>
          <w:color w:val="36363D"/>
          <w:sz w:val="24"/>
          <w:szCs w:val="24"/>
          <w:shd w:val="clear" w:color="auto" w:fill="FFFFFF"/>
        </w:rPr>
        <w:t>Journal of Medical Ethics and History of Medicine</w:t>
      </w:r>
      <w:r>
        <w:rPr>
          <w:rFonts w:ascii="Times New Roman" w:hAnsi="Times New Roman" w:cs="Times New Roman"/>
          <w:color w:val="36363D"/>
          <w:sz w:val="24"/>
          <w:szCs w:val="24"/>
          <w:shd w:val="clear" w:color="auto" w:fill="FFFFFF"/>
        </w:rPr>
        <w:t>, </w:t>
      </w:r>
      <w:r>
        <w:rPr>
          <w:rFonts w:ascii="Times New Roman" w:hAnsi="Times New Roman" w:cs="Times New Roman"/>
          <w:i/>
          <w:iCs/>
          <w:color w:val="36363D"/>
          <w:sz w:val="24"/>
          <w:szCs w:val="24"/>
          <w:shd w:val="clear" w:color="auto" w:fill="FFFFFF"/>
        </w:rPr>
        <w:t>13</w:t>
      </w:r>
      <w:r>
        <w:rPr>
          <w:rFonts w:ascii="Times New Roman" w:hAnsi="Times New Roman" w:cs="Times New Roman"/>
          <w:color w:val="36363D"/>
          <w:sz w:val="24"/>
          <w:szCs w:val="24"/>
          <w:shd w:val="clear" w:color="auto" w:fill="FFFFFF"/>
        </w:rPr>
        <w:t>.</w:t>
      </w:r>
    </w:p>
    <w:p w14:paraId="14B028DF" w14:textId="77777777" w:rsidR="000807CD" w:rsidRDefault="000807CD" w:rsidP="003A500D">
      <w:pPr>
        <w:spacing w:line="360" w:lineRule="auto"/>
        <w:jc w:val="both"/>
        <w:rPr>
          <w:rFonts w:ascii="Times New Roman" w:hAnsi="Times New Roman" w:cs="Times New Roman"/>
          <w:color w:val="36363D"/>
          <w:sz w:val="24"/>
          <w:szCs w:val="24"/>
          <w:shd w:val="clear" w:color="auto" w:fill="FFFFFF"/>
        </w:rPr>
      </w:pPr>
      <w:r>
        <w:rPr>
          <w:rFonts w:ascii="Times New Roman" w:hAnsi="Times New Roman" w:cs="Times New Roman"/>
          <w:color w:val="36363D"/>
          <w:sz w:val="24"/>
          <w:szCs w:val="24"/>
          <w:shd w:val="clear" w:color="auto" w:fill="FFFFFF"/>
        </w:rPr>
        <w:t xml:space="preserve">Ojha, H.R., </w:t>
      </w:r>
      <w:proofErr w:type="spellStart"/>
      <w:r>
        <w:rPr>
          <w:rFonts w:ascii="Times New Roman" w:hAnsi="Times New Roman" w:cs="Times New Roman"/>
          <w:color w:val="36363D"/>
          <w:sz w:val="24"/>
          <w:szCs w:val="24"/>
          <w:shd w:val="clear" w:color="auto" w:fill="FFFFFF"/>
        </w:rPr>
        <w:t>Bhusal</w:t>
      </w:r>
      <w:proofErr w:type="spellEnd"/>
      <w:r>
        <w:rPr>
          <w:rFonts w:ascii="Times New Roman" w:hAnsi="Times New Roman" w:cs="Times New Roman"/>
          <w:color w:val="36363D"/>
          <w:sz w:val="24"/>
          <w:szCs w:val="24"/>
          <w:shd w:val="clear" w:color="auto" w:fill="FFFFFF"/>
        </w:rPr>
        <w:t xml:space="preserve">, P., </w:t>
      </w:r>
      <w:proofErr w:type="spellStart"/>
      <w:r>
        <w:rPr>
          <w:rFonts w:ascii="Times New Roman" w:hAnsi="Times New Roman" w:cs="Times New Roman"/>
          <w:color w:val="36363D"/>
          <w:sz w:val="24"/>
          <w:szCs w:val="24"/>
          <w:shd w:val="clear" w:color="auto" w:fill="FFFFFF"/>
        </w:rPr>
        <w:t>Paudel</w:t>
      </w:r>
      <w:proofErr w:type="spellEnd"/>
      <w:r>
        <w:rPr>
          <w:rFonts w:ascii="Times New Roman" w:hAnsi="Times New Roman" w:cs="Times New Roman"/>
          <w:color w:val="36363D"/>
          <w:sz w:val="24"/>
          <w:szCs w:val="24"/>
          <w:shd w:val="clear" w:color="auto" w:fill="FFFFFF"/>
        </w:rPr>
        <w:t>, N.S., Thompson, P.M. and Sultana, P., 2019. Turning conflicts into cooperation? The role of adaptive learning and deliberation in managing natural resources conflicts in Nepal. </w:t>
      </w:r>
      <w:r>
        <w:rPr>
          <w:rFonts w:ascii="Times New Roman" w:hAnsi="Times New Roman" w:cs="Times New Roman"/>
          <w:i/>
          <w:iCs/>
          <w:color w:val="36363D"/>
          <w:sz w:val="24"/>
          <w:szCs w:val="24"/>
          <w:shd w:val="clear" w:color="auto" w:fill="FFFFFF"/>
        </w:rPr>
        <w:t>Climate Policy</w:t>
      </w:r>
      <w:r>
        <w:rPr>
          <w:rFonts w:ascii="Times New Roman" w:hAnsi="Times New Roman" w:cs="Times New Roman"/>
          <w:color w:val="36363D"/>
          <w:sz w:val="24"/>
          <w:szCs w:val="24"/>
          <w:shd w:val="clear" w:color="auto" w:fill="FFFFFF"/>
        </w:rPr>
        <w:t>, </w:t>
      </w:r>
      <w:r>
        <w:rPr>
          <w:rFonts w:ascii="Times New Roman" w:hAnsi="Times New Roman" w:cs="Times New Roman"/>
          <w:i/>
          <w:iCs/>
          <w:color w:val="36363D"/>
          <w:sz w:val="24"/>
          <w:szCs w:val="24"/>
          <w:shd w:val="clear" w:color="auto" w:fill="FFFFFF"/>
        </w:rPr>
        <w:t>19</w:t>
      </w:r>
      <w:r>
        <w:rPr>
          <w:rFonts w:ascii="Times New Roman" w:hAnsi="Times New Roman" w:cs="Times New Roman"/>
          <w:color w:val="36363D"/>
          <w:sz w:val="24"/>
          <w:szCs w:val="24"/>
          <w:shd w:val="clear" w:color="auto" w:fill="FFFFFF"/>
        </w:rPr>
        <w:t>(sup1), pp.S107-S120.</w:t>
      </w:r>
    </w:p>
    <w:p w14:paraId="451CA656" w14:textId="77777777" w:rsidR="000807CD" w:rsidRDefault="000807CD" w:rsidP="003A500D">
      <w:pPr>
        <w:spacing w:line="360" w:lineRule="auto"/>
        <w:jc w:val="both"/>
        <w:rPr>
          <w:rFonts w:ascii="Times New Roman" w:hAnsi="Times New Roman" w:cs="Times New Roman"/>
          <w:color w:val="36363D"/>
          <w:sz w:val="24"/>
          <w:szCs w:val="24"/>
          <w:shd w:val="clear" w:color="auto" w:fill="FFFFFF"/>
        </w:rPr>
      </w:pPr>
      <w:r>
        <w:rPr>
          <w:rFonts w:ascii="Times New Roman" w:hAnsi="Times New Roman" w:cs="Times New Roman"/>
          <w:color w:val="36363D"/>
          <w:sz w:val="24"/>
          <w:szCs w:val="24"/>
          <w:shd w:val="clear" w:color="auto" w:fill="FFFFFF"/>
        </w:rPr>
        <w:t xml:space="preserve">Panadero, E., </w:t>
      </w:r>
      <w:proofErr w:type="spellStart"/>
      <w:r>
        <w:rPr>
          <w:rFonts w:ascii="Times New Roman" w:hAnsi="Times New Roman" w:cs="Times New Roman"/>
          <w:color w:val="36363D"/>
          <w:sz w:val="24"/>
          <w:szCs w:val="24"/>
          <w:shd w:val="clear" w:color="auto" w:fill="FFFFFF"/>
        </w:rPr>
        <w:t>Lipnevich</w:t>
      </w:r>
      <w:proofErr w:type="spellEnd"/>
      <w:r>
        <w:rPr>
          <w:rFonts w:ascii="Times New Roman" w:hAnsi="Times New Roman" w:cs="Times New Roman"/>
          <w:color w:val="36363D"/>
          <w:sz w:val="24"/>
          <w:szCs w:val="24"/>
          <w:shd w:val="clear" w:color="auto" w:fill="FFFFFF"/>
        </w:rPr>
        <w:t>, A. and Broadbent, J., 2019. Turning self-assessment into self-feedback. In </w:t>
      </w:r>
      <w:r>
        <w:rPr>
          <w:rFonts w:ascii="Times New Roman" w:hAnsi="Times New Roman" w:cs="Times New Roman"/>
          <w:i/>
          <w:iCs/>
          <w:color w:val="36363D"/>
          <w:sz w:val="24"/>
          <w:szCs w:val="24"/>
          <w:shd w:val="clear" w:color="auto" w:fill="FFFFFF"/>
        </w:rPr>
        <w:t>The Impact of Feedback in Higher Education</w:t>
      </w:r>
      <w:r>
        <w:rPr>
          <w:rFonts w:ascii="Times New Roman" w:hAnsi="Times New Roman" w:cs="Times New Roman"/>
          <w:color w:val="36363D"/>
          <w:sz w:val="24"/>
          <w:szCs w:val="24"/>
          <w:shd w:val="clear" w:color="auto" w:fill="FFFFFF"/>
        </w:rPr>
        <w:t> (pp. 147-163). Palgrave Macmillan, Cham.</w:t>
      </w:r>
    </w:p>
    <w:p w14:paraId="77261B56" w14:textId="77777777" w:rsidR="000807CD" w:rsidRDefault="000807CD" w:rsidP="003A500D">
      <w:pPr>
        <w:spacing w:line="360" w:lineRule="auto"/>
        <w:jc w:val="both"/>
        <w:rPr>
          <w:rFonts w:ascii="Times New Roman" w:hAnsi="Times New Roman" w:cs="Times New Roman"/>
          <w:color w:val="36363D"/>
          <w:sz w:val="24"/>
          <w:szCs w:val="24"/>
          <w:shd w:val="clear" w:color="auto" w:fill="FFFFFF"/>
        </w:rPr>
      </w:pPr>
      <w:r>
        <w:rPr>
          <w:rFonts w:ascii="Times New Roman" w:hAnsi="Times New Roman" w:cs="Times New Roman"/>
          <w:color w:val="36363D"/>
          <w:sz w:val="24"/>
          <w:szCs w:val="24"/>
          <w:shd w:val="clear" w:color="auto" w:fill="FFFFFF"/>
        </w:rPr>
        <w:t xml:space="preserve">Roy, R. and </w:t>
      </w:r>
      <w:proofErr w:type="spellStart"/>
      <w:r>
        <w:rPr>
          <w:rFonts w:ascii="Times New Roman" w:hAnsi="Times New Roman" w:cs="Times New Roman"/>
          <w:color w:val="36363D"/>
          <w:sz w:val="24"/>
          <w:szCs w:val="24"/>
          <w:shd w:val="clear" w:color="auto" w:fill="FFFFFF"/>
        </w:rPr>
        <w:t>Uekusa</w:t>
      </w:r>
      <w:proofErr w:type="spellEnd"/>
      <w:r>
        <w:rPr>
          <w:rFonts w:ascii="Times New Roman" w:hAnsi="Times New Roman" w:cs="Times New Roman"/>
          <w:color w:val="36363D"/>
          <w:sz w:val="24"/>
          <w:szCs w:val="24"/>
          <w:shd w:val="clear" w:color="auto" w:fill="FFFFFF"/>
        </w:rPr>
        <w:t xml:space="preserve">, S., 2020. Collaborative </w:t>
      </w:r>
      <w:proofErr w:type="spellStart"/>
      <w:r>
        <w:rPr>
          <w:rFonts w:ascii="Times New Roman" w:hAnsi="Times New Roman" w:cs="Times New Roman"/>
          <w:color w:val="36363D"/>
          <w:sz w:val="24"/>
          <w:szCs w:val="24"/>
          <w:shd w:val="clear" w:color="auto" w:fill="FFFFFF"/>
        </w:rPr>
        <w:t>autoethnography:“Self-reflection</w:t>
      </w:r>
      <w:proofErr w:type="spellEnd"/>
      <w:r>
        <w:rPr>
          <w:rFonts w:ascii="Times New Roman" w:hAnsi="Times New Roman" w:cs="Times New Roman"/>
          <w:color w:val="36363D"/>
          <w:sz w:val="24"/>
          <w:szCs w:val="24"/>
          <w:shd w:val="clear" w:color="auto" w:fill="FFFFFF"/>
        </w:rPr>
        <w:t>” as a timely alternative research approach during the global pandemic. </w:t>
      </w:r>
      <w:r>
        <w:rPr>
          <w:rFonts w:ascii="Times New Roman" w:hAnsi="Times New Roman" w:cs="Times New Roman"/>
          <w:i/>
          <w:iCs/>
          <w:color w:val="36363D"/>
          <w:sz w:val="24"/>
          <w:szCs w:val="24"/>
          <w:shd w:val="clear" w:color="auto" w:fill="FFFFFF"/>
        </w:rPr>
        <w:t>Qualitative Research Journal</w:t>
      </w:r>
      <w:r>
        <w:rPr>
          <w:rFonts w:ascii="Times New Roman" w:hAnsi="Times New Roman" w:cs="Times New Roman"/>
          <w:color w:val="36363D"/>
          <w:sz w:val="24"/>
          <w:szCs w:val="24"/>
          <w:shd w:val="clear" w:color="auto" w:fill="FFFFFF"/>
        </w:rPr>
        <w:t>.</w:t>
      </w:r>
    </w:p>
    <w:p w14:paraId="0BF3BA3E" w14:textId="77777777" w:rsidR="000807CD" w:rsidRDefault="000807CD" w:rsidP="003A500D">
      <w:pPr>
        <w:spacing w:line="360" w:lineRule="auto"/>
        <w:jc w:val="both"/>
        <w:rPr>
          <w:rFonts w:ascii="Times New Roman" w:hAnsi="Times New Roman" w:cs="Times New Roman"/>
          <w:color w:val="36363D"/>
          <w:sz w:val="24"/>
          <w:szCs w:val="24"/>
          <w:shd w:val="clear" w:color="auto" w:fill="FFFFFF"/>
        </w:rPr>
      </w:pPr>
      <w:proofErr w:type="spellStart"/>
      <w:r>
        <w:rPr>
          <w:rFonts w:ascii="Times New Roman" w:hAnsi="Times New Roman" w:cs="Times New Roman"/>
          <w:color w:val="36363D"/>
          <w:sz w:val="24"/>
          <w:szCs w:val="24"/>
          <w:shd w:val="clear" w:color="auto" w:fill="FFFFFF"/>
        </w:rPr>
        <w:lastRenderedPageBreak/>
        <w:t>Soemantri</w:t>
      </w:r>
      <w:proofErr w:type="spellEnd"/>
      <w:r>
        <w:rPr>
          <w:rFonts w:ascii="Times New Roman" w:hAnsi="Times New Roman" w:cs="Times New Roman"/>
          <w:color w:val="36363D"/>
          <w:sz w:val="24"/>
          <w:szCs w:val="24"/>
          <w:shd w:val="clear" w:color="auto" w:fill="FFFFFF"/>
        </w:rPr>
        <w:t xml:space="preserve">, D., </w:t>
      </w:r>
      <w:proofErr w:type="spellStart"/>
      <w:r>
        <w:rPr>
          <w:rFonts w:ascii="Times New Roman" w:hAnsi="Times New Roman" w:cs="Times New Roman"/>
          <w:color w:val="36363D"/>
          <w:sz w:val="24"/>
          <w:szCs w:val="24"/>
          <w:shd w:val="clear" w:color="auto" w:fill="FFFFFF"/>
        </w:rPr>
        <w:t>Mccoll</w:t>
      </w:r>
      <w:proofErr w:type="spellEnd"/>
      <w:r>
        <w:rPr>
          <w:rFonts w:ascii="Times New Roman" w:hAnsi="Times New Roman" w:cs="Times New Roman"/>
          <w:color w:val="36363D"/>
          <w:sz w:val="24"/>
          <w:szCs w:val="24"/>
          <w:shd w:val="clear" w:color="auto" w:fill="FFFFFF"/>
        </w:rPr>
        <w:t xml:space="preserve">, G. and </w:t>
      </w:r>
      <w:proofErr w:type="spellStart"/>
      <w:r>
        <w:rPr>
          <w:rFonts w:ascii="Times New Roman" w:hAnsi="Times New Roman" w:cs="Times New Roman"/>
          <w:color w:val="36363D"/>
          <w:sz w:val="24"/>
          <w:szCs w:val="24"/>
          <w:shd w:val="clear" w:color="auto" w:fill="FFFFFF"/>
        </w:rPr>
        <w:t>Dodds</w:t>
      </w:r>
      <w:proofErr w:type="spellEnd"/>
      <w:r>
        <w:rPr>
          <w:rFonts w:ascii="Times New Roman" w:hAnsi="Times New Roman" w:cs="Times New Roman"/>
          <w:color w:val="36363D"/>
          <w:sz w:val="24"/>
          <w:szCs w:val="24"/>
          <w:shd w:val="clear" w:color="auto" w:fill="FFFFFF"/>
        </w:rPr>
        <w:t>, A., 2018. Measuring medical students’ reflection on their learning: modification and validation of the motivated strategies for learning questionnaire (MSLQ). </w:t>
      </w:r>
      <w:r>
        <w:rPr>
          <w:rFonts w:ascii="Times New Roman" w:hAnsi="Times New Roman" w:cs="Times New Roman"/>
          <w:i/>
          <w:iCs/>
          <w:color w:val="36363D"/>
          <w:sz w:val="24"/>
          <w:szCs w:val="24"/>
          <w:shd w:val="clear" w:color="auto" w:fill="FFFFFF"/>
        </w:rPr>
        <w:t>BMC medical education</w:t>
      </w:r>
      <w:r>
        <w:rPr>
          <w:rFonts w:ascii="Times New Roman" w:hAnsi="Times New Roman" w:cs="Times New Roman"/>
          <w:color w:val="36363D"/>
          <w:sz w:val="24"/>
          <w:szCs w:val="24"/>
          <w:shd w:val="clear" w:color="auto" w:fill="FFFFFF"/>
        </w:rPr>
        <w:t>, </w:t>
      </w:r>
      <w:r>
        <w:rPr>
          <w:rFonts w:ascii="Times New Roman" w:hAnsi="Times New Roman" w:cs="Times New Roman"/>
          <w:i/>
          <w:iCs/>
          <w:color w:val="36363D"/>
          <w:sz w:val="24"/>
          <w:szCs w:val="24"/>
          <w:shd w:val="clear" w:color="auto" w:fill="FFFFFF"/>
        </w:rPr>
        <w:t>18</w:t>
      </w:r>
      <w:r>
        <w:rPr>
          <w:rFonts w:ascii="Times New Roman" w:hAnsi="Times New Roman" w:cs="Times New Roman"/>
          <w:color w:val="36363D"/>
          <w:sz w:val="24"/>
          <w:szCs w:val="24"/>
          <w:shd w:val="clear" w:color="auto" w:fill="FFFFFF"/>
        </w:rPr>
        <w:t>(1), pp.1-10.</w:t>
      </w:r>
    </w:p>
    <w:p w14:paraId="203C83B7" w14:textId="77777777" w:rsidR="000807CD" w:rsidRDefault="000807CD" w:rsidP="003A500D">
      <w:pPr>
        <w:spacing w:line="360" w:lineRule="auto"/>
        <w:jc w:val="both"/>
        <w:rPr>
          <w:rFonts w:ascii="Times New Roman" w:hAnsi="Times New Roman" w:cs="Times New Roman"/>
          <w:color w:val="36363D"/>
          <w:sz w:val="24"/>
          <w:szCs w:val="24"/>
          <w:shd w:val="clear" w:color="auto" w:fill="FFFFFF"/>
        </w:rPr>
      </w:pPr>
      <w:proofErr w:type="spellStart"/>
      <w:r>
        <w:rPr>
          <w:rFonts w:ascii="Times New Roman" w:hAnsi="Times New Roman" w:cs="Times New Roman"/>
          <w:color w:val="36363D"/>
          <w:sz w:val="24"/>
          <w:szCs w:val="24"/>
          <w:shd w:val="clear" w:color="auto" w:fill="FFFFFF"/>
        </w:rPr>
        <w:t>Tondeur</w:t>
      </w:r>
      <w:proofErr w:type="spellEnd"/>
      <w:r>
        <w:rPr>
          <w:rFonts w:ascii="Times New Roman" w:hAnsi="Times New Roman" w:cs="Times New Roman"/>
          <w:color w:val="36363D"/>
          <w:sz w:val="24"/>
          <w:szCs w:val="24"/>
          <w:shd w:val="clear" w:color="auto" w:fill="FFFFFF"/>
        </w:rPr>
        <w:t>, J., 2018, October. Enhancing future teachers’ competencies for technology integration in education: Turning theory into practice. In </w:t>
      </w:r>
      <w:r>
        <w:rPr>
          <w:rFonts w:ascii="Times New Roman" w:hAnsi="Times New Roman" w:cs="Times New Roman"/>
          <w:i/>
          <w:iCs/>
          <w:color w:val="36363D"/>
          <w:sz w:val="24"/>
          <w:szCs w:val="24"/>
          <w:shd w:val="clear" w:color="auto" w:fill="FFFFFF"/>
        </w:rPr>
        <w:t>Seminar. net</w:t>
      </w:r>
      <w:r>
        <w:rPr>
          <w:rFonts w:ascii="Times New Roman" w:hAnsi="Times New Roman" w:cs="Times New Roman"/>
          <w:color w:val="36363D"/>
          <w:sz w:val="24"/>
          <w:szCs w:val="24"/>
          <w:shd w:val="clear" w:color="auto" w:fill="FFFFFF"/>
        </w:rPr>
        <w:t> (Vol. 14, No. 2, pp. 216-224).</w:t>
      </w:r>
    </w:p>
    <w:p w14:paraId="4C95B6E1" w14:textId="77777777" w:rsidR="000807CD" w:rsidRDefault="000807CD" w:rsidP="003A500D">
      <w:pPr>
        <w:spacing w:line="360" w:lineRule="auto"/>
        <w:jc w:val="both"/>
        <w:rPr>
          <w:rFonts w:ascii="Times New Roman" w:hAnsi="Times New Roman" w:cs="Times New Roman"/>
          <w:color w:val="36363D"/>
          <w:sz w:val="24"/>
          <w:szCs w:val="24"/>
          <w:shd w:val="clear" w:color="auto" w:fill="FFFFFF"/>
        </w:rPr>
      </w:pPr>
      <w:proofErr w:type="spellStart"/>
      <w:r>
        <w:rPr>
          <w:rFonts w:ascii="Times New Roman" w:hAnsi="Times New Roman" w:cs="Times New Roman"/>
          <w:color w:val="36363D"/>
          <w:sz w:val="24"/>
          <w:szCs w:val="24"/>
          <w:shd w:val="clear" w:color="auto" w:fill="FFFFFF"/>
        </w:rPr>
        <w:t>Toquero</w:t>
      </w:r>
      <w:proofErr w:type="spellEnd"/>
      <w:r>
        <w:rPr>
          <w:rFonts w:ascii="Times New Roman" w:hAnsi="Times New Roman" w:cs="Times New Roman"/>
          <w:color w:val="36363D"/>
          <w:sz w:val="24"/>
          <w:szCs w:val="24"/>
          <w:shd w:val="clear" w:color="auto" w:fill="FFFFFF"/>
        </w:rPr>
        <w:t>, C.M.D., 2020. Emergency remote teaching amid COVID-19: The turning point. </w:t>
      </w:r>
      <w:r>
        <w:rPr>
          <w:rFonts w:ascii="Times New Roman" w:hAnsi="Times New Roman" w:cs="Times New Roman"/>
          <w:i/>
          <w:iCs/>
          <w:color w:val="36363D"/>
          <w:sz w:val="24"/>
          <w:szCs w:val="24"/>
          <w:shd w:val="clear" w:color="auto" w:fill="FFFFFF"/>
        </w:rPr>
        <w:t>Asian Journal of Distance Education</w:t>
      </w:r>
      <w:r>
        <w:rPr>
          <w:rFonts w:ascii="Times New Roman" w:hAnsi="Times New Roman" w:cs="Times New Roman"/>
          <w:color w:val="36363D"/>
          <w:sz w:val="24"/>
          <w:szCs w:val="24"/>
          <w:shd w:val="clear" w:color="auto" w:fill="FFFFFF"/>
        </w:rPr>
        <w:t>, </w:t>
      </w:r>
      <w:r>
        <w:rPr>
          <w:rFonts w:ascii="Times New Roman" w:hAnsi="Times New Roman" w:cs="Times New Roman"/>
          <w:i/>
          <w:iCs/>
          <w:color w:val="36363D"/>
          <w:sz w:val="24"/>
          <w:szCs w:val="24"/>
          <w:shd w:val="clear" w:color="auto" w:fill="FFFFFF"/>
        </w:rPr>
        <w:t>15</w:t>
      </w:r>
      <w:r>
        <w:rPr>
          <w:rFonts w:ascii="Times New Roman" w:hAnsi="Times New Roman" w:cs="Times New Roman"/>
          <w:color w:val="36363D"/>
          <w:sz w:val="24"/>
          <w:szCs w:val="24"/>
          <w:shd w:val="clear" w:color="auto" w:fill="FFFFFF"/>
        </w:rPr>
        <w:t>(1), pp.185-188.</w:t>
      </w:r>
    </w:p>
    <w:p w14:paraId="2695C6CF" w14:textId="77777777" w:rsidR="000807CD" w:rsidRDefault="000807CD" w:rsidP="003A500D">
      <w:pPr>
        <w:spacing w:line="360" w:lineRule="auto"/>
        <w:jc w:val="both"/>
        <w:rPr>
          <w:rFonts w:ascii="Times New Roman" w:hAnsi="Times New Roman" w:cs="Times New Roman"/>
          <w:color w:val="36363D"/>
          <w:sz w:val="24"/>
          <w:szCs w:val="24"/>
          <w:shd w:val="clear" w:color="auto" w:fill="FFFFFF"/>
        </w:rPr>
      </w:pPr>
      <w:proofErr w:type="spellStart"/>
      <w:r>
        <w:rPr>
          <w:rFonts w:ascii="Times New Roman" w:hAnsi="Times New Roman" w:cs="Times New Roman"/>
          <w:color w:val="36363D"/>
          <w:sz w:val="24"/>
          <w:szCs w:val="24"/>
          <w:shd w:val="clear" w:color="auto" w:fill="FFFFFF"/>
        </w:rPr>
        <w:t>Zampini</w:t>
      </w:r>
      <w:proofErr w:type="spellEnd"/>
      <w:r>
        <w:rPr>
          <w:rFonts w:ascii="Times New Roman" w:hAnsi="Times New Roman" w:cs="Times New Roman"/>
          <w:color w:val="36363D"/>
          <w:sz w:val="24"/>
          <w:szCs w:val="24"/>
          <w:shd w:val="clear" w:color="auto" w:fill="FFFFFF"/>
        </w:rPr>
        <w:t xml:space="preserve">, G., </w:t>
      </w:r>
      <w:proofErr w:type="spellStart"/>
      <w:r>
        <w:rPr>
          <w:rFonts w:ascii="Times New Roman" w:hAnsi="Times New Roman" w:cs="Times New Roman"/>
          <w:color w:val="36363D"/>
          <w:sz w:val="24"/>
          <w:szCs w:val="24"/>
          <w:shd w:val="clear" w:color="auto" w:fill="FFFFFF"/>
        </w:rPr>
        <w:t>Österman</w:t>
      </w:r>
      <w:proofErr w:type="spellEnd"/>
      <w:r>
        <w:rPr>
          <w:rFonts w:ascii="Times New Roman" w:hAnsi="Times New Roman" w:cs="Times New Roman"/>
          <w:color w:val="36363D"/>
          <w:sz w:val="24"/>
          <w:szCs w:val="24"/>
          <w:shd w:val="clear" w:color="auto" w:fill="FFFFFF"/>
        </w:rPr>
        <w:t xml:space="preserve">, L., Stengel, C. and </w:t>
      </w:r>
      <w:proofErr w:type="spellStart"/>
      <w:r>
        <w:rPr>
          <w:rFonts w:ascii="Times New Roman" w:hAnsi="Times New Roman" w:cs="Times New Roman"/>
          <w:color w:val="36363D"/>
          <w:sz w:val="24"/>
          <w:szCs w:val="24"/>
          <w:shd w:val="clear" w:color="auto" w:fill="FFFFFF"/>
        </w:rPr>
        <w:t>Bennallick</w:t>
      </w:r>
      <w:proofErr w:type="spellEnd"/>
      <w:r>
        <w:rPr>
          <w:rFonts w:ascii="Times New Roman" w:hAnsi="Times New Roman" w:cs="Times New Roman"/>
          <w:color w:val="36363D"/>
          <w:sz w:val="24"/>
          <w:szCs w:val="24"/>
          <w:shd w:val="clear" w:color="auto" w:fill="FFFFFF"/>
        </w:rPr>
        <w:t>, M., 2019. Turning Gender Inside-Out: Delivering higher education in women’s carceral spaces. </w:t>
      </w:r>
      <w:r>
        <w:rPr>
          <w:rFonts w:ascii="Times New Roman" w:hAnsi="Times New Roman" w:cs="Times New Roman"/>
          <w:i/>
          <w:iCs/>
          <w:color w:val="36363D"/>
          <w:sz w:val="24"/>
          <w:szCs w:val="24"/>
          <w:shd w:val="clear" w:color="auto" w:fill="FFFFFF"/>
        </w:rPr>
        <w:t xml:space="preserve">Journal of Prison Education and </w:t>
      </w:r>
      <w:proofErr w:type="spellStart"/>
      <w:r>
        <w:rPr>
          <w:rFonts w:ascii="Times New Roman" w:hAnsi="Times New Roman" w:cs="Times New Roman"/>
          <w:i/>
          <w:iCs/>
          <w:color w:val="36363D"/>
          <w:sz w:val="24"/>
          <w:szCs w:val="24"/>
          <w:shd w:val="clear" w:color="auto" w:fill="FFFFFF"/>
        </w:rPr>
        <w:t>Reentry</w:t>
      </w:r>
      <w:proofErr w:type="spellEnd"/>
      <w:r>
        <w:rPr>
          <w:rFonts w:ascii="Times New Roman" w:hAnsi="Times New Roman" w:cs="Times New Roman"/>
          <w:color w:val="36363D"/>
          <w:sz w:val="24"/>
          <w:szCs w:val="24"/>
          <w:shd w:val="clear" w:color="auto" w:fill="FFFFFF"/>
        </w:rPr>
        <w:t>, </w:t>
      </w:r>
      <w:r>
        <w:rPr>
          <w:rFonts w:ascii="Times New Roman" w:hAnsi="Times New Roman" w:cs="Times New Roman"/>
          <w:i/>
          <w:iCs/>
          <w:color w:val="36363D"/>
          <w:sz w:val="24"/>
          <w:szCs w:val="24"/>
          <w:shd w:val="clear" w:color="auto" w:fill="FFFFFF"/>
        </w:rPr>
        <w:t>6</w:t>
      </w:r>
      <w:r>
        <w:rPr>
          <w:rFonts w:ascii="Times New Roman" w:hAnsi="Times New Roman" w:cs="Times New Roman"/>
          <w:color w:val="36363D"/>
          <w:sz w:val="24"/>
          <w:szCs w:val="24"/>
          <w:shd w:val="clear" w:color="auto" w:fill="FFFFFF"/>
        </w:rPr>
        <w:t>(1), pp.62-77.</w:t>
      </w:r>
    </w:p>
    <w:p w14:paraId="5AF8AA58" w14:textId="77777777" w:rsidR="000807CD" w:rsidRDefault="000807CD" w:rsidP="003A500D">
      <w:pPr>
        <w:spacing w:line="360" w:lineRule="auto"/>
        <w:jc w:val="both"/>
        <w:rPr>
          <w:rFonts w:ascii="Times New Roman" w:hAnsi="Times New Roman" w:cs="Times New Roman"/>
          <w:color w:val="36363D"/>
          <w:sz w:val="24"/>
        </w:rPr>
      </w:pPr>
    </w:p>
    <w:p w14:paraId="2CC99F7D" w14:textId="77777777" w:rsidR="000807CD" w:rsidRPr="000807CD" w:rsidRDefault="000807CD" w:rsidP="003A500D">
      <w:pPr>
        <w:spacing w:line="360" w:lineRule="auto"/>
      </w:pPr>
    </w:p>
    <w:sectPr w:rsidR="000807CD" w:rsidRPr="000807CD" w:rsidSect="00834367">
      <w:footerReference w:type="even"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47F03" w14:textId="77777777" w:rsidR="0018172F" w:rsidRDefault="0018172F" w:rsidP="00834367">
      <w:pPr>
        <w:spacing w:after="0" w:line="240" w:lineRule="auto"/>
      </w:pPr>
      <w:r>
        <w:separator/>
      </w:r>
    </w:p>
  </w:endnote>
  <w:endnote w:type="continuationSeparator" w:id="0">
    <w:p w14:paraId="73FA59E1" w14:textId="77777777" w:rsidR="0018172F" w:rsidRDefault="0018172F" w:rsidP="008343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70138324"/>
      <w:docPartObj>
        <w:docPartGallery w:val="Page Numbers (Bottom of Page)"/>
        <w:docPartUnique/>
      </w:docPartObj>
    </w:sdtPr>
    <w:sdtContent>
      <w:p w14:paraId="1048BB1E" w14:textId="7FEFE8E4" w:rsidR="00834367" w:rsidRDefault="00834367" w:rsidP="008343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5321EA" w14:textId="77777777" w:rsidR="00834367" w:rsidRDefault="00834367" w:rsidP="008343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71802311"/>
      <w:docPartObj>
        <w:docPartGallery w:val="Page Numbers (Bottom of Page)"/>
        <w:docPartUnique/>
      </w:docPartObj>
    </w:sdtPr>
    <w:sdtContent>
      <w:p w14:paraId="0DA9B945" w14:textId="76D517D7" w:rsidR="00834367" w:rsidRDefault="00834367" w:rsidP="008343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774548" w14:textId="77777777" w:rsidR="00834367" w:rsidRDefault="00834367" w:rsidP="0083436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7F608" w14:textId="77777777" w:rsidR="0018172F" w:rsidRDefault="0018172F" w:rsidP="00834367">
      <w:pPr>
        <w:spacing w:after="0" w:line="240" w:lineRule="auto"/>
      </w:pPr>
      <w:r>
        <w:separator/>
      </w:r>
    </w:p>
  </w:footnote>
  <w:footnote w:type="continuationSeparator" w:id="0">
    <w:p w14:paraId="39D0F82D" w14:textId="77777777" w:rsidR="0018172F" w:rsidRDefault="0018172F" w:rsidP="008343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9A3A3C04"/>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367"/>
    <w:rsid w:val="000807CD"/>
    <w:rsid w:val="0018172F"/>
    <w:rsid w:val="003A500D"/>
    <w:rsid w:val="00834367"/>
    <w:rsid w:val="00A51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41A340"/>
  <w15:chartTrackingRefBased/>
  <w15:docId w15:val="{0B528A15-C380-5044-90E7-9E64B6CA5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367"/>
    <w:pPr>
      <w:spacing w:after="200" w:line="276" w:lineRule="auto"/>
    </w:pPr>
    <w:rPr>
      <w:rFonts w:ascii="Calibri" w:eastAsia="Calibri" w:hAnsi="Calibri" w:cs="SimSun"/>
      <w:sz w:val="22"/>
      <w:szCs w:val="22"/>
      <w:lang w:val="en-IN"/>
    </w:rPr>
  </w:style>
  <w:style w:type="paragraph" w:styleId="Heading1">
    <w:name w:val="heading 1"/>
    <w:basedOn w:val="Normal"/>
    <w:next w:val="Normal"/>
    <w:link w:val="Heading1Char"/>
    <w:uiPriority w:val="9"/>
    <w:qFormat/>
    <w:rsid w:val="00834367"/>
    <w:pPr>
      <w:keepNext/>
      <w:keepLines/>
      <w:spacing w:before="480" w:after="0" w:line="480" w:lineRule="auto"/>
      <w:outlineLvl w:val="0"/>
    </w:pPr>
    <w:rPr>
      <w:rFonts w:ascii="Times New Roman" w:eastAsia="SimSun" w:hAnsi="Times New Roman"/>
      <w:b/>
      <w:bCs/>
      <w:sz w:val="28"/>
      <w:szCs w:val="28"/>
    </w:rPr>
  </w:style>
  <w:style w:type="paragraph" w:styleId="Heading2">
    <w:name w:val="heading 2"/>
    <w:basedOn w:val="Normal"/>
    <w:next w:val="Normal"/>
    <w:link w:val="Heading2Char"/>
    <w:uiPriority w:val="9"/>
    <w:unhideWhenUsed/>
    <w:qFormat/>
    <w:rsid w:val="00834367"/>
    <w:pPr>
      <w:keepNext/>
      <w:keepLines/>
      <w:spacing w:before="200" w:after="0" w:line="480" w:lineRule="auto"/>
      <w:outlineLvl w:val="1"/>
    </w:pPr>
    <w:rPr>
      <w:rFonts w:ascii="Times New Roman" w:eastAsia="SimSun" w:hAnsi="Times New Roman"/>
      <w:b/>
      <w:bCs/>
      <w:sz w:val="26"/>
      <w:szCs w:val="26"/>
    </w:rPr>
  </w:style>
  <w:style w:type="paragraph" w:styleId="Heading3">
    <w:name w:val="heading 3"/>
    <w:basedOn w:val="Normal"/>
    <w:next w:val="Normal"/>
    <w:link w:val="Heading3Char"/>
    <w:uiPriority w:val="9"/>
    <w:unhideWhenUsed/>
    <w:qFormat/>
    <w:rsid w:val="00834367"/>
    <w:pPr>
      <w:keepNext/>
      <w:keepLines/>
      <w:spacing w:before="200" w:after="0" w:line="480" w:lineRule="auto"/>
      <w:outlineLvl w:val="2"/>
    </w:pPr>
    <w:rPr>
      <w:rFonts w:ascii="Times New Roman" w:eastAsia="SimSun" w:hAnsi="Times New Roman"/>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367"/>
    <w:rPr>
      <w:rFonts w:ascii="Times New Roman" w:eastAsia="SimSun" w:hAnsi="Times New Roman" w:cs="SimSun"/>
      <w:b/>
      <w:bCs/>
      <w:sz w:val="28"/>
      <w:szCs w:val="28"/>
      <w:lang w:val="en-IN"/>
    </w:rPr>
  </w:style>
  <w:style w:type="character" w:customStyle="1" w:styleId="Heading2Char">
    <w:name w:val="Heading 2 Char"/>
    <w:basedOn w:val="DefaultParagraphFont"/>
    <w:link w:val="Heading2"/>
    <w:uiPriority w:val="9"/>
    <w:rsid w:val="00834367"/>
    <w:rPr>
      <w:rFonts w:ascii="Times New Roman" w:eastAsia="SimSun" w:hAnsi="Times New Roman" w:cs="SimSun"/>
      <w:b/>
      <w:bCs/>
      <w:sz w:val="26"/>
      <w:szCs w:val="26"/>
      <w:lang w:val="en-IN"/>
    </w:rPr>
  </w:style>
  <w:style w:type="character" w:customStyle="1" w:styleId="Heading3Char">
    <w:name w:val="Heading 3 Char"/>
    <w:basedOn w:val="DefaultParagraphFont"/>
    <w:link w:val="Heading3"/>
    <w:uiPriority w:val="9"/>
    <w:rsid w:val="00834367"/>
    <w:rPr>
      <w:rFonts w:ascii="Times New Roman" w:eastAsia="SimSun" w:hAnsi="Times New Roman" w:cs="SimSun"/>
      <w:b/>
      <w:bCs/>
      <w:szCs w:val="22"/>
      <w:lang w:val="en-IN"/>
    </w:rPr>
  </w:style>
  <w:style w:type="paragraph" w:styleId="ListParagraph">
    <w:name w:val="List Paragraph"/>
    <w:basedOn w:val="Normal"/>
    <w:uiPriority w:val="34"/>
    <w:qFormat/>
    <w:rsid w:val="00834367"/>
    <w:pPr>
      <w:ind w:left="720"/>
      <w:contextualSpacing/>
    </w:pPr>
  </w:style>
  <w:style w:type="paragraph" w:styleId="Footer">
    <w:name w:val="footer"/>
    <w:basedOn w:val="Normal"/>
    <w:link w:val="FooterChar"/>
    <w:uiPriority w:val="99"/>
    <w:unhideWhenUsed/>
    <w:rsid w:val="008343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4367"/>
    <w:rPr>
      <w:rFonts w:ascii="Calibri" w:eastAsia="Calibri" w:hAnsi="Calibri" w:cs="SimSun"/>
      <w:sz w:val="22"/>
      <w:szCs w:val="22"/>
      <w:lang w:val="en-IN"/>
    </w:rPr>
  </w:style>
  <w:style w:type="character" w:styleId="PageNumber">
    <w:name w:val="page number"/>
    <w:basedOn w:val="DefaultParagraphFont"/>
    <w:uiPriority w:val="99"/>
    <w:semiHidden/>
    <w:unhideWhenUsed/>
    <w:rsid w:val="00834367"/>
  </w:style>
  <w:style w:type="paragraph" w:styleId="TOCHeading">
    <w:name w:val="TOC Heading"/>
    <w:basedOn w:val="Heading1"/>
    <w:next w:val="Normal"/>
    <w:uiPriority w:val="39"/>
    <w:unhideWhenUsed/>
    <w:qFormat/>
    <w:rsid w:val="000807CD"/>
    <w:pPr>
      <w:spacing w:line="276" w:lineRule="auto"/>
      <w:outlineLvl w:val="9"/>
    </w:pPr>
    <w:rPr>
      <w:rFonts w:asciiTheme="majorHAnsi" w:eastAsiaTheme="majorEastAsia" w:hAnsiTheme="majorHAnsi" w:cstheme="majorBidi"/>
      <w:color w:val="2F5496" w:themeColor="accent1" w:themeShade="BF"/>
      <w:lang w:val="en-US"/>
    </w:rPr>
  </w:style>
  <w:style w:type="paragraph" w:styleId="TOC1">
    <w:name w:val="toc 1"/>
    <w:basedOn w:val="Normal"/>
    <w:next w:val="Normal"/>
    <w:autoRedefine/>
    <w:uiPriority w:val="39"/>
    <w:unhideWhenUsed/>
    <w:rsid w:val="000807CD"/>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0807CD"/>
    <w:pPr>
      <w:spacing w:after="0"/>
      <w:ind w:left="220"/>
    </w:pPr>
    <w:rPr>
      <w:rFonts w:asciiTheme="minorHAnsi" w:hAnsiTheme="minorHAnsi" w:cstheme="minorHAnsi"/>
      <w:smallCaps/>
      <w:sz w:val="20"/>
      <w:szCs w:val="20"/>
    </w:rPr>
  </w:style>
  <w:style w:type="paragraph" w:styleId="TOC3">
    <w:name w:val="toc 3"/>
    <w:basedOn w:val="Normal"/>
    <w:next w:val="Normal"/>
    <w:autoRedefine/>
    <w:uiPriority w:val="39"/>
    <w:unhideWhenUsed/>
    <w:rsid w:val="000807CD"/>
    <w:pPr>
      <w:spacing w:after="0"/>
      <w:ind w:left="440"/>
    </w:pPr>
    <w:rPr>
      <w:rFonts w:asciiTheme="minorHAnsi" w:hAnsiTheme="minorHAnsi" w:cstheme="minorHAnsi"/>
      <w:i/>
      <w:iCs/>
      <w:sz w:val="20"/>
      <w:szCs w:val="20"/>
    </w:rPr>
  </w:style>
  <w:style w:type="character" w:styleId="Hyperlink">
    <w:name w:val="Hyperlink"/>
    <w:basedOn w:val="DefaultParagraphFont"/>
    <w:uiPriority w:val="99"/>
    <w:unhideWhenUsed/>
    <w:rsid w:val="000807CD"/>
    <w:rPr>
      <w:color w:val="0563C1" w:themeColor="hyperlink"/>
      <w:u w:val="single"/>
    </w:rPr>
  </w:style>
  <w:style w:type="paragraph" w:styleId="TOC4">
    <w:name w:val="toc 4"/>
    <w:basedOn w:val="Normal"/>
    <w:next w:val="Normal"/>
    <w:autoRedefine/>
    <w:uiPriority w:val="39"/>
    <w:semiHidden/>
    <w:unhideWhenUsed/>
    <w:rsid w:val="000807CD"/>
    <w:pPr>
      <w:spacing w:after="0"/>
      <w:ind w:left="66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0807CD"/>
    <w:pPr>
      <w:spacing w:after="0"/>
      <w:ind w:left="88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0807CD"/>
    <w:pPr>
      <w:spacing w:after="0"/>
      <w:ind w:left="11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0807CD"/>
    <w:pPr>
      <w:spacing w:after="0"/>
      <w:ind w:left="132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0807CD"/>
    <w:pPr>
      <w:spacing w:after="0"/>
      <w:ind w:left="154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0807CD"/>
    <w:pPr>
      <w:spacing w:after="0"/>
      <w:ind w:left="1760"/>
    </w:pPr>
    <w:rPr>
      <w:rFonts w:asciiTheme="minorHAnsi" w:hAnsiTheme="minorHAnsi" w:cstheme="minorHAnsi"/>
      <w:sz w:val="18"/>
      <w:szCs w:val="18"/>
    </w:rPr>
  </w:style>
  <w:style w:type="paragraph" w:styleId="Header">
    <w:name w:val="header"/>
    <w:basedOn w:val="Normal"/>
    <w:link w:val="HeaderChar"/>
    <w:uiPriority w:val="99"/>
    <w:unhideWhenUsed/>
    <w:rsid w:val="000807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07CD"/>
    <w:rPr>
      <w:rFonts w:ascii="Calibri" w:eastAsia="Calibri" w:hAnsi="Calibri" w:cs="SimSun"/>
      <w:sz w:val="22"/>
      <w:szCs w:val="22"/>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22160-6F7D-AE46-AB44-64613256C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10</Pages>
  <Words>2589</Words>
  <Characters>14759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 Dorel Profir (1815440)</dc:creator>
  <cp:keywords/>
  <dc:description/>
  <cp:lastModifiedBy>Nicolae- Dorel Profir (1815440)</cp:lastModifiedBy>
  <cp:revision>1</cp:revision>
  <dcterms:created xsi:type="dcterms:W3CDTF">2022-04-04T16:15:00Z</dcterms:created>
  <dcterms:modified xsi:type="dcterms:W3CDTF">2022-04-04T16:34:00Z</dcterms:modified>
</cp:coreProperties>
</file>