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r>
    </w:p>
    <w:p w:rsidR="00000000" w:rsidDel="00000000" w:rsidP="00000000" w:rsidRDefault="00000000" w:rsidRPr="00000000" w14:paraId="00000002">
      <w:pPr>
        <w:jc w:val="center"/>
        <w:rPr>
          <w:sz w:val="44"/>
          <w:szCs w:val="44"/>
        </w:rPr>
      </w:pPr>
      <w:r w:rsidDel="00000000" w:rsidR="00000000" w:rsidRPr="00000000">
        <w:rPr>
          <w:b w:val="1"/>
          <w:sz w:val="44"/>
          <w:szCs w:val="44"/>
          <w:rtl w:val="0"/>
        </w:rPr>
        <w:t xml:space="preserve">Programme:</w:t>
      </w:r>
      <w:r w:rsidDel="00000000" w:rsidR="00000000" w:rsidRPr="00000000">
        <w:rPr>
          <w:sz w:val="44"/>
          <w:szCs w:val="44"/>
          <w:rtl w:val="0"/>
        </w:rPr>
        <w:t xml:space="preserve"> BA International Hotel Management</w:t>
      </w:r>
    </w:p>
    <w:p w:rsidR="00000000" w:rsidDel="00000000" w:rsidP="00000000" w:rsidRDefault="00000000" w:rsidRPr="00000000" w14:paraId="00000003">
      <w:pPr>
        <w:jc w:val="center"/>
        <w:rPr>
          <w:sz w:val="44"/>
          <w:szCs w:val="44"/>
        </w:rPr>
      </w:pPr>
      <w:r w:rsidDel="00000000" w:rsidR="00000000" w:rsidRPr="00000000">
        <w:rPr>
          <w:b w:val="1"/>
          <w:sz w:val="44"/>
          <w:szCs w:val="44"/>
          <w:rtl w:val="0"/>
        </w:rPr>
        <w:t xml:space="preserve">Module:</w:t>
      </w:r>
      <w:r w:rsidDel="00000000" w:rsidR="00000000" w:rsidRPr="00000000">
        <w:rPr>
          <w:sz w:val="44"/>
          <w:szCs w:val="44"/>
          <w:rtl w:val="0"/>
        </w:rPr>
        <w:t xml:space="preserve"> Cultural Awareness</w:t>
      </w:r>
    </w:p>
    <w:p w:rsidR="00000000" w:rsidDel="00000000" w:rsidP="00000000" w:rsidRDefault="00000000" w:rsidRPr="00000000" w14:paraId="00000004">
      <w:pPr>
        <w:jc w:val="center"/>
        <w:rPr>
          <w:sz w:val="44"/>
          <w:szCs w:val="44"/>
        </w:rPr>
      </w:pPr>
      <w:r w:rsidDel="00000000" w:rsidR="00000000" w:rsidRPr="00000000">
        <w:rPr>
          <w:b w:val="1"/>
          <w:sz w:val="44"/>
          <w:szCs w:val="44"/>
          <w:rtl w:val="0"/>
        </w:rPr>
        <w:t xml:space="preserve">Module Code</w:t>
      </w:r>
      <w:r w:rsidDel="00000000" w:rsidR="00000000" w:rsidRPr="00000000">
        <w:rPr>
          <w:sz w:val="44"/>
          <w:szCs w:val="44"/>
          <w:rtl w:val="0"/>
        </w:rPr>
        <w:t xml:space="preserve">: BMIH5003</w:t>
      </w:r>
    </w:p>
    <w:p w:rsidR="00000000" w:rsidDel="00000000" w:rsidP="00000000" w:rsidRDefault="00000000" w:rsidRPr="00000000" w14:paraId="00000005">
      <w:pPr>
        <w:jc w:val="center"/>
        <w:rPr>
          <w:sz w:val="36"/>
          <w:szCs w:val="36"/>
        </w:rPr>
      </w:pPr>
      <w:bookmarkStart w:colFirst="0" w:colLast="0" w:name="_heading=h.gjdgxs" w:id="0"/>
      <w:bookmarkEnd w:id="0"/>
      <w:r w:rsidDel="00000000" w:rsidR="00000000" w:rsidRPr="00000000">
        <w:rPr>
          <w:b w:val="1"/>
          <w:sz w:val="36"/>
          <w:szCs w:val="36"/>
          <w:rtl w:val="0"/>
        </w:rPr>
        <w:t xml:space="preserve">Assignment Title:</w:t>
      </w:r>
      <w:r w:rsidDel="00000000" w:rsidR="00000000" w:rsidRPr="00000000">
        <w:rPr>
          <w:sz w:val="36"/>
          <w:szCs w:val="36"/>
          <w:rtl w:val="0"/>
        </w:rPr>
        <w:t xml:space="preserve"> Hotel handbook for intercultural competence</w:t>
      </w:r>
    </w:p>
    <w:p w:rsidR="00000000" w:rsidDel="00000000" w:rsidP="00000000" w:rsidRDefault="00000000" w:rsidRPr="00000000" w14:paraId="00000006">
      <w:pPr>
        <w:pStyle w:val="Heading1"/>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7">
      <w:pPr>
        <w:jc w:val="center"/>
        <w:rPr>
          <w:sz w:val="32"/>
          <w:szCs w:val="32"/>
        </w:rPr>
      </w:pPr>
      <w:r w:rsidDel="00000000" w:rsidR="00000000" w:rsidRPr="00000000">
        <w:rPr>
          <w:b w:val="1"/>
          <w:sz w:val="32"/>
          <w:szCs w:val="32"/>
          <w:rtl w:val="0"/>
        </w:rPr>
        <w:t xml:space="preserve">Student Name:</w:t>
      </w:r>
      <w:r w:rsidDel="00000000" w:rsidR="00000000" w:rsidRPr="00000000">
        <w:rPr>
          <w:sz w:val="32"/>
          <w:szCs w:val="32"/>
          <w:rtl w:val="0"/>
        </w:rPr>
        <w:t xml:space="preserve"> Salman Ali</w:t>
      </w:r>
    </w:p>
    <w:p w:rsidR="00000000" w:rsidDel="00000000" w:rsidP="00000000" w:rsidRDefault="00000000" w:rsidRPr="00000000" w14:paraId="00000008">
      <w:pPr>
        <w:jc w:val="center"/>
        <w:rPr>
          <w:sz w:val="32"/>
          <w:szCs w:val="32"/>
        </w:rPr>
      </w:pPr>
      <w:r w:rsidDel="00000000" w:rsidR="00000000" w:rsidRPr="00000000">
        <w:rPr>
          <w:sz w:val="32"/>
          <w:szCs w:val="32"/>
          <w:rtl w:val="0"/>
        </w:rPr>
        <w:t xml:space="preserve">Student ID: </w:t>
      </w:r>
    </w:p>
    <w:p w:rsidR="00000000" w:rsidDel="00000000" w:rsidP="00000000" w:rsidRDefault="00000000" w:rsidRPr="00000000" w14:paraId="00000009">
      <w:pPr>
        <w:jc w:val="center"/>
        <w:rPr>
          <w:sz w:val="32"/>
          <w:szCs w:val="32"/>
        </w:rPr>
      </w:pPr>
      <w:r w:rsidDel="00000000" w:rsidR="00000000" w:rsidRPr="00000000">
        <w:rPr>
          <w:sz w:val="32"/>
          <w:szCs w:val="32"/>
          <w:rtl w:val="0"/>
        </w:rPr>
        <w:t xml:space="preserve">Lecturer Name: </w:t>
      </w:r>
    </w:p>
    <w:p w:rsidR="00000000" w:rsidDel="00000000" w:rsidP="00000000" w:rsidRDefault="00000000" w:rsidRPr="00000000" w14:paraId="0000000A">
      <w:pPr>
        <w:jc w:val="center"/>
        <w:rPr>
          <w:sz w:val="32"/>
          <w:szCs w:val="32"/>
        </w:rPr>
      </w:pPr>
      <w:r w:rsidDel="00000000" w:rsidR="00000000" w:rsidRPr="00000000">
        <w:rPr>
          <w:sz w:val="32"/>
          <w:szCs w:val="32"/>
          <w:rtl w:val="0"/>
        </w:rPr>
        <w:t xml:space="preserve">Word Count: 1048</w:t>
      </w:r>
    </w:p>
    <w:p w:rsidR="00000000" w:rsidDel="00000000" w:rsidP="00000000" w:rsidRDefault="00000000" w:rsidRPr="00000000" w14:paraId="0000000B">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C">
      <w:pPr>
        <w:pStyle w:val="Heading1"/>
        <w:jc w:val="center"/>
        <w:rPr>
          <w:rFonts w:ascii="Times New Roman" w:cs="Times New Roman" w:eastAsia="Times New Roman" w:hAnsi="Times New Roman"/>
          <w:color w:val="000000"/>
        </w:rPr>
      </w:pPr>
      <w:bookmarkStart w:colFirst="0" w:colLast="0" w:name="_heading=h.30j0zll" w:id="1"/>
      <w:bookmarkEnd w:id="1"/>
      <w:r w:rsidDel="00000000" w:rsidR="00000000" w:rsidRPr="00000000">
        <w:rPr>
          <w:rFonts w:ascii="Times New Roman" w:cs="Times New Roman" w:eastAsia="Times New Roman" w:hAnsi="Times New Roman"/>
          <w:color w:val="000000"/>
          <w:rtl w:val="0"/>
        </w:rPr>
        <w:t xml:space="preserve">Executive summary</w:t>
      </w:r>
    </w:p>
    <w:p w:rsidR="00000000" w:rsidDel="00000000" w:rsidP="00000000" w:rsidRDefault="00000000" w:rsidRPr="00000000" w14:paraId="0000000D">
      <w:pPr>
        <w:rPr/>
      </w:pPr>
      <w:r w:rsidDel="00000000" w:rsidR="00000000" w:rsidRPr="00000000">
        <w:rPr>
          <w:rtl w:val="0"/>
        </w:rPr>
        <w:t xml:space="preserve">This handbook of Hotel Merlin will help the hotel staff to greet and conduct effective communication in a professional manner. There are various outside workers who are not solely from a UK background and in this case understanding UK culture is important. On the other hand, there are also cultural dissimilarities and understanding which are very crucial to be understood by the hotel staff so that the task of managing international guests becomes easier. </w:t>
      </w: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United Kingdom (The Merlin Hotel)</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UAE (Guests’ home country and culture)</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Country analysis</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Merlin Hotel’s handbook</w:t>
              <w:tab/>
              <w:t xml:space="preserve">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rFonts w:ascii="Times New Roman" w:cs="Times New Roman" w:eastAsia="Times New Roman" w:hAnsi="Times New Roman"/>
          <w:color w:val="000000"/>
        </w:rPr>
      </w:pPr>
      <w:bookmarkStart w:colFirst="0" w:colLast="0" w:name="_heading=h.1fob9te" w:id="2"/>
      <w:bookmarkEnd w:id="2"/>
      <w:r w:rsidDel="00000000" w:rsidR="00000000" w:rsidRPr="00000000">
        <w:rPr>
          <w:rFonts w:ascii="Times New Roman" w:cs="Times New Roman" w:eastAsia="Times New Roman" w:hAnsi="Times New Roman"/>
          <w:color w:val="000000"/>
          <w:rtl w:val="0"/>
        </w:rPr>
        <w:t xml:space="preserve">Introduction</w:t>
      </w:r>
    </w:p>
    <w:p w:rsidR="00000000" w:rsidDel="00000000" w:rsidP="00000000" w:rsidRDefault="00000000" w:rsidRPr="00000000" w14:paraId="0000001B">
      <w:pPr>
        <w:rPr/>
      </w:pPr>
      <w:r w:rsidDel="00000000" w:rsidR="00000000" w:rsidRPr="00000000">
        <w:rPr>
          <w:rtl w:val="0"/>
        </w:rPr>
        <w:t xml:space="preserve">Hotel Merlin UK is a well-renowned hotel that has great international exposure and is very effective at giving satisfactory services to international guests. People from different cultures like the UAE have different beliefs and that should be tackled as per the diversified belief system (Goh et al., 2017). The hotel staff play a very crucial role as they handle the different types of guests who are from various different backgrounds and that is why this report will help them adequately by providing the handbook following which they can manage the international guests in an efficient manner.</w:t>
      </w: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rFonts w:ascii="Times New Roman" w:cs="Times New Roman" w:eastAsia="Times New Roman" w:hAnsi="Times New Roman"/>
          <w:color w:val="000000"/>
        </w:rPr>
      </w:pPr>
      <w:bookmarkStart w:colFirst="0" w:colLast="0" w:name="_heading=h.3znysh7" w:id="3"/>
      <w:bookmarkEnd w:id="3"/>
      <w:r w:rsidDel="00000000" w:rsidR="00000000" w:rsidRPr="00000000">
        <w:rPr>
          <w:rFonts w:ascii="Times New Roman" w:cs="Times New Roman" w:eastAsia="Times New Roman" w:hAnsi="Times New Roman"/>
          <w:color w:val="000000"/>
          <w:rtl w:val="0"/>
        </w:rPr>
        <w:t xml:space="preserve">The United Kingdom (The Merlin Hotel)</w:t>
      </w:r>
    </w:p>
    <w:p w:rsidR="00000000" w:rsidDel="00000000" w:rsidP="00000000" w:rsidRDefault="00000000" w:rsidRPr="00000000" w14:paraId="0000001D">
      <w:pPr>
        <w:rPr/>
      </w:pPr>
      <w:r w:rsidDel="00000000" w:rsidR="00000000" w:rsidRPr="00000000">
        <w:rPr>
          <w:rtl w:val="0"/>
        </w:rPr>
        <w:t xml:space="preserve">Hotel merlin is a renowned hotel in the UK which is situated a 10-minute walk from Ilfracombe Harbour. The hotel was situated in 1998 and currently, it has two more extensions across the UK. The hotel has space for guests, a TV room and a cellar bar and a great offering of various UK dishes (Hotel Merlin, 2021). According to the UK culture, there are several ways of welcoming people like shaking hands or saying a simple word like “hello” and in various mass gatherings, people tend to communicate with each other in various UK festivals and other events, these people like to gather around.</w:t>
      </w:r>
    </w:p>
    <w:p w:rsidR="00000000" w:rsidDel="00000000" w:rsidP="00000000" w:rsidRDefault="00000000" w:rsidRPr="00000000" w14:paraId="0000001E">
      <w:pPr>
        <w:pStyle w:val="Heading1"/>
        <w:rPr>
          <w:rFonts w:ascii="Times New Roman" w:cs="Times New Roman" w:eastAsia="Times New Roman" w:hAnsi="Times New Roman"/>
          <w:color w:val="000000"/>
        </w:rPr>
      </w:pPr>
      <w:bookmarkStart w:colFirst="0" w:colLast="0" w:name="_heading=h.2et92p0" w:id="4"/>
      <w:bookmarkEnd w:id="4"/>
      <w:r w:rsidDel="00000000" w:rsidR="00000000" w:rsidRPr="00000000">
        <w:rPr>
          <w:rFonts w:ascii="Times New Roman" w:cs="Times New Roman" w:eastAsia="Times New Roman" w:hAnsi="Times New Roman"/>
          <w:color w:val="000000"/>
          <w:rtl w:val="0"/>
        </w:rPr>
        <w:t xml:space="preserve">UAE (Guests’ home country and culture)</w:t>
      </w:r>
    </w:p>
    <w:p w:rsidR="00000000" w:rsidDel="00000000" w:rsidP="00000000" w:rsidRDefault="00000000" w:rsidRPr="00000000" w14:paraId="0000001F">
      <w:pPr>
        <w:rPr/>
      </w:pPr>
      <w:r w:rsidDel="00000000" w:rsidR="00000000" w:rsidRPr="00000000">
        <w:rPr>
          <w:rtl w:val="0"/>
        </w:rPr>
        <w:t xml:space="preserve">Muslims, Bedouins, and pioneers of modern science and technology all call the United Arab Emirates (UAE) home. Because Islam is the state religion, it influences many aspects of daily life, including what people wear, what they eat, and how they treat one another. The people of the United Arab Emirates are well known for their warmth and hospitality (El-Omari, 2018). In Emirati culture, it is common practice to share meals and drinks with friends and family. The traditional shirt for males is the white, ankle-length kandura, while the abaya and Shayla are the traditional clothing for women. These garments are perfect for protecting one from the sun and heat. Emirati cuisine is an innovative fusion of Arab, Indian, and Persian cuisines. Other common choices are luqaimat shawarma (grilled meat wrapped in bread), and matchbooks (spiced rice with meat or fish) (Galdolage, 2021). </w:t>
      </w:r>
    </w:p>
    <w:p w:rsidR="00000000" w:rsidDel="00000000" w:rsidP="00000000" w:rsidRDefault="00000000" w:rsidRPr="00000000" w14:paraId="00000020">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rFonts w:ascii="Times New Roman" w:cs="Times New Roman" w:eastAsia="Times New Roman" w:hAnsi="Times New Roman"/>
          <w:color w:val="000000"/>
        </w:rPr>
      </w:pPr>
      <w:bookmarkStart w:colFirst="0" w:colLast="0" w:name="_heading=h.tyjcwt" w:id="5"/>
      <w:bookmarkEnd w:id="5"/>
      <w:r w:rsidDel="00000000" w:rsidR="00000000" w:rsidRPr="00000000">
        <w:rPr>
          <w:rFonts w:ascii="Times New Roman" w:cs="Times New Roman" w:eastAsia="Times New Roman" w:hAnsi="Times New Roman"/>
          <w:color w:val="000000"/>
          <w:rtl w:val="0"/>
        </w:rPr>
        <w:t xml:space="preserve">Country analysis</w:t>
      </w:r>
    </w:p>
    <w:p w:rsidR="00000000" w:rsidDel="00000000" w:rsidP="00000000" w:rsidRDefault="00000000" w:rsidRPr="00000000" w14:paraId="00000022">
      <w:pPr>
        <w:rPr/>
      </w:pPr>
      <w:r w:rsidDel="00000000" w:rsidR="00000000" w:rsidRPr="00000000">
        <w:rPr>
          <w:rtl w:val="0"/>
        </w:rPr>
        <w:t xml:space="preserve">The 'Hofstede Insights cultural comparison matrix is a six-factor instrument for assessing similarities and differences across nations (Hofstede Insights, 2022). This is a visual portrayal of the cultural differences between the United Kingdom and the United Arab Emirates, based on the research of cultural anthropologist Geir Aa. Hofstede.</w:t>
      </w:r>
    </w:p>
    <w:p w:rsidR="00000000" w:rsidDel="00000000" w:rsidP="00000000" w:rsidRDefault="00000000" w:rsidRPr="00000000" w14:paraId="00000023">
      <w:pPr>
        <w:keepNext w:val="1"/>
        <w:jc w:val="center"/>
        <w:rPr/>
      </w:pPr>
      <w:r w:rsidDel="00000000" w:rsidR="00000000" w:rsidRPr="00000000">
        <w:rPr/>
        <w:drawing>
          <wp:inline distB="0" distT="0" distL="0" distR="0">
            <wp:extent cx="5143500" cy="278130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143500" cy="278130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00000"/>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Figure 1: Country Analysis (Own)</w:t>
      </w:r>
    </w:p>
    <w:p w:rsidR="00000000" w:rsidDel="00000000" w:rsidP="00000000" w:rsidRDefault="00000000" w:rsidRPr="00000000" w14:paraId="00000025">
      <w:pPr>
        <w:rPr/>
      </w:pPr>
      <w:r w:rsidDel="00000000" w:rsidR="00000000" w:rsidRPr="00000000">
        <w:rPr>
          <w:b w:val="1"/>
          <w:rtl w:val="0"/>
        </w:rPr>
        <w:t xml:space="preserve">Power distance:</w:t>
      </w:r>
      <w:r w:rsidDel="00000000" w:rsidR="00000000" w:rsidRPr="00000000">
        <w:rPr>
          <w:rtl w:val="0"/>
        </w:rPr>
        <w:t xml:space="preserve"> Here the power distribution is mainly represented and according to the insight, we can see that the UAE is far more efficient than the UK in the equal distribution of its power. It can be in terms of the centralization of power as well (Tang et al., 2020). The UAE has a more parallel hierarchy in distributing power than the UK. In the meantime, the UK is more open to distributing its power among the general people.</w:t>
      </w:r>
    </w:p>
    <w:p w:rsidR="00000000" w:rsidDel="00000000" w:rsidP="00000000" w:rsidRDefault="00000000" w:rsidRPr="00000000" w14:paraId="00000026">
      <w:pPr>
        <w:rPr/>
      </w:pPr>
      <w:r w:rsidDel="00000000" w:rsidR="00000000" w:rsidRPr="00000000">
        <w:rPr>
          <w:b w:val="1"/>
          <w:rtl w:val="0"/>
        </w:rPr>
        <w:t xml:space="preserve">Individualism:</w:t>
      </w:r>
      <w:r w:rsidDel="00000000" w:rsidR="00000000" w:rsidRPr="00000000">
        <w:rPr>
          <w:rtl w:val="0"/>
        </w:rPr>
        <w:t xml:space="preserve"> This metric's primary concern is how dependent its members are on one another in a given society. In terms of the scoring, we can see that UAE has less dependence than the UK as the country is rich in per capita income and almost most of the people there have an upper-class bracket, they are less dependent on others (Zyl, Dankaert and Guse, 2018). </w:t>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pPr>
      <w:r w:rsidDel="00000000" w:rsidR="00000000" w:rsidRPr="00000000">
        <w:br w:type="page"/>
      </w:r>
      <w:r w:rsidDel="00000000" w:rsidR="00000000" w:rsidRPr="00000000">
        <w:rPr>
          <w:b w:val="1"/>
          <w:rtl w:val="0"/>
        </w:rPr>
        <w:t xml:space="preserve">Masculinity:</w:t>
      </w:r>
      <w:r w:rsidDel="00000000" w:rsidR="00000000" w:rsidRPr="00000000">
        <w:rPr>
          <w:rtl w:val="0"/>
        </w:rPr>
        <w:t xml:space="preserve"> If an organisation has a strong Masculine value system (as shown by a high score on this dimension), its members are likely to be driven by a desire to succeed and be the best in their fields from an early age. In this case, the UK is more growth and the UAE is a bit behind (Kivelä and Chu, 2016).</w:t>
      </w:r>
    </w:p>
    <w:p w:rsidR="00000000" w:rsidDel="00000000" w:rsidP="00000000" w:rsidRDefault="00000000" w:rsidRPr="00000000" w14:paraId="00000029">
      <w:pPr>
        <w:rPr/>
      </w:pPr>
      <w:r w:rsidDel="00000000" w:rsidR="00000000" w:rsidRPr="00000000">
        <w:rPr>
          <w:b w:val="1"/>
          <w:rtl w:val="0"/>
        </w:rPr>
        <w:t xml:space="preserve">Uncertainty avoidance:</w:t>
      </w:r>
      <w:r w:rsidDel="00000000" w:rsidR="00000000" w:rsidRPr="00000000">
        <w:rPr>
          <w:rtl w:val="0"/>
        </w:rPr>
        <w:t xml:space="preserve"> It's disturbing, and people from different cultural backgrounds have created different coping mechanisms. To what extent its people perceive uncertainty as harmful is reflected in how well its culture has devised concepts and structures to deal with it (Sohaib, Kang and Miliszewska, 2019). UAE has a higher score means they are more risk-averse than the UK.</w:t>
      </w:r>
    </w:p>
    <w:p w:rsidR="00000000" w:rsidDel="00000000" w:rsidP="00000000" w:rsidRDefault="00000000" w:rsidRPr="00000000" w14:paraId="0000002A">
      <w:pPr>
        <w:rPr/>
      </w:pPr>
      <w:r w:rsidDel="00000000" w:rsidR="00000000" w:rsidRPr="00000000">
        <w:rPr>
          <w:b w:val="1"/>
          <w:rtl w:val="0"/>
        </w:rPr>
        <w:t xml:space="preserve">Long-term orientation:</w:t>
      </w:r>
      <w:r w:rsidDel="00000000" w:rsidR="00000000" w:rsidRPr="00000000">
        <w:rPr>
          <w:rtl w:val="0"/>
        </w:rPr>
        <w:t xml:space="preserve"> This feature exemplifies the different weights that diverse civilizations place on retaining their cultural heritage while still meeting the problems of the present and future (Gentry, Dibrell and Kim, 2015). The UAE is still a bit conservative and takes longer to adopt a new culture.</w:t>
      </w:r>
    </w:p>
    <w:p w:rsidR="00000000" w:rsidDel="00000000" w:rsidP="00000000" w:rsidRDefault="00000000" w:rsidRPr="00000000" w14:paraId="0000002B">
      <w:pPr>
        <w:rPr/>
      </w:pPr>
      <w:r w:rsidDel="00000000" w:rsidR="00000000" w:rsidRPr="00000000">
        <w:rPr>
          <w:b w:val="1"/>
          <w:rtl w:val="0"/>
        </w:rPr>
        <w:t xml:space="preserve">Indulgence:</w:t>
      </w:r>
      <w:r w:rsidDel="00000000" w:rsidR="00000000" w:rsidRPr="00000000">
        <w:rPr>
          <w:rtl w:val="0"/>
        </w:rPr>
        <w:t xml:space="preserve"> Throughout history, society has struggled with how well newborns are socialized (Acharya, 2017). To fully develop as human beings, social interaction is essential. Self-control is a reflection of one's upbringing and may be quantified along this dimension. The UK has a higher score than UAE meaning it is more friendly and socialising than UAE and it also shows how diversified the culture is. </w:t>
      </w:r>
    </w:p>
    <w:p w:rsidR="00000000" w:rsidDel="00000000" w:rsidP="00000000" w:rsidRDefault="00000000" w:rsidRPr="00000000" w14:paraId="0000002C">
      <w:pP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rFonts w:ascii="Times New Roman" w:cs="Times New Roman" w:eastAsia="Times New Roman" w:hAnsi="Times New Roman"/>
          <w:color w:val="000000"/>
        </w:rPr>
      </w:pPr>
      <w:bookmarkStart w:colFirst="0" w:colLast="0" w:name="_heading=h.3dy6vkm" w:id="6"/>
      <w:bookmarkEnd w:id="6"/>
      <w:r w:rsidDel="00000000" w:rsidR="00000000" w:rsidRPr="00000000">
        <w:rPr>
          <w:rFonts w:ascii="Times New Roman" w:cs="Times New Roman" w:eastAsia="Times New Roman" w:hAnsi="Times New Roman"/>
          <w:color w:val="000000"/>
          <w:rtl w:val="0"/>
        </w:rPr>
        <w:t xml:space="preserve">The Merlin Hotel’s handbook</w:t>
      </w:r>
    </w:p>
    <w:tbl>
      <w:tblPr>
        <w:tblStyle w:val="Table1"/>
        <w:tblW w:w="957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788"/>
        <w:tblGridChange w:id="0">
          <w:tblGrid>
            <w:gridCol w:w="4788"/>
            <w:gridCol w:w="4788"/>
          </w:tblGrid>
        </w:tblGridChange>
      </w:tblGrid>
      <w:tr>
        <w:trPr>
          <w:cantSplit w:val="0"/>
          <w:tblHeader w:val="0"/>
        </w:trPr>
        <w:tc>
          <w:tcPr/>
          <w:p w:rsidR="00000000" w:rsidDel="00000000" w:rsidP="00000000" w:rsidRDefault="00000000" w:rsidRPr="00000000" w14:paraId="0000002E">
            <w:pPr>
              <w:spacing w:line="360" w:lineRule="auto"/>
              <w:jc w:val="center"/>
              <w:rPr>
                <w:b w:val="1"/>
              </w:rPr>
            </w:pPr>
            <w:r w:rsidDel="00000000" w:rsidR="00000000" w:rsidRPr="00000000">
              <w:rPr>
                <w:b w:val="1"/>
                <w:rtl w:val="0"/>
              </w:rPr>
              <w:t xml:space="preserve">Do’s</w:t>
            </w:r>
          </w:p>
        </w:tc>
        <w:tc>
          <w:tcPr/>
          <w:p w:rsidR="00000000" w:rsidDel="00000000" w:rsidP="00000000" w:rsidRDefault="00000000" w:rsidRPr="00000000" w14:paraId="0000002F">
            <w:pPr>
              <w:spacing w:line="360" w:lineRule="auto"/>
              <w:jc w:val="center"/>
              <w:rPr>
                <w:b w:val="1"/>
              </w:rPr>
            </w:pPr>
            <w:r w:rsidDel="00000000" w:rsidR="00000000" w:rsidRPr="00000000">
              <w:rPr>
                <w:b w:val="1"/>
                <w:rtl w:val="0"/>
              </w:rPr>
              <w:t xml:space="preserve">Don’ts</w:t>
            </w:r>
          </w:p>
        </w:tc>
      </w:tr>
      <w:tr>
        <w:trPr>
          <w:cantSplit w:val="0"/>
          <w:tblHeader w:val="0"/>
        </w:trPr>
        <w:tc>
          <w:tcPr/>
          <w:p w:rsidR="00000000" w:rsidDel="00000000" w:rsidP="00000000" w:rsidRDefault="00000000" w:rsidRPr="00000000" w14:paraId="00000030">
            <w:pPr>
              <w:numPr>
                <w:ilvl w:val="0"/>
                <w:numId w:val="3"/>
              </w:numPr>
              <w:pBdr>
                <w:top w:space="0" w:sz="0" w:val="nil"/>
                <w:left w:space="0" w:sz="0" w:val="nil"/>
                <w:bottom w:space="0" w:sz="0" w:val="nil"/>
                <w:right w:space="0" w:sz="0" w:val="nil"/>
                <w:between w:space="0" w:sz="0" w:val="nil"/>
              </w:pBdr>
              <w:spacing w:line="360" w:lineRule="auto"/>
              <w:ind w:left="450" w:hanging="360"/>
              <w:rPr/>
            </w:pPr>
            <w:r w:rsidDel="00000000" w:rsidR="00000000" w:rsidRPr="00000000">
              <w:rPr>
                <w:rtl w:val="0"/>
              </w:rPr>
              <w:t xml:space="preserve">Greeting with a warm smile and handshake</w:t>
            </w:r>
          </w:p>
          <w:p w:rsidR="00000000" w:rsidDel="00000000" w:rsidP="00000000" w:rsidRDefault="00000000" w:rsidRPr="00000000" w14:paraId="00000031">
            <w:pPr>
              <w:numPr>
                <w:ilvl w:val="0"/>
                <w:numId w:val="3"/>
              </w:numPr>
              <w:pBdr>
                <w:top w:space="0" w:sz="0" w:val="nil"/>
                <w:left w:space="0" w:sz="0" w:val="nil"/>
                <w:bottom w:space="0" w:sz="0" w:val="nil"/>
                <w:right w:space="0" w:sz="0" w:val="nil"/>
                <w:between w:space="0" w:sz="0" w:val="nil"/>
              </w:pBdr>
              <w:spacing w:line="360" w:lineRule="auto"/>
              <w:ind w:left="450" w:hanging="360"/>
              <w:rPr/>
            </w:pPr>
            <w:r w:rsidDel="00000000" w:rsidR="00000000" w:rsidRPr="00000000">
              <w:rPr>
                <w:rtl w:val="0"/>
              </w:rPr>
              <w:t xml:space="preserve">Show respect to the religion as it carries their beliefs and sentiment</w:t>
            </w:r>
          </w:p>
          <w:p w:rsidR="00000000" w:rsidDel="00000000" w:rsidP="00000000" w:rsidRDefault="00000000" w:rsidRPr="00000000" w14:paraId="00000032">
            <w:pPr>
              <w:numPr>
                <w:ilvl w:val="0"/>
                <w:numId w:val="3"/>
              </w:numPr>
              <w:pBdr>
                <w:top w:space="0" w:sz="0" w:val="nil"/>
                <w:left w:space="0" w:sz="0" w:val="nil"/>
                <w:bottom w:space="0" w:sz="0" w:val="nil"/>
                <w:right w:space="0" w:sz="0" w:val="nil"/>
                <w:between w:space="0" w:sz="0" w:val="nil"/>
              </w:pBdr>
              <w:spacing w:line="360" w:lineRule="auto"/>
              <w:ind w:left="450" w:hanging="360"/>
              <w:rPr/>
            </w:pPr>
            <w:r w:rsidDel="00000000" w:rsidR="00000000" w:rsidRPr="00000000">
              <w:rPr>
                <w:rtl w:val="0"/>
              </w:rPr>
              <w:t xml:space="preserve">Dress conservatively especially if the guests are from than discipline</w:t>
            </w:r>
          </w:p>
          <w:p w:rsidR="00000000" w:rsidDel="00000000" w:rsidP="00000000" w:rsidRDefault="00000000" w:rsidRPr="00000000" w14:paraId="00000033">
            <w:pPr>
              <w:numPr>
                <w:ilvl w:val="0"/>
                <w:numId w:val="3"/>
              </w:numPr>
              <w:pBdr>
                <w:top w:space="0" w:sz="0" w:val="nil"/>
                <w:left w:space="0" w:sz="0" w:val="nil"/>
                <w:bottom w:space="0" w:sz="0" w:val="nil"/>
                <w:right w:space="0" w:sz="0" w:val="nil"/>
                <w:between w:space="0" w:sz="0" w:val="nil"/>
              </w:pBdr>
              <w:spacing w:line="360" w:lineRule="auto"/>
              <w:ind w:left="450" w:hanging="360"/>
              <w:rPr/>
            </w:pPr>
            <w:r w:rsidDel="00000000" w:rsidR="00000000" w:rsidRPr="00000000">
              <w:rPr>
                <w:rtl w:val="0"/>
              </w:rPr>
              <w:t xml:space="preserve">Try to understand and create interest towards their culture</w:t>
            </w:r>
          </w:p>
          <w:p w:rsidR="00000000" w:rsidDel="00000000" w:rsidP="00000000" w:rsidRDefault="00000000" w:rsidRPr="00000000" w14:paraId="00000034">
            <w:pPr>
              <w:numPr>
                <w:ilvl w:val="0"/>
                <w:numId w:val="3"/>
              </w:numPr>
              <w:pBdr>
                <w:top w:space="0" w:sz="0" w:val="nil"/>
                <w:left w:space="0" w:sz="0" w:val="nil"/>
                <w:bottom w:space="0" w:sz="0" w:val="nil"/>
                <w:right w:space="0" w:sz="0" w:val="nil"/>
                <w:between w:space="0" w:sz="0" w:val="nil"/>
              </w:pBdr>
              <w:spacing w:line="360" w:lineRule="auto"/>
              <w:ind w:left="450" w:hanging="360"/>
              <w:rPr/>
            </w:pPr>
            <w:r w:rsidDel="00000000" w:rsidR="00000000" w:rsidRPr="00000000">
              <w:rPr>
                <w:rtl w:val="0"/>
              </w:rPr>
              <w:t xml:space="preserve">Be punctual in serving them especially the various officials visiting the country</w:t>
            </w:r>
          </w:p>
          <w:p w:rsidR="00000000" w:rsidDel="00000000" w:rsidP="00000000" w:rsidRDefault="00000000" w:rsidRPr="00000000" w14:paraId="00000035">
            <w:pPr>
              <w:numPr>
                <w:ilvl w:val="0"/>
                <w:numId w:val="3"/>
              </w:numPr>
              <w:pBdr>
                <w:top w:space="0" w:sz="0" w:val="nil"/>
                <w:left w:space="0" w:sz="0" w:val="nil"/>
                <w:bottom w:space="0" w:sz="0" w:val="nil"/>
                <w:right w:space="0" w:sz="0" w:val="nil"/>
                <w:between w:space="0" w:sz="0" w:val="nil"/>
              </w:pBdr>
              <w:spacing w:line="360" w:lineRule="auto"/>
              <w:ind w:left="450" w:hanging="360"/>
              <w:rPr/>
            </w:pPr>
            <w:r w:rsidDel="00000000" w:rsidR="00000000" w:rsidRPr="00000000">
              <w:rPr>
                <w:rtl w:val="0"/>
              </w:rPr>
              <w:t xml:space="preserve">Try to speak in native language for avoiding any misunderstanding communication</w:t>
            </w:r>
          </w:p>
          <w:p w:rsidR="00000000" w:rsidDel="00000000" w:rsidP="00000000" w:rsidRDefault="00000000" w:rsidRPr="00000000" w14:paraId="00000036">
            <w:pPr>
              <w:numPr>
                <w:ilvl w:val="0"/>
                <w:numId w:val="3"/>
              </w:numPr>
              <w:pBdr>
                <w:top w:space="0" w:sz="0" w:val="nil"/>
                <w:left w:space="0" w:sz="0" w:val="nil"/>
                <w:bottom w:space="0" w:sz="0" w:val="nil"/>
                <w:right w:space="0" w:sz="0" w:val="nil"/>
                <w:between w:space="0" w:sz="0" w:val="nil"/>
              </w:pBdr>
              <w:spacing w:after="200" w:line="360" w:lineRule="auto"/>
              <w:ind w:left="450" w:hanging="360"/>
              <w:rPr/>
            </w:pPr>
            <w:r w:rsidDel="00000000" w:rsidR="00000000" w:rsidRPr="00000000">
              <w:rPr>
                <w:rtl w:val="0"/>
              </w:rPr>
              <w:t xml:space="preserve">Be respectful and in a polite manner </w:t>
            </w:r>
          </w:p>
        </w:tc>
        <w:tc>
          <w:tcPr/>
          <w:p w:rsidR="00000000" w:rsidDel="00000000" w:rsidP="00000000" w:rsidRDefault="00000000" w:rsidRPr="00000000" w14:paraId="00000037">
            <w:pPr>
              <w:numPr>
                <w:ilvl w:val="0"/>
                <w:numId w:val="1"/>
              </w:numPr>
              <w:pBdr>
                <w:top w:space="0" w:sz="0" w:val="nil"/>
                <w:left w:space="0" w:sz="0" w:val="nil"/>
                <w:bottom w:space="0" w:sz="0" w:val="nil"/>
                <w:right w:space="0" w:sz="0" w:val="nil"/>
                <w:between w:space="0" w:sz="0" w:val="nil"/>
              </w:pBdr>
              <w:spacing w:line="360" w:lineRule="auto"/>
              <w:ind w:left="360" w:hanging="360"/>
              <w:rPr/>
            </w:pPr>
            <w:r w:rsidDel="00000000" w:rsidR="00000000" w:rsidRPr="00000000">
              <w:rPr>
                <w:rtl w:val="0"/>
              </w:rPr>
              <w:t xml:space="preserve">Try to avoid public affection as it is against the Emirati culture and often considered misappropriate</w:t>
            </w:r>
          </w:p>
          <w:p w:rsidR="00000000" w:rsidDel="00000000" w:rsidP="00000000" w:rsidRDefault="00000000" w:rsidRPr="00000000" w14:paraId="00000038">
            <w:pPr>
              <w:numPr>
                <w:ilvl w:val="0"/>
                <w:numId w:val="1"/>
              </w:numPr>
              <w:pBdr>
                <w:top w:space="0" w:sz="0" w:val="nil"/>
                <w:left w:space="0" w:sz="0" w:val="nil"/>
                <w:bottom w:space="0" w:sz="0" w:val="nil"/>
                <w:right w:space="0" w:sz="0" w:val="nil"/>
                <w:between w:space="0" w:sz="0" w:val="nil"/>
              </w:pBdr>
              <w:spacing w:line="360" w:lineRule="auto"/>
              <w:ind w:left="360" w:hanging="360"/>
              <w:rPr/>
            </w:pPr>
            <w:r w:rsidDel="00000000" w:rsidR="00000000" w:rsidRPr="00000000">
              <w:rPr>
                <w:rtl w:val="0"/>
              </w:rPr>
              <w:t xml:space="preserve">Do not offer alcohol as it is forbidden by Islamic law</w:t>
            </w:r>
          </w:p>
          <w:p w:rsidR="00000000" w:rsidDel="00000000" w:rsidP="00000000" w:rsidRDefault="00000000" w:rsidRPr="00000000" w14:paraId="00000039">
            <w:pPr>
              <w:numPr>
                <w:ilvl w:val="0"/>
                <w:numId w:val="1"/>
              </w:numPr>
              <w:pBdr>
                <w:top w:space="0" w:sz="0" w:val="nil"/>
                <w:left w:space="0" w:sz="0" w:val="nil"/>
                <w:bottom w:space="0" w:sz="0" w:val="nil"/>
                <w:right w:space="0" w:sz="0" w:val="nil"/>
                <w:between w:space="0" w:sz="0" w:val="nil"/>
              </w:pBdr>
              <w:spacing w:line="360" w:lineRule="auto"/>
              <w:ind w:left="360" w:hanging="360"/>
              <w:rPr/>
            </w:pPr>
            <w:r w:rsidDel="00000000" w:rsidR="00000000" w:rsidRPr="00000000">
              <w:rPr>
                <w:rtl w:val="0"/>
              </w:rPr>
              <w:t xml:space="preserve">Do not engage in any political, religious or another sensitive topic discussion</w:t>
            </w:r>
          </w:p>
          <w:p w:rsidR="00000000" w:rsidDel="00000000" w:rsidP="00000000" w:rsidRDefault="00000000" w:rsidRPr="00000000" w14:paraId="0000003A">
            <w:pPr>
              <w:numPr>
                <w:ilvl w:val="0"/>
                <w:numId w:val="1"/>
              </w:numPr>
              <w:pBdr>
                <w:top w:space="0" w:sz="0" w:val="nil"/>
                <w:left w:space="0" w:sz="0" w:val="nil"/>
                <w:bottom w:space="0" w:sz="0" w:val="nil"/>
                <w:right w:space="0" w:sz="0" w:val="nil"/>
                <w:between w:space="0" w:sz="0" w:val="nil"/>
              </w:pBdr>
              <w:spacing w:line="360" w:lineRule="auto"/>
              <w:ind w:left="360" w:hanging="360"/>
              <w:rPr/>
            </w:pPr>
            <w:r w:rsidDel="00000000" w:rsidR="00000000" w:rsidRPr="00000000">
              <w:rPr>
                <w:rtl w:val="0"/>
              </w:rPr>
              <w:t xml:space="preserve">Do not criticise the customers and traditions as everyone has distinct culture and beliefs</w:t>
            </w:r>
          </w:p>
          <w:p w:rsidR="00000000" w:rsidDel="00000000" w:rsidP="00000000" w:rsidRDefault="00000000" w:rsidRPr="00000000" w14:paraId="0000003B">
            <w:pPr>
              <w:numPr>
                <w:ilvl w:val="0"/>
                <w:numId w:val="1"/>
              </w:numPr>
              <w:pBdr>
                <w:top w:space="0" w:sz="0" w:val="nil"/>
                <w:left w:space="0" w:sz="0" w:val="nil"/>
                <w:bottom w:space="0" w:sz="0" w:val="nil"/>
                <w:right w:space="0" w:sz="0" w:val="nil"/>
                <w:between w:space="0" w:sz="0" w:val="nil"/>
              </w:pBdr>
              <w:spacing w:line="360" w:lineRule="auto"/>
              <w:ind w:left="360" w:hanging="360"/>
              <w:rPr/>
            </w:pPr>
            <w:r w:rsidDel="00000000" w:rsidR="00000000" w:rsidRPr="00000000">
              <w:rPr>
                <w:rtl w:val="0"/>
              </w:rPr>
              <w:t xml:space="preserve">Try to avoid personal traits and behave in a professional manner</w:t>
            </w:r>
          </w:p>
          <w:p w:rsidR="00000000" w:rsidDel="00000000" w:rsidP="00000000" w:rsidRDefault="00000000" w:rsidRPr="00000000" w14:paraId="0000003C">
            <w:pPr>
              <w:keepNext w:val="1"/>
              <w:numPr>
                <w:ilvl w:val="0"/>
                <w:numId w:val="1"/>
              </w:numPr>
              <w:pBdr>
                <w:top w:space="0" w:sz="0" w:val="nil"/>
                <w:left w:space="0" w:sz="0" w:val="nil"/>
                <w:bottom w:space="0" w:sz="0" w:val="nil"/>
                <w:right w:space="0" w:sz="0" w:val="nil"/>
                <w:between w:space="0" w:sz="0" w:val="nil"/>
              </w:pBdr>
              <w:spacing w:after="200" w:line="360" w:lineRule="auto"/>
              <w:ind w:left="360" w:hanging="360"/>
              <w:rPr/>
            </w:pPr>
            <w:r w:rsidDel="00000000" w:rsidR="00000000" w:rsidRPr="00000000">
              <w:rPr>
                <w:rtl w:val="0"/>
              </w:rPr>
              <w:t xml:space="preserve">Don’t try to mock or make any irrelevant jokes that may be misunderstood by the person because later on, it could make a more confusing judgment. </w:t>
            </w:r>
          </w:p>
        </w:tc>
      </w:tr>
    </w:tbl>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000000"/>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Figure 2: Hotel Handbook (Own)</w:t>
      </w:r>
    </w:p>
    <w:p w:rsidR="00000000" w:rsidDel="00000000" w:rsidP="00000000" w:rsidRDefault="00000000" w:rsidRPr="00000000" w14:paraId="0000003E">
      <w:pPr>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rFonts w:ascii="Times New Roman" w:cs="Times New Roman" w:eastAsia="Times New Roman" w:hAnsi="Times New Roman"/>
          <w:color w:val="000000"/>
        </w:rPr>
      </w:pPr>
      <w:bookmarkStart w:colFirst="0" w:colLast="0" w:name="_heading=h.1t3h5sf" w:id="7"/>
      <w:bookmarkEnd w:id="7"/>
      <w:r w:rsidDel="00000000" w:rsidR="00000000" w:rsidRPr="00000000">
        <w:rPr>
          <w:rFonts w:ascii="Times New Roman" w:cs="Times New Roman" w:eastAsia="Times New Roman" w:hAnsi="Times New Roman"/>
          <w:color w:val="000000"/>
          <w:rtl w:val="0"/>
        </w:rPr>
        <w:t xml:space="preserve">Conclusion</w:t>
      </w:r>
    </w:p>
    <w:p w:rsidR="00000000" w:rsidDel="00000000" w:rsidP="00000000" w:rsidRDefault="00000000" w:rsidRPr="00000000" w14:paraId="00000040">
      <w:pPr>
        <w:rPr/>
      </w:pPr>
      <w:r w:rsidDel="00000000" w:rsidR="00000000" w:rsidRPr="00000000">
        <w:rPr>
          <w:rtl w:val="0"/>
        </w:rPr>
        <w:t xml:space="preserve">Multiple cultures have multiple beliefs and a hotel like Merlin in the UK is a well-diversified one whose staff should have proper knowledge in handling international guests. Different cultured people should be handled efficiently so that it also enhances the reputation of the respective country and provides a warm welcome for any guests (Pavitt et al., 2016). From race, beliefs and language, the hotels should have adequate knowledge so that the international people can be managed in a well-respected manner.</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b w:val="1"/>
          <w:color w:val="000000"/>
          <w:sz w:val="32"/>
          <w:szCs w:val="32"/>
        </w:rPr>
      </w:pPr>
      <w:r w:rsidDel="00000000" w:rsidR="00000000" w:rsidRPr="00000000">
        <w:rPr>
          <w:b w:val="1"/>
          <w:color w:val="000000"/>
          <w:sz w:val="32"/>
          <w:szCs w:val="32"/>
          <w:rtl w:val="0"/>
        </w:rPr>
        <w:t xml:space="preserve">Recommendation for Employees</w:t>
      </w:r>
    </w:p>
    <w:p w:rsidR="00000000" w:rsidDel="00000000" w:rsidP="00000000" w:rsidRDefault="00000000" w:rsidRPr="00000000" w14:paraId="000000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Employees should gain proper knowledge before going to the guest service.</w:t>
      </w:r>
      <w:r w:rsidDel="00000000" w:rsidR="00000000" w:rsidRPr="00000000">
        <w:rPr>
          <w:rtl w:val="0"/>
        </w:rPr>
      </w:r>
    </w:p>
    <w:p w:rsidR="00000000" w:rsidDel="00000000" w:rsidP="00000000" w:rsidRDefault="00000000" w:rsidRPr="00000000" w14:paraId="0000004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Emotional intelligence can be improved further for proper handling.</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br w:type="page"/>
      </w:r>
      <w:r w:rsidDel="00000000" w:rsidR="00000000" w:rsidRPr="00000000">
        <w:rPr>
          <w:rtl w:val="0"/>
        </w:rPr>
      </w:r>
    </w:p>
    <w:p w:rsidR="00000000" w:rsidDel="00000000" w:rsidP="00000000" w:rsidRDefault="00000000" w:rsidRPr="00000000" w14:paraId="00000047">
      <w:pPr>
        <w:pStyle w:val="Heading1"/>
        <w:rPr>
          <w:rFonts w:ascii="Times New Roman" w:cs="Times New Roman" w:eastAsia="Times New Roman" w:hAnsi="Times New Roman"/>
          <w:color w:val="000000"/>
        </w:rPr>
      </w:pPr>
      <w:bookmarkStart w:colFirst="0" w:colLast="0" w:name="_heading=h.4d34og8" w:id="8"/>
      <w:bookmarkEnd w:id="8"/>
      <w:r w:rsidDel="00000000" w:rsidR="00000000" w:rsidRPr="00000000">
        <w:rPr>
          <w:rFonts w:ascii="Times New Roman" w:cs="Times New Roman" w:eastAsia="Times New Roman" w:hAnsi="Times New Roman"/>
          <w:color w:val="000000"/>
          <w:rtl w:val="0"/>
        </w:rPr>
        <w:t xml:space="preserve">References</w:t>
      </w:r>
    </w:p>
    <w:p w:rsidR="00000000" w:rsidDel="00000000" w:rsidP="00000000" w:rsidRDefault="00000000" w:rsidRPr="00000000" w14:paraId="00000048">
      <w:pPr>
        <w:widowControl w:val="0"/>
        <w:spacing w:after="240" w:lineRule="auto"/>
        <w:rPr/>
      </w:pPr>
      <w:r w:rsidDel="00000000" w:rsidR="00000000" w:rsidRPr="00000000">
        <w:rPr>
          <w:rtl w:val="0"/>
        </w:rPr>
        <w:t xml:space="preserve">Acharya, A. (2017). ‘Theorising the international relations of Asia: necessity or indulgence?’ Some reflections. </w:t>
      </w:r>
      <w:r w:rsidDel="00000000" w:rsidR="00000000" w:rsidRPr="00000000">
        <w:rPr>
          <w:i w:val="1"/>
          <w:rtl w:val="0"/>
        </w:rPr>
        <w:t xml:space="preserve">The Pacific Review</w:t>
      </w:r>
      <w:r w:rsidDel="00000000" w:rsidR="00000000" w:rsidRPr="00000000">
        <w:rPr>
          <w:rtl w:val="0"/>
        </w:rPr>
        <w:t xml:space="preserve">, 30(6), pp.816–828. doi:</w:t>
      </w:r>
      <w:hyperlink r:id="rId8">
        <w:r w:rsidDel="00000000" w:rsidR="00000000" w:rsidRPr="00000000">
          <w:rPr>
            <w:u w:val="single"/>
            <w:rtl w:val="0"/>
          </w:rPr>
          <w:t xml:space="preserve">https://doi.org/10.1080/09512748.2017.1318163</w:t>
        </w:r>
      </w:hyperlink>
      <w:r w:rsidDel="00000000" w:rsidR="00000000" w:rsidRPr="00000000">
        <w:rPr>
          <w:rtl w:val="0"/>
        </w:rPr>
        <w:t xml:space="preserve">.</w:t>
      </w:r>
    </w:p>
    <w:p w:rsidR="00000000" w:rsidDel="00000000" w:rsidP="00000000" w:rsidRDefault="00000000" w:rsidRPr="00000000" w14:paraId="00000049">
      <w:pPr>
        <w:widowControl w:val="0"/>
        <w:spacing w:after="240" w:lineRule="auto"/>
        <w:rPr/>
      </w:pPr>
      <w:r w:rsidDel="00000000" w:rsidR="00000000" w:rsidRPr="00000000">
        <w:rPr>
          <w:rtl w:val="0"/>
        </w:rPr>
        <w:t xml:space="preserve">El-Omari, H.A. (2018). The Impact of Country of Origin on Emiratis’ Perception of products: The case of the Emirate of Dubai (UAE). </w:t>
      </w:r>
      <w:r w:rsidDel="00000000" w:rsidR="00000000" w:rsidRPr="00000000">
        <w:rPr>
          <w:i w:val="1"/>
          <w:rtl w:val="0"/>
        </w:rPr>
        <w:t xml:space="preserve">Studies in Business and Economics</w:t>
      </w:r>
      <w:r w:rsidDel="00000000" w:rsidR="00000000" w:rsidRPr="00000000">
        <w:rPr>
          <w:rtl w:val="0"/>
        </w:rPr>
        <w:t xml:space="preserve">, 14(1), pp.51–65. doi:</w:t>
      </w:r>
      <w:hyperlink r:id="rId9">
        <w:r w:rsidDel="00000000" w:rsidR="00000000" w:rsidRPr="00000000">
          <w:rPr>
            <w:u w:val="single"/>
            <w:rtl w:val="0"/>
          </w:rPr>
          <w:t xml:space="preserve">https://doi.org/10.29117/sbe.2018.0043</w:t>
        </w:r>
      </w:hyperlink>
      <w:r w:rsidDel="00000000" w:rsidR="00000000" w:rsidRPr="00000000">
        <w:rPr>
          <w:rtl w:val="0"/>
        </w:rPr>
        <w:t xml:space="preserve">.</w:t>
      </w:r>
    </w:p>
    <w:p w:rsidR="00000000" w:rsidDel="00000000" w:rsidP="00000000" w:rsidRDefault="00000000" w:rsidRPr="00000000" w14:paraId="0000004A">
      <w:pPr>
        <w:widowControl w:val="0"/>
        <w:spacing w:after="240" w:lineRule="auto"/>
        <w:rPr/>
      </w:pPr>
      <w:r w:rsidDel="00000000" w:rsidR="00000000" w:rsidRPr="00000000">
        <w:rPr>
          <w:rtl w:val="0"/>
        </w:rPr>
        <w:t xml:space="preserve">Galdolage, B.S. (2021). Customer’s Role in Co-Creating Value at Self-Service Technologies: From Role Theory Perspective. </w:t>
      </w:r>
      <w:r w:rsidDel="00000000" w:rsidR="00000000" w:rsidRPr="00000000">
        <w:rPr>
          <w:i w:val="1"/>
          <w:rtl w:val="0"/>
        </w:rPr>
        <w:t xml:space="preserve">Sri Lanka Journal of Marketing</w:t>
      </w:r>
      <w:r w:rsidDel="00000000" w:rsidR="00000000" w:rsidRPr="00000000">
        <w:rPr>
          <w:rtl w:val="0"/>
        </w:rPr>
        <w:t xml:space="preserve">, 7(1), p.70. doi:</w:t>
      </w:r>
      <w:hyperlink r:id="rId10">
        <w:r w:rsidDel="00000000" w:rsidR="00000000" w:rsidRPr="00000000">
          <w:rPr>
            <w:u w:val="single"/>
            <w:rtl w:val="0"/>
          </w:rPr>
          <w:t xml:space="preserve">https://doi.org/10.4038/sljmuok.v7i1.57</w:t>
        </w:r>
      </w:hyperlink>
      <w:r w:rsidDel="00000000" w:rsidR="00000000" w:rsidRPr="00000000">
        <w:rPr>
          <w:rtl w:val="0"/>
        </w:rPr>
        <w:t xml:space="preserve">.</w:t>
      </w:r>
    </w:p>
    <w:p w:rsidR="00000000" w:rsidDel="00000000" w:rsidP="00000000" w:rsidRDefault="00000000" w:rsidRPr="00000000" w14:paraId="0000004B">
      <w:pPr>
        <w:widowControl w:val="0"/>
        <w:spacing w:after="240" w:lineRule="auto"/>
        <w:rPr/>
      </w:pPr>
      <w:r w:rsidDel="00000000" w:rsidR="00000000" w:rsidRPr="00000000">
        <w:rPr>
          <w:rtl w:val="0"/>
        </w:rPr>
        <w:t xml:space="preserve">Gentry, R., Dibrell, C. and Kim, J. (2015). Long-Term Orientation in Publicly Traded Family Businesses: Evidence of a Dominant Logic. </w:t>
      </w:r>
      <w:r w:rsidDel="00000000" w:rsidR="00000000" w:rsidRPr="00000000">
        <w:rPr>
          <w:i w:val="1"/>
          <w:rtl w:val="0"/>
        </w:rPr>
        <w:t xml:space="preserve">Entrepreneurship Theory and Practice</w:t>
      </w:r>
      <w:r w:rsidDel="00000000" w:rsidR="00000000" w:rsidRPr="00000000">
        <w:rPr>
          <w:rtl w:val="0"/>
        </w:rPr>
        <w:t xml:space="preserve">, 40(4), pp.733–757. doi:</w:t>
      </w:r>
      <w:hyperlink r:id="rId11">
        <w:r w:rsidDel="00000000" w:rsidR="00000000" w:rsidRPr="00000000">
          <w:rPr>
            <w:u w:val="single"/>
            <w:rtl w:val="0"/>
          </w:rPr>
          <w:t xml:space="preserve">https://doi.org/10.1111/etap.12140</w:t>
        </w:r>
      </w:hyperlink>
      <w:r w:rsidDel="00000000" w:rsidR="00000000" w:rsidRPr="00000000">
        <w:rPr>
          <w:rtl w:val="0"/>
        </w:rPr>
        <w:t xml:space="preserve">.</w:t>
      </w:r>
    </w:p>
    <w:p w:rsidR="00000000" w:rsidDel="00000000" w:rsidP="00000000" w:rsidRDefault="00000000" w:rsidRPr="00000000" w14:paraId="0000004C">
      <w:pPr>
        <w:widowControl w:val="0"/>
        <w:spacing w:after="240" w:lineRule="auto"/>
        <w:rPr/>
      </w:pPr>
      <w:r w:rsidDel="00000000" w:rsidR="00000000" w:rsidRPr="00000000">
        <w:rPr>
          <w:rtl w:val="0"/>
        </w:rPr>
        <w:t xml:space="preserve">Goh, E., Nguyen, S. and Law, R. (2017). Marketing private hotel management schools in Australia. </w:t>
      </w:r>
      <w:r w:rsidDel="00000000" w:rsidR="00000000" w:rsidRPr="00000000">
        <w:rPr>
          <w:i w:val="1"/>
          <w:rtl w:val="0"/>
        </w:rPr>
        <w:t xml:space="preserve">Asia Pacific Journal of Marketing and Logistics</w:t>
      </w:r>
      <w:r w:rsidDel="00000000" w:rsidR="00000000" w:rsidRPr="00000000">
        <w:rPr>
          <w:rtl w:val="0"/>
        </w:rPr>
        <w:t xml:space="preserve">, 29(4), pp.880–889. doi:</w:t>
      </w:r>
      <w:hyperlink r:id="rId12">
        <w:r w:rsidDel="00000000" w:rsidR="00000000" w:rsidRPr="00000000">
          <w:rPr>
            <w:u w:val="single"/>
            <w:rtl w:val="0"/>
          </w:rPr>
          <w:t xml:space="preserve">https://doi.org/10.1108/apjml-09-2016-0183</w:t>
        </w:r>
      </w:hyperlink>
      <w:r w:rsidDel="00000000" w:rsidR="00000000" w:rsidRPr="00000000">
        <w:rPr>
          <w:rtl w:val="0"/>
        </w:rPr>
        <w:t xml:space="preserve">.</w:t>
      </w:r>
    </w:p>
    <w:p w:rsidR="00000000" w:rsidDel="00000000" w:rsidP="00000000" w:rsidRDefault="00000000" w:rsidRPr="00000000" w14:paraId="0000004D">
      <w:pPr>
        <w:widowControl w:val="0"/>
        <w:spacing w:after="240" w:lineRule="auto"/>
        <w:rPr/>
      </w:pPr>
      <w:r w:rsidDel="00000000" w:rsidR="00000000" w:rsidRPr="00000000">
        <w:rPr>
          <w:rtl w:val="0"/>
        </w:rPr>
        <w:t xml:space="preserve">Hofstede Insights (2022). </w:t>
      </w:r>
      <w:r w:rsidDel="00000000" w:rsidR="00000000" w:rsidRPr="00000000">
        <w:rPr>
          <w:i w:val="1"/>
          <w:rtl w:val="0"/>
        </w:rPr>
        <w:t xml:space="preserve">Country Comparison</w:t>
      </w:r>
      <w:r w:rsidDel="00000000" w:rsidR="00000000" w:rsidRPr="00000000">
        <w:rPr>
          <w:rtl w:val="0"/>
        </w:rPr>
        <w:t xml:space="preserve">. [online] Hofstede Insights. Available at: </w:t>
      </w:r>
      <w:hyperlink r:id="rId13">
        <w:r w:rsidDel="00000000" w:rsidR="00000000" w:rsidRPr="00000000">
          <w:rPr>
            <w:u w:val="single"/>
            <w:rtl w:val="0"/>
          </w:rPr>
          <w:t xml:space="preserve">https://www.hofstede-insights.com/country-comparison/the-united-arab-emirates</w:t>
        </w:r>
      </w:hyperlink>
      <w:r w:rsidDel="00000000" w:rsidR="00000000" w:rsidRPr="00000000">
        <w:rPr>
          <w:rtl w:val="0"/>
        </w:rPr>
        <w:t xml:space="preserve">.</w:t>
      </w:r>
    </w:p>
    <w:p w:rsidR="00000000" w:rsidDel="00000000" w:rsidP="00000000" w:rsidRDefault="00000000" w:rsidRPr="00000000" w14:paraId="0000004E">
      <w:pPr>
        <w:widowControl w:val="0"/>
        <w:spacing w:after="240" w:lineRule="auto"/>
        <w:rPr/>
      </w:pPr>
      <w:r w:rsidDel="00000000" w:rsidR="00000000" w:rsidRPr="00000000">
        <w:rPr>
          <w:rtl w:val="0"/>
        </w:rPr>
        <w:t xml:space="preserve">Hotel Merlin (2021).</w:t>
      </w:r>
      <w:r w:rsidDel="00000000" w:rsidR="00000000" w:rsidRPr="00000000">
        <w:rPr>
          <w:i w:val="1"/>
          <w:rtl w:val="0"/>
        </w:rPr>
        <w:t xml:space="preserve"> The Merlin Hotel, Blackpool, UK</w:t>
      </w:r>
      <w:r w:rsidDel="00000000" w:rsidR="00000000" w:rsidRPr="00000000">
        <w:rPr>
          <w:rtl w:val="0"/>
        </w:rPr>
        <w:t xml:space="preserve">. [online] Booking.com. Available at: </w:t>
      </w:r>
      <w:hyperlink r:id="rId14">
        <w:r w:rsidDel="00000000" w:rsidR="00000000" w:rsidRPr="00000000">
          <w:rPr>
            <w:u w:val="single"/>
            <w:rtl w:val="0"/>
          </w:rPr>
          <w:t xml:space="preserve">https://www.booking.com/hotel/gb/the-merlin-blackpool.en-gb.html</w:t>
        </w:r>
      </w:hyperlink>
      <w:r w:rsidDel="00000000" w:rsidR="00000000" w:rsidRPr="00000000">
        <w:rPr>
          <w:rtl w:val="0"/>
        </w:rPr>
        <w:t xml:space="preserve"> [Accessed 5 Mar. 2023].</w:t>
      </w:r>
    </w:p>
    <w:p w:rsidR="00000000" w:rsidDel="00000000" w:rsidP="00000000" w:rsidRDefault="00000000" w:rsidRPr="00000000" w14:paraId="0000004F">
      <w:pPr>
        <w:widowControl w:val="0"/>
        <w:spacing w:after="240" w:lineRule="auto"/>
        <w:rPr/>
      </w:pPr>
      <w:r w:rsidDel="00000000" w:rsidR="00000000" w:rsidRPr="00000000">
        <w:rPr>
          <w:rtl w:val="0"/>
        </w:rPr>
        <w:t xml:space="preserve">Kivelä, J.J. and Chu, C.Y.H. (2016). Delivering Quality Service: Diagnosing Favourable and Unfavourable Service Encounters in Restaurants. </w:t>
      </w:r>
      <w:r w:rsidDel="00000000" w:rsidR="00000000" w:rsidRPr="00000000">
        <w:rPr>
          <w:i w:val="1"/>
          <w:rtl w:val="0"/>
        </w:rPr>
        <w:t xml:space="preserve">Journal of Hospitality &amp; Tourism Research</w:t>
      </w:r>
      <w:r w:rsidDel="00000000" w:rsidR="00000000" w:rsidRPr="00000000">
        <w:rPr>
          <w:rtl w:val="0"/>
        </w:rPr>
        <w:t xml:space="preserve">, 25(3), pp.251–271. doi:</w:t>
      </w:r>
      <w:hyperlink r:id="rId15">
        <w:r w:rsidDel="00000000" w:rsidR="00000000" w:rsidRPr="00000000">
          <w:rPr>
            <w:u w:val="single"/>
            <w:rtl w:val="0"/>
          </w:rPr>
          <w:t xml:space="preserve">https://doi.org/10.1177/109634800102500302</w:t>
        </w:r>
      </w:hyperlink>
      <w:r w:rsidDel="00000000" w:rsidR="00000000" w:rsidRPr="00000000">
        <w:rPr>
          <w:rtl w:val="0"/>
        </w:rPr>
        <w:t xml:space="preserve">.</w:t>
      </w:r>
    </w:p>
    <w:p w:rsidR="00000000" w:rsidDel="00000000" w:rsidP="00000000" w:rsidRDefault="00000000" w:rsidRPr="00000000" w14:paraId="00000050">
      <w:pPr>
        <w:widowControl w:val="0"/>
        <w:spacing w:after="240" w:lineRule="auto"/>
        <w:rPr/>
      </w:pPr>
      <w:r w:rsidDel="00000000" w:rsidR="00000000" w:rsidRPr="00000000">
        <w:rPr>
          <w:rtl w:val="0"/>
        </w:rPr>
        <w:t xml:space="preserve">Pavitt, K., Robson, M. and Townsend, J. (2016). Technological Accumulation, Diversification and Organisation in UK Companies, 1945–1983. </w:t>
      </w:r>
      <w:r w:rsidDel="00000000" w:rsidR="00000000" w:rsidRPr="00000000">
        <w:rPr>
          <w:i w:val="1"/>
          <w:rtl w:val="0"/>
        </w:rPr>
        <w:t xml:space="preserve">Management Science</w:t>
      </w:r>
      <w:r w:rsidDel="00000000" w:rsidR="00000000" w:rsidRPr="00000000">
        <w:rPr>
          <w:rtl w:val="0"/>
        </w:rPr>
        <w:t xml:space="preserve">, 35(1), pp.81–99. doi:</w:t>
      </w:r>
      <w:hyperlink r:id="rId16">
        <w:r w:rsidDel="00000000" w:rsidR="00000000" w:rsidRPr="00000000">
          <w:rPr>
            <w:u w:val="single"/>
            <w:rtl w:val="0"/>
          </w:rPr>
          <w:t xml:space="preserve">https://doi.org/10.1287/mnsc.35.1.81</w:t>
        </w:r>
      </w:hyperlink>
      <w:r w:rsidDel="00000000" w:rsidR="00000000" w:rsidRPr="00000000">
        <w:rPr>
          <w:rtl w:val="0"/>
        </w:rPr>
        <w:t xml:space="preserve">.</w:t>
      </w:r>
    </w:p>
    <w:p w:rsidR="00000000" w:rsidDel="00000000" w:rsidP="00000000" w:rsidRDefault="00000000" w:rsidRPr="00000000" w14:paraId="00000051">
      <w:pPr>
        <w:widowControl w:val="0"/>
        <w:spacing w:after="240" w:lineRule="auto"/>
        <w:rPr/>
      </w:pPr>
      <w:r w:rsidDel="00000000" w:rsidR="00000000" w:rsidRPr="00000000">
        <w:rPr>
          <w:rtl w:val="0"/>
        </w:rPr>
        <w:t xml:space="preserve">Sohaib, O., Kang, K. and Miliszewska, I. (2019). Uncertainty Avoidance and Consumer Cognitive Innovativeness in E-Commerce. </w:t>
      </w:r>
      <w:r w:rsidDel="00000000" w:rsidR="00000000" w:rsidRPr="00000000">
        <w:rPr>
          <w:i w:val="1"/>
          <w:rtl w:val="0"/>
        </w:rPr>
        <w:t xml:space="preserve">Journal of Global Information Management</w:t>
      </w:r>
      <w:r w:rsidDel="00000000" w:rsidR="00000000" w:rsidRPr="00000000">
        <w:rPr>
          <w:rtl w:val="0"/>
        </w:rPr>
        <w:t xml:space="preserve">, 27(2), pp.59–77. doi:</w:t>
      </w:r>
      <w:hyperlink r:id="rId17">
        <w:r w:rsidDel="00000000" w:rsidR="00000000" w:rsidRPr="00000000">
          <w:rPr>
            <w:u w:val="single"/>
            <w:rtl w:val="0"/>
          </w:rPr>
          <w:t xml:space="preserve">https://doi.org/10.4018/jgim.2019040104</w:t>
        </w:r>
      </w:hyperlink>
      <w:r w:rsidDel="00000000" w:rsidR="00000000" w:rsidRPr="00000000">
        <w:rPr>
          <w:rtl w:val="0"/>
        </w:rPr>
        <w:t xml:space="preserve">.</w:t>
      </w:r>
    </w:p>
    <w:p w:rsidR="00000000" w:rsidDel="00000000" w:rsidP="00000000" w:rsidRDefault="00000000" w:rsidRPr="00000000" w14:paraId="00000052">
      <w:pPr>
        <w:widowControl w:val="0"/>
        <w:spacing w:after="240" w:lineRule="auto"/>
        <w:rPr/>
      </w:pPr>
      <w:r w:rsidDel="00000000" w:rsidR="00000000" w:rsidRPr="00000000">
        <w:rPr>
          <w:rtl w:val="0"/>
        </w:rPr>
        <w:t xml:space="preserve">Tang, G., Chen, Y., Knippenberg, D. and Yu, B. (2020). Antecedents and Consequences of Empowering Leadership: Leader Power Distance, Leader Perception of Team Capability, and Team Innovation. </w:t>
      </w:r>
      <w:r w:rsidDel="00000000" w:rsidR="00000000" w:rsidRPr="00000000">
        <w:rPr>
          <w:i w:val="1"/>
          <w:rtl w:val="0"/>
        </w:rPr>
        <w:t xml:space="preserve">Journal of Organisational Behaviour</w:t>
      </w:r>
      <w:r w:rsidDel="00000000" w:rsidR="00000000" w:rsidRPr="00000000">
        <w:rPr>
          <w:rtl w:val="0"/>
        </w:rPr>
        <w:t xml:space="preserve">, 41(6). doi:</w:t>
      </w:r>
      <w:hyperlink r:id="rId18">
        <w:r w:rsidDel="00000000" w:rsidR="00000000" w:rsidRPr="00000000">
          <w:rPr>
            <w:u w:val="single"/>
            <w:rtl w:val="0"/>
          </w:rPr>
          <w:t xml:space="preserve">https://doi.org/10.1002/job.2449</w:t>
        </w:r>
      </w:hyperlink>
      <w:r w:rsidDel="00000000" w:rsidR="00000000" w:rsidRPr="00000000">
        <w:rPr>
          <w:rtl w:val="0"/>
        </w:rPr>
        <w:t xml:space="preserve">.</w:t>
      </w:r>
    </w:p>
    <w:p w:rsidR="00000000" w:rsidDel="00000000" w:rsidP="00000000" w:rsidRDefault="00000000" w:rsidRPr="00000000" w14:paraId="00000053">
      <w:pPr>
        <w:widowControl w:val="0"/>
        <w:spacing w:after="240" w:lineRule="auto"/>
        <w:rPr/>
      </w:pPr>
      <w:r w:rsidDel="00000000" w:rsidR="00000000" w:rsidRPr="00000000">
        <w:rPr>
          <w:rtl w:val="0"/>
        </w:rPr>
        <w:t xml:space="preserve">Zyl, C.J.J. van, Dankaert, E. and Guse, T. (2018). Motivation for Solitude: A Cross-Cultural Examination of Adolescents from Collectivist and Individualist Cultures in South Africa. </w:t>
      </w:r>
      <w:r w:rsidDel="00000000" w:rsidR="00000000" w:rsidRPr="00000000">
        <w:rPr>
          <w:i w:val="1"/>
          <w:rtl w:val="0"/>
        </w:rPr>
        <w:t xml:space="preserve">Journal of Child and Family Studies</w:t>
      </w:r>
      <w:r w:rsidDel="00000000" w:rsidR="00000000" w:rsidRPr="00000000">
        <w:rPr>
          <w:rtl w:val="0"/>
        </w:rPr>
        <w:t xml:space="preserve">, 27(3), pp.697–706. doi:</w:t>
      </w:r>
      <w:hyperlink r:id="rId19">
        <w:r w:rsidDel="00000000" w:rsidR="00000000" w:rsidRPr="00000000">
          <w:rPr>
            <w:u w:val="single"/>
            <w:rtl w:val="0"/>
          </w:rPr>
          <w:t xml:space="preserve">https://doi.org/10.1007/s10826-017-0916-0</w:t>
        </w:r>
      </w:hyperlink>
      <w:r w:rsidDel="00000000" w:rsidR="00000000" w:rsidRPr="00000000">
        <w:rPr>
          <w:rtl w:val="0"/>
        </w:rPr>
        <w:t xml:space="preserve">.</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 </w:t>
      </w:r>
    </w:p>
    <w:sectPr>
      <w:foot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450" w:hanging="360"/>
      </w:pPr>
      <w:rPr>
        <w:rFonts w:ascii="Noto Sans Symbols" w:cs="Noto Sans Symbols" w:eastAsia="Noto Sans Symbols" w:hAnsi="Noto Sans Symbols"/>
      </w:rPr>
    </w:lvl>
    <w:lvl w:ilvl="1">
      <w:start w:val="1"/>
      <w:numFmt w:val="bullet"/>
      <w:lvlText w:val="o"/>
      <w:lvlJc w:val="left"/>
      <w:pPr>
        <w:ind w:left="1170" w:hanging="360"/>
      </w:pPr>
      <w:rPr>
        <w:rFonts w:ascii="Courier New" w:cs="Courier New" w:eastAsia="Courier New" w:hAnsi="Courier New"/>
      </w:rPr>
    </w:lvl>
    <w:lvl w:ilvl="2">
      <w:start w:val="1"/>
      <w:numFmt w:val="bullet"/>
      <w:lvlText w:val="▪"/>
      <w:lvlJc w:val="left"/>
      <w:pPr>
        <w:ind w:left="1890" w:hanging="360"/>
      </w:pPr>
      <w:rPr>
        <w:rFonts w:ascii="Noto Sans Symbols" w:cs="Noto Sans Symbols" w:eastAsia="Noto Sans Symbols" w:hAnsi="Noto Sans Symbols"/>
      </w:rPr>
    </w:lvl>
    <w:lvl w:ilvl="3">
      <w:start w:val="1"/>
      <w:numFmt w:val="bullet"/>
      <w:lvlText w:val="●"/>
      <w:lvlJc w:val="left"/>
      <w:pPr>
        <w:ind w:left="2610" w:hanging="360"/>
      </w:pPr>
      <w:rPr>
        <w:rFonts w:ascii="Noto Sans Symbols" w:cs="Noto Sans Symbols" w:eastAsia="Noto Sans Symbols" w:hAnsi="Noto Sans Symbols"/>
      </w:rPr>
    </w:lvl>
    <w:lvl w:ilvl="4">
      <w:start w:val="1"/>
      <w:numFmt w:val="bullet"/>
      <w:lvlText w:val="o"/>
      <w:lvlJc w:val="left"/>
      <w:pPr>
        <w:ind w:left="3330" w:hanging="360"/>
      </w:pPr>
      <w:rPr>
        <w:rFonts w:ascii="Courier New" w:cs="Courier New" w:eastAsia="Courier New" w:hAnsi="Courier New"/>
      </w:rPr>
    </w:lvl>
    <w:lvl w:ilvl="5">
      <w:start w:val="1"/>
      <w:numFmt w:val="bullet"/>
      <w:lvlText w:val="▪"/>
      <w:lvlJc w:val="left"/>
      <w:pPr>
        <w:ind w:left="4050" w:hanging="360"/>
      </w:pPr>
      <w:rPr>
        <w:rFonts w:ascii="Noto Sans Symbols" w:cs="Noto Sans Symbols" w:eastAsia="Noto Sans Symbols" w:hAnsi="Noto Sans Symbols"/>
      </w:rPr>
    </w:lvl>
    <w:lvl w:ilvl="6">
      <w:start w:val="1"/>
      <w:numFmt w:val="bullet"/>
      <w:lvlText w:val="●"/>
      <w:lvlJc w:val="left"/>
      <w:pPr>
        <w:ind w:left="4770" w:hanging="360"/>
      </w:pPr>
      <w:rPr>
        <w:rFonts w:ascii="Noto Sans Symbols" w:cs="Noto Sans Symbols" w:eastAsia="Noto Sans Symbols" w:hAnsi="Noto Sans Symbols"/>
      </w:rPr>
    </w:lvl>
    <w:lvl w:ilvl="7">
      <w:start w:val="1"/>
      <w:numFmt w:val="bullet"/>
      <w:lvlText w:val="o"/>
      <w:lvlJc w:val="left"/>
      <w:pPr>
        <w:ind w:left="5490" w:hanging="360"/>
      </w:pPr>
      <w:rPr>
        <w:rFonts w:ascii="Courier New" w:cs="Courier New" w:eastAsia="Courier New" w:hAnsi="Courier New"/>
      </w:rPr>
    </w:lvl>
    <w:lvl w:ilvl="8">
      <w:start w:val="1"/>
      <w:numFmt w:val="bullet"/>
      <w:lvlText w:val="▪"/>
      <w:lvlJc w:val="left"/>
      <w:pPr>
        <w:ind w:left="621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325BA9"/>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35"/>
    </w:rPr>
  </w:style>
  <w:style w:type="paragraph" w:styleId="Heading2">
    <w:name w:val="heading 2"/>
    <w:basedOn w:val="Normal"/>
    <w:next w:val="Normal"/>
    <w:pPr>
      <w:keepNext w:val="1"/>
      <w:keepLines w:val="1"/>
      <w:spacing w:after="80" w:before="360"/>
      <w:outlineLvl w:val="1"/>
    </w:pPr>
    <w:rPr>
      <w:b w:val="1"/>
      <w:sz w:val="36"/>
      <w:szCs w:val="36"/>
    </w:rPr>
  </w:style>
  <w:style w:type="paragraph" w:styleId="Heading3">
    <w:name w:val="heading 3"/>
    <w:basedOn w:val="Normal"/>
    <w:next w:val="Normal"/>
    <w:pPr>
      <w:keepNext w:val="1"/>
      <w:keepLines w:val="1"/>
      <w:spacing w:after="80" w:before="280"/>
      <w:outlineLvl w:val="2"/>
    </w:pPr>
    <w:rPr>
      <w:b w:val="1"/>
      <w:sz w:val="28"/>
      <w:szCs w:val="28"/>
    </w:rPr>
  </w:style>
  <w:style w:type="paragraph" w:styleId="Heading4">
    <w:name w:val="heading 4"/>
    <w:basedOn w:val="Normal"/>
    <w:next w:val="Normal"/>
    <w:pPr>
      <w:keepNext w:val="1"/>
      <w:keepLines w:val="1"/>
      <w:spacing w:after="40" w:before="240"/>
      <w:outlineLvl w:val="3"/>
    </w:pPr>
    <w:rPr>
      <w:b w:val="1"/>
    </w:rPr>
  </w:style>
  <w:style w:type="paragraph" w:styleId="Heading5">
    <w:name w:val="heading 5"/>
    <w:basedOn w:val="Normal"/>
    <w:next w:val="Normal"/>
    <w:pPr>
      <w:keepNext w:val="1"/>
      <w:keepLines w:val="1"/>
      <w:spacing w:after="40" w:before="220"/>
      <w:outlineLvl w:val="4"/>
    </w:pPr>
    <w:rPr>
      <w:b w:val="1"/>
      <w:sz w:val="22"/>
      <w:szCs w:val="22"/>
    </w:rPr>
  </w:style>
  <w:style w:type="paragraph" w:styleId="Heading6">
    <w:name w:val="heading 6"/>
    <w:basedOn w:val="Normal"/>
    <w:next w:val="Normal"/>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120" w:before="480"/>
    </w:pPr>
    <w:rPr>
      <w:b w:val="1"/>
      <w:sz w:val="72"/>
      <w:szCs w:val="72"/>
    </w:rPr>
  </w:style>
  <w:style w:type="character" w:styleId="Heading1Char" w:customStyle="1">
    <w:name w:val="Heading 1 Char"/>
    <w:basedOn w:val="DefaultParagraphFont"/>
    <w:link w:val="Heading1"/>
    <w:uiPriority w:val="9"/>
    <w:rsid w:val="00325BA9"/>
    <w:rPr>
      <w:rFonts w:asciiTheme="majorHAnsi" w:cstheme="majorBidi" w:eastAsiaTheme="majorEastAsia" w:hAnsiTheme="majorHAnsi"/>
      <w:b w:val="1"/>
      <w:bCs w:val="1"/>
      <w:color w:val="365f91" w:themeColor="accent1" w:themeShade="0000BF"/>
      <w:sz w:val="28"/>
      <w:szCs w:val="35"/>
    </w:rPr>
  </w:style>
  <w:style w:type="paragraph" w:styleId="BalloonText">
    <w:name w:val="Balloon Text"/>
    <w:basedOn w:val="Normal"/>
    <w:link w:val="BalloonTextChar"/>
    <w:uiPriority w:val="99"/>
    <w:semiHidden w:val="1"/>
    <w:unhideWhenUsed w:val="1"/>
    <w:rsid w:val="00800FFA"/>
    <w:pPr>
      <w:spacing w:after="0" w:line="240" w:lineRule="auto"/>
    </w:pPr>
    <w:rPr>
      <w:rFonts w:ascii="Tahoma" w:cs="Tahoma" w:hAnsi="Tahoma"/>
      <w:sz w:val="16"/>
    </w:rPr>
  </w:style>
  <w:style w:type="character" w:styleId="BalloonTextChar" w:customStyle="1">
    <w:name w:val="Balloon Text Char"/>
    <w:basedOn w:val="DefaultParagraphFont"/>
    <w:link w:val="BalloonText"/>
    <w:uiPriority w:val="99"/>
    <w:semiHidden w:val="1"/>
    <w:rsid w:val="00800FFA"/>
    <w:rPr>
      <w:rFonts w:ascii="Tahoma" w:cs="Tahoma" w:hAnsi="Tahoma"/>
      <w:sz w:val="16"/>
    </w:rPr>
  </w:style>
  <w:style w:type="table" w:styleId="TableGrid">
    <w:name w:val="Table Grid"/>
    <w:basedOn w:val="TableNormal"/>
    <w:uiPriority w:val="59"/>
    <w:rsid w:val="00171021"/>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171021"/>
    <w:pPr>
      <w:ind w:left="720"/>
      <w:contextualSpacing w:val="1"/>
    </w:pPr>
  </w:style>
  <w:style w:type="paragraph" w:styleId="Header">
    <w:name w:val="header"/>
    <w:basedOn w:val="Normal"/>
    <w:link w:val="HeaderChar"/>
    <w:uiPriority w:val="99"/>
    <w:unhideWhenUsed w:val="1"/>
    <w:rsid w:val="00974873"/>
    <w:pPr>
      <w:tabs>
        <w:tab w:val="center" w:pos="4680"/>
        <w:tab w:val="right" w:pos="9360"/>
      </w:tabs>
      <w:spacing w:after="0" w:line="240" w:lineRule="auto"/>
    </w:pPr>
  </w:style>
  <w:style w:type="character" w:styleId="HeaderChar" w:customStyle="1">
    <w:name w:val="Header Char"/>
    <w:basedOn w:val="DefaultParagraphFont"/>
    <w:link w:val="Header"/>
    <w:uiPriority w:val="99"/>
    <w:rsid w:val="00974873"/>
  </w:style>
  <w:style w:type="paragraph" w:styleId="Footer">
    <w:name w:val="footer"/>
    <w:basedOn w:val="Normal"/>
    <w:link w:val="FooterChar"/>
    <w:uiPriority w:val="99"/>
    <w:unhideWhenUsed w:val="1"/>
    <w:rsid w:val="00974873"/>
    <w:pPr>
      <w:tabs>
        <w:tab w:val="center" w:pos="4680"/>
        <w:tab w:val="right" w:pos="9360"/>
      </w:tabs>
      <w:spacing w:after="0" w:line="240" w:lineRule="auto"/>
    </w:pPr>
  </w:style>
  <w:style w:type="character" w:styleId="FooterChar" w:customStyle="1">
    <w:name w:val="Footer Char"/>
    <w:basedOn w:val="DefaultParagraphFont"/>
    <w:link w:val="Footer"/>
    <w:uiPriority w:val="99"/>
    <w:rsid w:val="00974873"/>
  </w:style>
  <w:style w:type="character" w:styleId="Hyperlink">
    <w:name w:val="Hyperlink"/>
    <w:basedOn w:val="DefaultParagraphFont"/>
    <w:uiPriority w:val="99"/>
    <w:unhideWhenUsed w:val="1"/>
    <w:rsid w:val="002C6927"/>
    <w:rPr>
      <w:color w:val="0000ff" w:themeColor="hyperlink"/>
      <w:u w:val="single"/>
    </w:rPr>
  </w:style>
  <w:style w:type="paragraph" w:styleId="Subtitle">
    <w:name w:val="Subtitle"/>
    <w:basedOn w:val="Normal"/>
    <w:next w:val="Normal"/>
    <w:pPr>
      <w:keepNext w:val="1"/>
      <w:keepLines w:val="1"/>
      <w:spacing w:after="80" w:before="360"/>
    </w:pPr>
    <w:rPr>
      <w:rFonts w:ascii="Georgia" w:cs="Georgia" w:eastAsia="Georgia" w:hAnsi="Georgia"/>
      <w:i w:val="1"/>
      <w:color w:val="666666"/>
      <w:sz w:val="48"/>
      <w:szCs w:val="48"/>
    </w:rPr>
  </w:style>
  <w:style w:type="table" w:styleId="a" w:customStyle="1">
    <w:basedOn w:val="TableNormal"/>
    <w:pPr>
      <w:spacing w:after="0" w:line="240" w:lineRule="auto"/>
    </w:pPr>
    <w:tblPr>
      <w:tblStyleRowBandSize w:val="1"/>
      <w:tblStyleColBandSize w:val="1"/>
    </w:tblPr>
  </w:style>
  <w:style w:type="paragraph" w:styleId="TOCHeading">
    <w:name w:val="TOC Heading"/>
    <w:basedOn w:val="Heading1"/>
    <w:next w:val="Normal"/>
    <w:uiPriority w:val="39"/>
    <w:semiHidden w:val="1"/>
    <w:unhideWhenUsed w:val="1"/>
    <w:qFormat w:val="1"/>
    <w:rsid w:val="00DB619B"/>
    <w:pPr>
      <w:spacing w:line="276" w:lineRule="auto"/>
      <w:jc w:val="left"/>
      <w:outlineLvl w:val="9"/>
    </w:pPr>
    <w:rPr>
      <w:szCs w:val="28"/>
      <w:lang w:bidi="ar-SA" w:eastAsia="ja-JP"/>
    </w:rPr>
  </w:style>
  <w:style w:type="paragraph" w:styleId="TOC1">
    <w:name w:val="toc 1"/>
    <w:basedOn w:val="Normal"/>
    <w:next w:val="Normal"/>
    <w:autoRedefine w:val="1"/>
    <w:uiPriority w:val="39"/>
    <w:unhideWhenUsed w:val="1"/>
    <w:rsid w:val="00DB619B"/>
    <w:pPr>
      <w:spacing w:after="100"/>
    </w:pPr>
    <w:rPr>
      <w:szCs w:val="30"/>
    </w:rPr>
  </w:style>
  <w:style w:type="paragraph" w:styleId="Caption">
    <w:name w:val="caption"/>
    <w:basedOn w:val="Normal"/>
    <w:next w:val="Normal"/>
    <w:uiPriority w:val="35"/>
    <w:unhideWhenUsed w:val="1"/>
    <w:qFormat w:val="1"/>
    <w:rsid w:val="00F1669A"/>
    <w:pPr>
      <w:spacing w:line="240" w:lineRule="auto"/>
    </w:pPr>
    <w:rPr>
      <w:i w:val="1"/>
      <w:iCs w:val="1"/>
      <w:color w:val="1f497d" w:themeColor="text2"/>
      <w:sz w:val="18"/>
      <w:szCs w:val="2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doi.org/10.1111/etap.12140" TargetMode="External"/><Relationship Id="rId10" Type="http://schemas.openxmlformats.org/officeDocument/2006/relationships/hyperlink" Target="https://doi.org/10.4038/sljmuok.v7i1.57" TargetMode="External"/><Relationship Id="rId13" Type="http://schemas.openxmlformats.org/officeDocument/2006/relationships/hyperlink" Target="https://www.hofstede-insights.com/country-comparison/the-united-arab-emirates" TargetMode="External"/><Relationship Id="rId12" Type="http://schemas.openxmlformats.org/officeDocument/2006/relationships/hyperlink" Target="https://doi.org/10.1108/apjml-09-2016-018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29117/sbe.2018.0043" TargetMode="External"/><Relationship Id="rId15" Type="http://schemas.openxmlformats.org/officeDocument/2006/relationships/hyperlink" Target="https://doi.org/10.1177/109634800102500302" TargetMode="External"/><Relationship Id="rId14" Type="http://schemas.openxmlformats.org/officeDocument/2006/relationships/hyperlink" Target="https://www.booking.com/hotel/gb/the-merlin-blackpool.en-gb.html" TargetMode="External"/><Relationship Id="rId17" Type="http://schemas.openxmlformats.org/officeDocument/2006/relationships/hyperlink" Target="https://doi.org/10.4018/jgim.2019040104" TargetMode="External"/><Relationship Id="rId16" Type="http://schemas.openxmlformats.org/officeDocument/2006/relationships/hyperlink" Target="https://doi.org/10.1287/mnsc.35.1.81" TargetMode="External"/><Relationship Id="rId5" Type="http://schemas.openxmlformats.org/officeDocument/2006/relationships/styles" Target="styles.xml"/><Relationship Id="rId19" Type="http://schemas.openxmlformats.org/officeDocument/2006/relationships/hyperlink" Target="https://doi.org/10.1007/s10826-017-0916-0" TargetMode="External"/><Relationship Id="rId6" Type="http://schemas.openxmlformats.org/officeDocument/2006/relationships/customXml" Target="../customXML/item1.xml"/><Relationship Id="rId18" Type="http://schemas.openxmlformats.org/officeDocument/2006/relationships/hyperlink" Target="https://doi.org/10.1002/job.2449" TargetMode="External"/><Relationship Id="rId7" Type="http://schemas.openxmlformats.org/officeDocument/2006/relationships/image" Target="media/image1.png"/><Relationship Id="rId8" Type="http://schemas.openxmlformats.org/officeDocument/2006/relationships/hyperlink" Target="https://doi.org/10.1080/09512748.2017.131816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4njBx+MhBHb4QsnQPvux3w5oelw==">AMUW2mWQYGCGoE3yUtX/z5QJTCK/8eHiOBufyyRVyecVa5qQ2XfxdmJbmSzeP2m4gZKAfzHDyhZWFU0wA3aznyYTcKthu6aYlcO7wQ0w3CIpVNbo+vM1N3lJlI361/U5l8d0/i9gQbqdC7Vvaa9oMBFTZEM955z/1M3ZPcwo+iErIQ353UQAI/j4e/spaGkoBSIS/0KTUzgjACqdUPTyCZwyE+XJQJnsDHGy77GIG98bMBYUQg+m92U=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2023-03-09T21:52:00Z</dcterms:created>
  <dc:creator>Mohammad Arifur Rahman Khan (2022401)</dc:creator>
</cp:coreProperties>
</file>