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sz w:val="46"/>
          <w:szCs w:val="46"/>
        </w:rPr>
      </w:pPr>
      <w:bookmarkStart w:colFirst="0" w:colLast="0" w:name="_ohyhjt9g3xo2" w:id="0"/>
      <w:bookmarkEnd w:id="0"/>
      <w:r w:rsidDel="00000000" w:rsidR="00000000" w:rsidRPr="00000000">
        <w:rPr>
          <w:sz w:val="46"/>
          <w:szCs w:val="46"/>
          <w:rtl w:val="0"/>
        </w:rPr>
        <w:t xml:space="preserve">FOWLER-HPCA7014-Assignment 2</w:t>
      </w:r>
    </w:p>
    <w:p w:rsidR="00000000" w:rsidDel="00000000" w:rsidP="00000000" w:rsidRDefault="00000000" w:rsidRPr="00000000" w14:paraId="00000002">
      <w:pPr>
        <w:jc w:val="center"/>
        <w:rPr>
          <w:b w:val="1"/>
          <w:sz w:val="21"/>
          <w:szCs w:val="21"/>
        </w:rPr>
      </w:pPr>
      <w:r w:rsidDel="00000000" w:rsidR="00000000" w:rsidRPr="00000000">
        <w:rPr>
          <w:b w:val="1"/>
          <w:sz w:val="21"/>
          <w:szCs w:val="21"/>
          <w:rtl w:val="0"/>
        </w:rPr>
        <w:t xml:space="preserve">Postgraduate/Distance Learning </w:t>
      </w:r>
    </w:p>
    <w:p w:rsidR="00000000" w:rsidDel="00000000" w:rsidP="00000000" w:rsidRDefault="00000000" w:rsidRPr="00000000" w14:paraId="00000003">
      <w:pPr>
        <w:jc w:val="center"/>
        <w:rPr>
          <w:b w:val="1"/>
          <w:sz w:val="21"/>
          <w:szCs w:val="21"/>
        </w:rPr>
      </w:pPr>
      <w:r w:rsidDel="00000000" w:rsidR="00000000" w:rsidRPr="00000000">
        <w:rPr>
          <w:b w:val="1"/>
          <w:sz w:val="21"/>
          <w:szCs w:val="21"/>
          <w:rtl w:val="0"/>
        </w:rPr>
        <w:t xml:space="preserve">Assignment coversheet &amp; feedback form</w:t>
      </w:r>
    </w:p>
    <w:p w:rsidR="00000000" w:rsidDel="00000000" w:rsidP="00000000" w:rsidRDefault="00000000" w:rsidRPr="00000000" w14:paraId="00000004">
      <w:pPr>
        <w:ind w:left="540" w:firstLine="0"/>
        <w:jc w:val="center"/>
        <w:rPr>
          <w:b w:val="1"/>
          <w:sz w:val="15"/>
          <w:szCs w:val="15"/>
        </w:rPr>
      </w:pPr>
      <w:r w:rsidDel="00000000" w:rsidR="00000000" w:rsidRPr="00000000">
        <w:rPr>
          <w:b w:val="1"/>
          <w:sz w:val="15"/>
          <w:szCs w:val="15"/>
          <w:rtl w:val="0"/>
        </w:rPr>
        <w:t xml:space="preserve">THIS SHEET MUST BE THE FIRST PAGE OF THE ASSIGNMENT YOU ARE SUBMITTING  (DO NOT SEND AS A SEPARATE FILE)</w:t>
      </w:r>
    </w:p>
    <w:p w:rsidR="00000000" w:rsidDel="00000000" w:rsidP="00000000" w:rsidRDefault="00000000" w:rsidRPr="00000000" w14:paraId="00000005">
      <w:pPr>
        <w:rPr>
          <w:sz w:val="17"/>
          <w:szCs w:val="17"/>
        </w:rPr>
      </w:pPr>
      <w:r w:rsidDel="00000000" w:rsidR="00000000" w:rsidRPr="00000000">
        <w:rPr>
          <w:b w:val="1"/>
          <w:sz w:val="17"/>
          <w:szCs w:val="17"/>
          <w:rtl w:val="0"/>
        </w:rPr>
        <w:t xml:space="preserve">For completion by the student</w:t>
      </w:r>
      <w:r w:rsidDel="00000000" w:rsidR="00000000" w:rsidRPr="00000000">
        <w:rPr>
          <w:sz w:val="17"/>
          <w:szCs w:val="17"/>
          <w:rtl w:val="0"/>
        </w:rPr>
        <w:t xml:space="preserve">:</w:t>
      </w:r>
    </w:p>
    <w:p w:rsidR="00000000" w:rsidDel="00000000" w:rsidP="00000000" w:rsidRDefault="00000000" w:rsidRPr="00000000" w14:paraId="00000006">
      <w:pPr>
        <w:rPr>
          <w:sz w:val="17"/>
          <w:szCs w:val="17"/>
        </w:rPr>
      </w:pPr>
      <w:r w:rsidDel="00000000" w:rsidR="00000000" w:rsidRPr="00000000">
        <w:rPr>
          <w:sz w:val="17"/>
          <w:szCs w:val="17"/>
          <w:rtl w:val="0"/>
        </w:rPr>
        <w:t xml:space="preserve">Student Name: CLARISSA JANE FOWLER</w:t>
      </w:r>
    </w:p>
    <w:p w:rsidR="00000000" w:rsidDel="00000000" w:rsidP="00000000" w:rsidRDefault="00000000" w:rsidRPr="00000000" w14:paraId="00000007">
      <w:pPr>
        <w:rPr>
          <w:sz w:val="17"/>
          <w:szCs w:val="17"/>
        </w:rPr>
      </w:pPr>
      <w:r w:rsidDel="00000000" w:rsidR="00000000" w:rsidRPr="00000000">
        <w:rPr>
          <w:sz w:val="17"/>
          <w:szCs w:val="17"/>
          <w:rtl w:val="0"/>
        </w:rPr>
        <w:t xml:space="preserve">Student </w:t>
      </w:r>
      <w:r w:rsidDel="00000000" w:rsidR="00000000" w:rsidRPr="00000000">
        <w:rPr>
          <w:b w:val="1"/>
          <w:sz w:val="17"/>
          <w:szCs w:val="17"/>
          <w:u w:val="single"/>
          <w:rtl w:val="0"/>
        </w:rPr>
        <w:t xml:space="preserve">University</w:t>
      </w:r>
      <w:r w:rsidDel="00000000" w:rsidR="00000000" w:rsidRPr="00000000">
        <w:rPr>
          <w:sz w:val="17"/>
          <w:szCs w:val="17"/>
          <w:u w:val="single"/>
          <w:rtl w:val="0"/>
        </w:rPr>
        <w:t xml:space="preserve"> </w:t>
      </w:r>
      <w:r w:rsidDel="00000000" w:rsidR="00000000" w:rsidRPr="00000000">
        <w:rPr>
          <w:sz w:val="17"/>
          <w:szCs w:val="17"/>
          <w:rtl w:val="0"/>
        </w:rPr>
        <w:t xml:space="preserve">Email: 2310967@student.uwtsd.ac.uk</w:t>
      </w:r>
    </w:p>
    <w:p w:rsidR="00000000" w:rsidDel="00000000" w:rsidP="00000000" w:rsidRDefault="00000000" w:rsidRPr="00000000" w14:paraId="00000008">
      <w:pPr>
        <w:rPr>
          <w:sz w:val="17"/>
          <w:szCs w:val="17"/>
        </w:rPr>
      </w:pPr>
      <w:r w:rsidDel="00000000" w:rsidR="00000000" w:rsidRPr="00000000">
        <w:rPr>
          <w:sz w:val="17"/>
          <w:szCs w:val="17"/>
          <w:rtl w:val="0"/>
        </w:rPr>
        <w:t xml:space="preserve">Module code:HPCA7014</w:t>
      </w:r>
    </w:p>
    <w:p w:rsidR="00000000" w:rsidDel="00000000" w:rsidP="00000000" w:rsidRDefault="00000000" w:rsidRPr="00000000" w14:paraId="00000009">
      <w:pPr>
        <w:rPr>
          <w:sz w:val="17"/>
          <w:szCs w:val="17"/>
        </w:rPr>
      </w:pPr>
      <w:r w:rsidDel="00000000" w:rsidR="00000000" w:rsidRPr="00000000">
        <w:rPr>
          <w:sz w:val="17"/>
          <w:szCs w:val="17"/>
          <w:rtl w:val="0"/>
        </w:rPr>
        <w:t xml:space="preserve">Module title: SACRED GEOGRAPHY</w:t>
      </w:r>
    </w:p>
    <w:p w:rsidR="00000000" w:rsidDel="00000000" w:rsidP="00000000" w:rsidRDefault="00000000" w:rsidRPr="00000000" w14:paraId="0000000A">
      <w:pPr>
        <w:rPr>
          <w:sz w:val="17"/>
          <w:szCs w:val="17"/>
        </w:rPr>
      </w:pPr>
      <w:r w:rsidDel="00000000" w:rsidR="00000000" w:rsidRPr="00000000">
        <w:rPr>
          <w:sz w:val="17"/>
          <w:szCs w:val="17"/>
          <w:rtl w:val="0"/>
        </w:rPr>
        <w:t xml:space="preserve">Student ID number: 2310967</w:t>
      </w:r>
    </w:p>
    <w:p w:rsidR="00000000" w:rsidDel="00000000" w:rsidP="00000000" w:rsidRDefault="00000000" w:rsidRPr="00000000" w14:paraId="0000000B">
      <w:pPr>
        <w:rPr>
          <w:sz w:val="17"/>
          <w:szCs w:val="17"/>
        </w:rPr>
      </w:pPr>
      <w:r w:rsidDel="00000000" w:rsidR="00000000" w:rsidRPr="00000000">
        <w:rPr>
          <w:sz w:val="17"/>
          <w:szCs w:val="17"/>
          <w:rtl w:val="0"/>
        </w:rPr>
        <w:t xml:space="preserve">Educational support needs:</w:t>
      </w:r>
    </w:p>
    <w:p w:rsidR="00000000" w:rsidDel="00000000" w:rsidP="00000000" w:rsidRDefault="00000000" w:rsidRPr="00000000" w14:paraId="0000000C">
      <w:pPr>
        <w:rPr>
          <w:sz w:val="17"/>
          <w:szCs w:val="17"/>
        </w:rPr>
      </w:pPr>
      <w:r w:rsidDel="00000000" w:rsidR="00000000" w:rsidRPr="00000000">
        <w:rPr>
          <w:sz w:val="17"/>
          <w:szCs w:val="17"/>
          <w:highlight w:val="yellow"/>
          <w:rtl w:val="0"/>
        </w:rPr>
        <w:t xml:space="preserve">Yes</w:t>
      </w:r>
      <w:r w:rsidDel="00000000" w:rsidR="00000000" w:rsidRPr="00000000">
        <w:rPr>
          <w:sz w:val="17"/>
          <w:szCs w:val="17"/>
          <w:rtl w:val="0"/>
        </w:rPr>
        <w:t xml:space="preserve">/No</w:t>
      </w:r>
    </w:p>
    <w:p w:rsidR="00000000" w:rsidDel="00000000" w:rsidP="00000000" w:rsidRDefault="00000000" w:rsidRPr="00000000" w14:paraId="0000000D">
      <w:pPr>
        <w:rPr>
          <w:sz w:val="17"/>
          <w:szCs w:val="17"/>
        </w:rPr>
      </w:pPr>
      <w:r w:rsidDel="00000000" w:rsidR="00000000" w:rsidRPr="00000000">
        <w:rPr>
          <w:sz w:val="17"/>
          <w:szCs w:val="17"/>
          <w:rtl w:val="0"/>
        </w:rPr>
        <w:t xml:space="preserve">Assignment title: Essay based on a supervised research project </w:t>
      </w:r>
    </w:p>
    <w:p w:rsidR="00000000" w:rsidDel="00000000" w:rsidP="00000000" w:rsidRDefault="00000000" w:rsidRPr="00000000" w14:paraId="0000000E">
      <w:pPr>
        <w:rPr>
          <w:sz w:val="17"/>
          <w:szCs w:val="17"/>
        </w:rPr>
      </w:pPr>
      <w:r w:rsidDel="00000000" w:rsidR="00000000" w:rsidRPr="00000000">
        <w:rPr>
          <w:sz w:val="17"/>
          <w:szCs w:val="17"/>
          <w:rtl w:val="0"/>
        </w:rPr>
        <w:t xml:space="preserve">Assignment due date: 21/11/2024</w:t>
      </w:r>
    </w:p>
    <w:p w:rsidR="00000000" w:rsidDel="00000000" w:rsidP="00000000" w:rsidRDefault="00000000" w:rsidRPr="00000000" w14:paraId="0000000F">
      <w:pPr>
        <w:rPr>
          <w:sz w:val="17"/>
          <w:szCs w:val="17"/>
        </w:rPr>
      </w:pPr>
      <w:r w:rsidDel="00000000" w:rsidR="00000000" w:rsidRPr="00000000">
        <w:rPr>
          <w:sz w:val="17"/>
          <w:szCs w:val="17"/>
          <w:rtl w:val="0"/>
        </w:rPr>
        <w:t xml:space="preserve">This assignment is for the       1</w:t>
      </w:r>
      <w:r w:rsidDel="00000000" w:rsidR="00000000" w:rsidRPr="00000000">
        <w:rPr>
          <w:sz w:val="17"/>
          <w:szCs w:val="17"/>
          <w:vertAlign w:val="superscript"/>
          <w:rtl w:val="0"/>
        </w:rPr>
        <w:t xml:space="preserve">st </w:t>
      </w:r>
      <w:r w:rsidDel="00000000" w:rsidR="00000000" w:rsidRPr="00000000">
        <w:rPr>
          <w:sz w:val="17"/>
          <w:szCs w:val="17"/>
          <w:rtl w:val="0"/>
        </w:rPr>
        <w:t xml:space="preserve"> FORMCHECKBOX     2</w:t>
      </w:r>
      <w:r w:rsidDel="00000000" w:rsidR="00000000" w:rsidRPr="00000000">
        <w:rPr>
          <w:sz w:val="17"/>
          <w:szCs w:val="17"/>
          <w:vertAlign w:val="superscript"/>
          <w:rtl w:val="0"/>
        </w:rPr>
        <w:t xml:space="preserve">nd</w:t>
      </w:r>
      <w:r w:rsidDel="00000000" w:rsidR="00000000" w:rsidRPr="00000000">
        <w:rPr>
          <w:sz w:val="17"/>
          <w:szCs w:val="17"/>
          <w:rtl w:val="0"/>
        </w:rPr>
        <w:t xml:space="preserve">   FORMCHECKBOX     </w:t>
      </w:r>
      <w:r w:rsidDel="00000000" w:rsidR="00000000" w:rsidRPr="00000000">
        <w:rPr>
          <w:sz w:val="17"/>
          <w:szCs w:val="17"/>
          <w:highlight w:val="yellow"/>
          <w:rtl w:val="0"/>
        </w:rPr>
        <w:t xml:space="preserve"> 3</w:t>
      </w:r>
      <w:r w:rsidDel="00000000" w:rsidR="00000000" w:rsidRPr="00000000">
        <w:rPr>
          <w:sz w:val="17"/>
          <w:szCs w:val="17"/>
          <w:highlight w:val="yellow"/>
          <w:vertAlign w:val="superscript"/>
          <w:rtl w:val="0"/>
        </w:rPr>
        <w:t xml:space="preserve">rd</w:t>
      </w:r>
      <w:r w:rsidDel="00000000" w:rsidR="00000000" w:rsidRPr="00000000">
        <w:rPr>
          <w:sz w:val="17"/>
          <w:szCs w:val="17"/>
          <w:highlight w:val="yellow"/>
          <w:rtl w:val="0"/>
        </w:rPr>
        <w:t xml:space="preserve"> </w:t>
      </w:r>
      <w:r w:rsidDel="00000000" w:rsidR="00000000" w:rsidRPr="00000000">
        <w:rPr>
          <w:sz w:val="17"/>
          <w:szCs w:val="17"/>
          <w:rtl w:val="0"/>
        </w:rPr>
        <w:t xml:space="preserve">  FORMCHECKBOX       4</w:t>
      </w:r>
      <w:r w:rsidDel="00000000" w:rsidR="00000000" w:rsidRPr="00000000">
        <w:rPr>
          <w:sz w:val="17"/>
          <w:szCs w:val="17"/>
          <w:vertAlign w:val="superscript"/>
          <w:rtl w:val="0"/>
        </w:rPr>
        <w:t xml:space="preserve">th</w:t>
      </w:r>
      <w:r w:rsidDel="00000000" w:rsidR="00000000" w:rsidRPr="00000000">
        <w:rPr>
          <w:sz w:val="17"/>
          <w:szCs w:val="17"/>
          <w:rtl w:val="0"/>
        </w:rPr>
        <w:t xml:space="preserve">  FORMCHECKBOX       5</w:t>
      </w:r>
      <w:r w:rsidDel="00000000" w:rsidR="00000000" w:rsidRPr="00000000">
        <w:rPr>
          <w:sz w:val="17"/>
          <w:szCs w:val="17"/>
          <w:vertAlign w:val="superscript"/>
          <w:rtl w:val="0"/>
        </w:rPr>
        <w:t xml:space="preserve">th</w:t>
      </w:r>
      <w:r w:rsidDel="00000000" w:rsidR="00000000" w:rsidRPr="00000000">
        <w:rPr>
          <w:sz w:val="17"/>
          <w:szCs w:val="17"/>
          <w:rtl w:val="0"/>
        </w:rPr>
        <w:t xml:space="preserve">  FORMCHECKBOX       6</w:t>
      </w:r>
      <w:r w:rsidDel="00000000" w:rsidR="00000000" w:rsidRPr="00000000">
        <w:rPr>
          <w:sz w:val="17"/>
          <w:szCs w:val="17"/>
          <w:vertAlign w:val="superscript"/>
          <w:rtl w:val="0"/>
        </w:rPr>
        <w:t xml:space="preserve">th</w:t>
      </w:r>
      <w:r w:rsidDel="00000000" w:rsidR="00000000" w:rsidRPr="00000000">
        <w:rPr>
          <w:sz w:val="17"/>
          <w:szCs w:val="17"/>
          <w:rtl w:val="0"/>
        </w:rPr>
        <w:t xml:space="preserve">  FORMCHECKBOX </w:t>
      </w:r>
      <w:r w:rsidDel="00000000" w:rsidR="00000000" w:rsidRPr="00000000">
        <w:rPr>
          <w:b w:val="1"/>
          <w:sz w:val="17"/>
          <w:szCs w:val="17"/>
          <w:rtl w:val="0"/>
        </w:rPr>
        <w:t xml:space="preserve">   </w:t>
      </w:r>
      <w:r w:rsidDel="00000000" w:rsidR="00000000" w:rsidRPr="00000000">
        <w:rPr>
          <w:sz w:val="17"/>
          <w:szCs w:val="17"/>
          <w:rtl w:val="0"/>
        </w:rPr>
        <w:t xml:space="preserve">module of the degree</w:t>
      </w:r>
    </w:p>
    <w:p w:rsidR="00000000" w:rsidDel="00000000" w:rsidP="00000000" w:rsidRDefault="00000000" w:rsidRPr="00000000" w14:paraId="00000010">
      <w:pPr>
        <w:rPr>
          <w:sz w:val="17"/>
          <w:szCs w:val="17"/>
        </w:rPr>
      </w:pPr>
      <w:r w:rsidDel="00000000" w:rsidR="00000000" w:rsidRPr="00000000">
        <w:rPr>
          <w:sz w:val="17"/>
          <w:szCs w:val="17"/>
          <w:rtl w:val="0"/>
        </w:rPr>
        <w:t xml:space="preserve">I confirm that this is my original work and that I have adhered to the University policy on plagiarism.</w:t>
      </w:r>
    </w:p>
    <w:p w:rsidR="00000000" w:rsidDel="00000000" w:rsidP="00000000" w:rsidRDefault="00000000" w:rsidRPr="00000000" w14:paraId="00000011">
      <w:pPr>
        <w:rPr>
          <w:sz w:val="17"/>
          <w:szCs w:val="17"/>
        </w:rPr>
      </w:pPr>
      <w:r w:rsidDel="00000000" w:rsidR="00000000" w:rsidRPr="00000000">
        <w:rPr>
          <w:sz w:val="17"/>
          <w:szCs w:val="17"/>
          <w:rtl w:val="0"/>
        </w:rPr>
        <w:t xml:space="preserve">Signed ………CLARISSA JANE FOWLER </w:t>
      </w:r>
      <w:r w:rsidDel="00000000" w:rsidR="00000000" w:rsidRPr="00000000">
        <w:rPr>
          <w:sz w:val="17"/>
          <w:szCs w:val="17"/>
        </w:rPr>
        <w:drawing>
          <wp:inline distB="114300" distT="114300" distL="114300" distR="114300">
            <wp:extent cx="1229733" cy="506361"/>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229733" cy="506361"/>
                    </a:xfrm>
                    <a:prstGeom prst="rect"/>
                    <a:ln/>
                  </pic:spPr>
                </pic:pic>
              </a:graphicData>
            </a:graphic>
          </wp:inline>
        </w:drawing>
      </w:r>
      <w:r w:rsidDel="00000000" w:rsidR="00000000" w:rsidRPr="00000000">
        <w:rPr>
          <w:sz w:val="17"/>
          <w:szCs w:val="17"/>
          <w:rtl w:val="0"/>
        </w:rPr>
        <w:t xml:space="preserve">……………………………………………………</w:t>
      </w:r>
    </w:p>
    <w:p w:rsidR="00000000" w:rsidDel="00000000" w:rsidP="00000000" w:rsidRDefault="00000000" w:rsidRPr="00000000" w14:paraId="00000012">
      <w:pPr>
        <w:rPr>
          <w:rFonts w:ascii="Times New Roman" w:cs="Times New Roman" w:eastAsia="Times New Roman" w:hAnsi="Times New Roman"/>
          <w:b w:val="1"/>
          <w:sz w:val="33"/>
          <w:szCs w:val="33"/>
        </w:rPr>
      </w:pPr>
      <w:r w:rsidDel="00000000" w:rsidR="00000000" w:rsidRPr="00000000">
        <w:rPr>
          <w:b w:val="1"/>
          <w:sz w:val="18"/>
          <w:szCs w:val="18"/>
          <w:rtl w:val="0"/>
        </w:rPr>
        <w:t xml:space="preserve">Email submission:if you are submitting this form via email, please tick this box </w:t>
      </w:r>
      <w:r w:rsidDel="00000000" w:rsidR="00000000" w:rsidRPr="00000000">
        <w:rPr>
          <w:rFonts w:ascii="Times New Roman" w:cs="Times New Roman" w:eastAsia="Times New Roman" w:hAnsi="Times New Roman"/>
          <w:b w:val="1"/>
          <w:sz w:val="33"/>
          <w:szCs w:val="33"/>
          <w:rtl w:val="0"/>
        </w:rPr>
        <w:t xml:space="preserve">□</w:t>
      </w:r>
    </w:p>
    <w:p w:rsidR="00000000" w:rsidDel="00000000" w:rsidP="00000000" w:rsidRDefault="00000000" w:rsidRPr="00000000" w14:paraId="00000013">
      <w:pPr>
        <w:rPr>
          <w:b w:val="1"/>
          <w:sz w:val="18"/>
          <w:szCs w:val="18"/>
        </w:rPr>
      </w:pPr>
      <w:r w:rsidDel="00000000" w:rsidR="00000000" w:rsidRPr="00000000">
        <w:rPr>
          <w:b w:val="1"/>
          <w:sz w:val="18"/>
          <w:szCs w:val="18"/>
          <w:rtl w:val="0"/>
        </w:rPr>
        <w:t xml:space="preserve">(as a substitute for your signature) to confirm that you agree to the above declaration.</w:t>
      </w:r>
    </w:p>
    <w:p w:rsidR="00000000" w:rsidDel="00000000" w:rsidP="00000000" w:rsidRDefault="00000000" w:rsidRPr="00000000" w14:paraId="00000014">
      <w:pPr>
        <w:rPr>
          <w:b w:val="1"/>
          <w:sz w:val="18"/>
          <w:szCs w:val="18"/>
        </w:rPr>
      </w:pPr>
      <w:r w:rsidDel="00000000" w:rsidR="00000000" w:rsidRPr="00000000">
        <w:rPr>
          <w:b w:val="1"/>
          <w:sz w:val="18"/>
          <w:szCs w:val="18"/>
          <w:rtl w:val="0"/>
        </w:rPr>
        <w:t xml:space="preserve">Assignment Mark</w:t>
      </w:r>
    </w:p>
    <w:p w:rsidR="00000000" w:rsidDel="00000000" w:rsidP="00000000" w:rsidRDefault="00000000" w:rsidRPr="00000000" w14:paraId="00000015">
      <w:pPr>
        <w:rPr>
          <w:sz w:val="15"/>
          <w:szCs w:val="15"/>
        </w:rPr>
      </w:pPr>
      <w:r w:rsidDel="00000000" w:rsidR="00000000" w:rsidRPr="00000000">
        <w:rPr>
          <w:sz w:val="15"/>
          <w:szCs w:val="15"/>
          <w:rtl w:val="0"/>
        </w:rPr>
        <w:t xml:space="preserve">1</w:t>
      </w:r>
      <w:r w:rsidDel="00000000" w:rsidR="00000000" w:rsidRPr="00000000">
        <w:rPr>
          <w:sz w:val="15"/>
          <w:szCs w:val="15"/>
          <w:vertAlign w:val="superscript"/>
          <w:rtl w:val="0"/>
        </w:rPr>
        <w:t xml:space="preserve">st</w:t>
      </w:r>
      <w:r w:rsidDel="00000000" w:rsidR="00000000" w:rsidRPr="00000000">
        <w:rPr>
          <w:sz w:val="15"/>
          <w:szCs w:val="15"/>
          <w:rtl w:val="0"/>
        </w:rPr>
        <w:t xml:space="preserve"> Marker’s Provisional mark</w:t>
      </w:r>
    </w:p>
    <w:p w:rsidR="00000000" w:rsidDel="00000000" w:rsidP="00000000" w:rsidRDefault="00000000" w:rsidRPr="00000000" w14:paraId="00000016">
      <w:pPr>
        <w:rPr>
          <w:sz w:val="15"/>
          <w:szCs w:val="15"/>
        </w:rPr>
      </w:pPr>
      <w:r w:rsidDel="00000000" w:rsidR="00000000" w:rsidRPr="00000000">
        <w:rPr>
          <w:sz w:val="15"/>
          <w:szCs w:val="15"/>
          <w:rtl w:val="0"/>
        </w:rPr>
        <w:t xml:space="preserve">2</w:t>
      </w:r>
      <w:r w:rsidDel="00000000" w:rsidR="00000000" w:rsidRPr="00000000">
        <w:rPr>
          <w:sz w:val="15"/>
          <w:szCs w:val="15"/>
          <w:vertAlign w:val="superscript"/>
          <w:rtl w:val="0"/>
        </w:rPr>
        <w:t xml:space="preserve">nd</w:t>
      </w:r>
      <w:r w:rsidDel="00000000" w:rsidR="00000000" w:rsidRPr="00000000">
        <w:rPr>
          <w:sz w:val="15"/>
          <w:szCs w:val="15"/>
          <w:rtl w:val="0"/>
        </w:rPr>
        <w:t xml:space="preserve"> Marker’s/Moderator’s provisional mark</w:t>
      </w:r>
    </w:p>
    <w:p w:rsidR="00000000" w:rsidDel="00000000" w:rsidP="00000000" w:rsidRDefault="00000000" w:rsidRPr="00000000" w14:paraId="00000017">
      <w:pPr>
        <w:rPr>
          <w:sz w:val="15"/>
          <w:szCs w:val="15"/>
        </w:rPr>
      </w:pPr>
      <w:r w:rsidDel="00000000" w:rsidR="00000000" w:rsidRPr="00000000">
        <w:rPr>
          <w:sz w:val="15"/>
          <w:szCs w:val="15"/>
          <w:rtl w:val="0"/>
        </w:rPr>
        <w:t xml:space="preserve">External Examiner’s mark (if relevant)</w:t>
      </w:r>
    </w:p>
    <w:p w:rsidR="00000000" w:rsidDel="00000000" w:rsidP="00000000" w:rsidRDefault="00000000" w:rsidRPr="00000000" w14:paraId="00000018">
      <w:pPr>
        <w:rPr>
          <w:b w:val="1"/>
          <w:sz w:val="15"/>
          <w:szCs w:val="15"/>
        </w:rPr>
      </w:pPr>
      <w:r w:rsidDel="00000000" w:rsidR="00000000" w:rsidRPr="00000000">
        <w:rPr>
          <w:b w:val="1"/>
          <w:sz w:val="15"/>
          <w:szCs w:val="15"/>
          <w:rtl w:val="0"/>
        </w:rPr>
        <w:t xml:space="preserve">Final Mark</w:t>
      </w:r>
    </w:p>
    <w:p w:rsidR="00000000" w:rsidDel="00000000" w:rsidP="00000000" w:rsidRDefault="00000000" w:rsidRPr="00000000" w14:paraId="00000019">
      <w:pPr>
        <w:ind w:left="100" w:firstLine="0"/>
        <w:rPr>
          <w:sz w:val="17"/>
          <w:szCs w:val="17"/>
        </w:rPr>
      </w:pPr>
      <w:r w:rsidDel="00000000" w:rsidR="00000000" w:rsidRPr="00000000">
        <w:rPr>
          <w:b w:val="1"/>
          <w:sz w:val="17"/>
          <w:szCs w:val="17"/>
          <w:rtl w:val="0"/>
        </w:rPr>
        <w:t xml:space="preserve">NB.</w:t>
      </w:r>
      <w:r w:rsidDel="00000000" w:rsidR="00000000" w:rsidRPr="00000000">
        <w:rPr>
          <w:sz w:val="17"/>
          <w:szCs w:val="17"/>
          <w:rtl w:val="0"/>
        </w:rPr>
        <w:t xml:space="preserve">  All marks are provisional until confirmed by the Final Examination Board.</w:t>
      </w:r>
    </w:p>
    <w:p w:rsidR="00000000" w:rsidDel="00000000" w:rsidP="00000000" w:rsidRDefault="00000000" w:rsidRPr="00000000" w14:paraId="0000001A">
      <w:pPr>
        <w:rPr>
          <w:b w:val="1"/>
          <w:sz w:val="17"/>
          <w:szCs w:val="17"/>
        </w:rPr>
      </w:pPr>
      <w:r w:rsidDel="00000000" w:rsidR="00000000" w:rsidRPr="00000000">
        <w:rPr>
          <w:b w:val="1"/>
          <w:sz w:val="17"/>
          <w:szCs w:val="17"/>
          <w:rtl w:val="0"/>
        </w:rPr>
        <w:t xml:space="preserve">For completion by Marker 1 :</w:t>
      </w:r>
    </w:p>
    <w:p w:rsidR="00000000" w:rsidDel="00000000" w:rsidP="00000000" w:rsidRDefault="00000000" w:rsidRPr="00000000" w14:paraId="0000001B">
      <w:pPr>
        <w:spacing w:after="80" w:before="80" w:lineRule="auto"/>
        <w:rPr>
          <w:sz w:val="17"/>
          <w:szCs w:val="17"/>
        </w:rPr>
      </w:pPr>
      <w:r w:rsidDel="00000000" w:rsidR="00000000" w:rsidRPr="00000000">
        <w:rPr>
          <w:sz w:val="17"/>
          <w:szCs w:val="17"/>
          <w:rtl w:val="0"/>
        </w:rPr>
        <w:t xml:space="preserve">Comments:</w:t>
      </w:r>
    </w:p>
    <w:p w:rsidR="00000000" w:rsidDel="00000000" w:rsidP="00000000" w:rsidRDefault="00000000" w:rsidRPr="00000000" w14:paraId="0000001C">
      <w:pPr>
        <w:spacing w:after="80" w:before="80" w:lineRule="auto"/>
        <w:ind w:left="100" w:firstLine="0"/>
        <w:rPr>
          <w:sz w:val="17"/>
          <w:szCs w:val="17"/>
        </w:rPr>
      </w:pPr>
      <w:r w:rsidDel="00000000" w:rsidR="00000000" w:rsidRPr="00000000">
        <w:rPr>
          <w:sz w:val="17"/>
          <w:szCs w:val="17"/>
          <w:rtl w:val="0"/>
        </w:rPr>
        <w:t xml:space="preserve">Marker’s signature:</w:t>
      </w:r>
    </w:p>
    <w:p w:rsidR="00000000" w:rsidDel="00000000" w:rsidP="00000000" w:rsidRDefault="00000000" w:rsidRPr="00000000" w14:paraId="0000001D">
      <w:pPr>
        <w:ind w:left="100" w:firstLine="0"/>
        <w:rPr>
          <w:sz w:val="17"/>
          <w:szCs w:val="17"/>
        </w:rPr>
      </w:pPr>
      <w:r w:rsidDel="00000000" w:rsidR="00000000" w:rsidRPr="00000000">
        <w:rPr>
          <w:sz w:val="17"/>
          <w:szCs w:val="17"/>
          <w:rtl w:val="0"/>
        </w:rPr>
        <w:t xml:space="preserve">Date:</w:t>
      </w:r>
    </w:p>
    <w:p w:rsidR="00000000" w:rsidDel="00000000" w:rsidP="00000000" w:rsidRDefault="00000000" w:rsidRPr="00000000" w14:paraId="0000001E">
      <w:pPr>
        <w:rPr>
          <w:b w:val="1"/>
          <w:sz w:val="17"/>
          <w:szCs w:val="17"/>
        </w:rPr>
      </w:pPr>
      <w:r w:rsidDel="00000000" w:rsidR="00000000" w:rsidRPr="00000000">
        <w:rPr>
          <w:b w:val="1"/>
          <w:sz w:val="17"/>
          <w:szCs w:val="17"/>
          <w:rtl w:val="0"/>
        </w:rPr>
        <w:t xml:space="preserve">For completion by Marker 2/Moderator:</w:t>
      </w:r>
    </w:p>
    <w:p w:rsidR="00000000" w:rsidDel="00000000" w:rsidP="00000000" w:rsidRDefault="00000000" w:rsidRPr="00000000" w14:paraId="0000001F">
      <w:pPr>
        <w:rPr>
          <w:sz w:val="17"/>
          <w:szCs w:val="17"/>
        </w:rPr>
      </w:pPr>
      <w:r w:rsidDel="00000000" w:rsidR="00000000" w:rsidRPr="00000000">
        <w:rPr>
          <w:sz w:val="17"/>
          <w:szCs w:val="17"/>
          <w:rtl w:val="0"/>
        </w:rPr>
        <w:t xml:space="preserve">Comments:</w:t>
      </w:r>
    </w:p>
    <w:p w:rsidR="00000000" w:rsidDel="00000000" w:rsidP="00000000" w:rsidRDefault="00000000" w:rsidRPr="00000000" w14:paraId="00000020">
      <w:pPr>
        <w:rPr>
          <w:sz w:val="17"/>
          <w:szCs w:val="17"/>
        </w:rPr>
      </w:pPr>
      <w:r w:rsidDel="00000000" w:rsidR="00000000" w:rsidRPr="00000000">
        <w:rPr>
          <w:sz w:val="17"/>
          <w:szCs w:val="17"/>
          <w:rtl w:val="0"/>
        </w:rPr>
        <w:t xml:space="preserve">Marker’s Signature:</w:t>
      </w:r>
    </w:p>
    <w:p w:rsidR="00000000" w:rsidDel="00000000" w:rsidP="00000000" w:rsidRDefault="00000000" w:rsidRPr="00000000" w14:paraId="00000021">
      <w:pPr>
        <w:rPr/>
      </w:pPr>
      <w:r w:rsidDel="00000000" w:rsidR="00000000" w:rsidRPr="00000000">
        <w:rPr>
          <w:sz w:val="17"/>
          <w:szCs w:val="17"/>
          <w:rtl w:val="0"/>
        </w:rPr>
        <w:t xml:space="preserve">Date:</w:t>
      </w:r>
      <w:r w:rsidDel="00000000" w:rsidR="00000000" w:rsidRPr="00000000">
        <w:rPr>
          <w:rtl w:val="0"/>
        </w:rPr>
      </w:r>
    </w:p>
    <w:p w:rsidR="00000000" w:rsidDel="00000000" w:rsidP="00000000" w:rsidRDefault="00000000" w:rsidRPr="00000000" w14:paraId="00000022">
      <w:pPr>
        <w:ind w:left="0" w:firstLine="0"/>
        <w:rPr/>
      </w:pPr>
      <w:r w:rsidDel="00000000" w:rsidR="00000000" w:rsidRPr="00000000">
        <w:rPr>
          <w:rtl w:val="0"/>
        </w:rPr>
      </w:r>
    </w:p>
    <w:p w:rsidR="00000000" w:rsidDel="00000000" w:rsidP="00000000" w:rsidRDefault="00000000" w:rsidRPr="00000000" w14:paraId="00000023">
      <w:pPr>
        <w:pStyle w:val="Title"/>
        <w:rPr>
          <w:u w:val="single"/>
        </w:rPr>
      </w:pPr>
      <w:bookmarkStart w:colFirst="0" w:colLast="0" w:name="_5eti0hh65s36" w:id="1"/>
      <w:bookmarkEnd w:id="1"/>
      <w:r w:rsidDel="00000000" w:rsidR="00000000" w:rsidRPr="00000000">
        <w:rPr>
          <w:u w:val="single"/>
          <w:rtl w:val="0"/>
        </w:rPr>
        <w:t xml:space="preserve">Is sacred space a human construct or a natural phenomenon? Discuss this question through a research project with reference to the work of at least 3 theorists.</w:t>
      </w:r>
    </w:p>
    <w:p w:rsidR="00000000" w:rsidDel="00000000" w:rsidP="00000000" w:rsidRDefault="00000000" w:rsidRPr="00000000" w14:paraId="00000024">
      <w:pPr>
        <w:pStyle w:val="Subtitle"/>
        <w:rPr/>
      </w:pPr>
      <w:bookmarkStart w:colFirst="0" w:colLast="0" w:name="_4z3xfdjwbev0" w:id="2"/>
      <w:bookmarkEnd w:id="2"/>
      <w:r w:rsidDel="00000000" w:rsidR="00000000" w:rsidRPr="00000000">
        <w:rPr>
          <w:rtl w:val="0"/>
        </w:rPr>
        <w:t xml:space="preserve">Case Study: Cefn Coch Stone Circle Penmaenmawr </w:t>
      </w:r>
    </w:p>
    <w:p w:rsidR="00000000" w:rsidDel="00000000" w:rsidP="00000000" w:rsidRDefault="00000000" w:rsidRPr="00000000" w14:paraId="00000025">
      <w:pPr>
        <w:ind w:left="0" w:firstLine="0"/>
        <w:rPr/>
      </w:pPr>
      <w:r w:rsidDel="00000000" w:rsidR="00000000" w:rsidRPr="00000000">
        <w:rPr>
          <w:rtl w:val="0"/>
        </w:rPr>
      </w:r>
    </w:p>
    <w:p w:rsidR="00000000" w:rsidDel="00000000" w:rsidP="00000000" w:rsidRDefault="00000000" w:rsidRPr="00000000" w14:paraId="00000026">
      <w:pPr>
        <w:ind w:left="0" w:firstLine="0"/>
        <w:rPr/>
      </w:pPr>
      <w:r w:rsidDel="00000000" w:rsidR="00000000" w:rsidRPr="00000000">
        <w:rPr>
          <w:rtl w:val="0"/>
        </w:rPr>
        <w:t xml:space="preserve">Word count: 5028</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2"/>
        <w:rPr/>
      </w:pPr>
      <w:bookmarkStart w:colFirst="0" w:colLast="0" w:name="_h3bg0qc89u2" w:id="3"/>
      <w:bookmarkEnd w:id="3"/>
      <w:r w:rsidDel="00000000" w:rsidR="00000000" w:rsidRPr="00000000">
        <w:rPr>
          <w:rtl w:val="0"/>
        </w:rPr>
        <w:t xml:space="preserve">Introduction</w:t>
      </w:r>
    </w:p>
    <w:p w:rsidR="00000000" w:rsidDel="00000000" w:rsidP="00000000" w:rsidRDefault="00000000" w:rsidRPr="00000000" w14:paraId="00000029">
      <w:pPr>
        <w:ind w:firstLine="720"/>
        <w:rPr/>
      </w:pPr>
      <w:r w:rsidDel="00000000" w:rsidR="00000000" w:rsidRPr="00000000">
        <w:rPr>
          <w:rtl w:val="0"/>
        </w:rPr>
        <w:t xml:space="preserve">The aim of this research is to explore whether sacred space is a human construct, a natural phenomenon, or a fusion of both, using the Cefn Coch lithic circle in Penmaenmawr, North Wales, as a case study. Perched above the Irish Sea along the backdrop of the Carneddau mountains, Cefn Coch was chosen to investiagte the notion of the ‘sacred’, and its interplay between intrinsic natural features and intentional human interactions, seeking to place Cefn Coch within the broader discussion of sacred geography - particularly in relation to regional/local sites often overshadowed by monumental locations such as Stonehenge or Newgrange. This research takes a phenomenological stance, incorporating fieldwork originally planned for the winter solstice 2024, later postponed due to severe weather conditions for 27th &amp; 29th December 2024, providing contrasting insights into how temporal and environmental variability shapes perceptions of sacredness, to examine the ever-changing nature of human-place relationships. To support this exploration, this study looks mainly towards the theoretical perspectives of Mircea Eliade, Emile Durkheim and Christopher Tilley. These were selected as Eliade’s concept of hierophany highlights the sacred as revealed through extraordinary natural phenomena, while Durkheim’s work focuses on the role of collective practices in constructing sacred space, with Tilley bridging these perspectives by examining how sensory experiences and lived interactions continually redefine sacredness, to bring a wide range of viewpoints to the study. By integrating phenomenological fieldwork, theoretical analysis, and personal reflection on ties with Cefn Coch, this study explores themes of natural beauty, cultural significance and evolving human engagement of the ‘sacred’. Together, these elements hope to delve into the understanding sacred spaces and their connection to humanity through time and space and its ever-evolving nature. </w:t>
      </w:r>
    </w:p>
    <w:p w:rsidR="00000000" w:rsidDel="00000000" w:rsidP="00000000" w:rsidRDefault="00000000" w:rsidRPr="00000000" w14:paraId="0000002A">
      <w:pPr>
        <w:ind w:left="0" w:firstLine="0"/>
        <w:rPr/>
      </w:pPr>
      <w:r w:rsidDel="00000000" w:rsidR="00000000" w:rsidRPr="00000000">
        <w:rPr>
          <w:rtl w:val="0"/>
        </w:rPr>
      </w:r>
    </w:p>
    <w:p w:rsidR="00000000" w:rsidDel="00000000" w:rsidP="00000000" w:rsidRDefault="00000000" w:rsidRPr="00000000" w14:paraId="0000002B">
      <w:pPr>
        <w:pStyle w:val="Heading2"/>
        <w:rPr/>
      </w:pPr>
      <w:bookmarkStart w:colFirst="0" w:colLast="0" w:name="_rztyclv58yu" w:id="4"/>
      <w:bookmarkEnd w:id="4"/>
      <w:r w:rsidDel="00000000" w:rsidR="00000000" w:rsidRPr="00000000">
        <w:rPr>
          <w:rtl w:val="0"/>
        </w:rPr>
        <w:t xml:space="preserve">Academic Rationale </w:t>
      </w:r>
    </w:p>
    <w:p w:rsidR="00000000" w:rsidDel="00000000" w:rsidP="00000000" w:rsidRDefault="00000000" w:rsidRPr="00000000" w14:paraId="0000002C">
      <w:pPr>
        <w:ind w:left="0" w:firstLine="0"/>
        <w:rPr/>
      </w:pPr>
      <w:r w:rsidDel="00000000" w:rsidR="00000000" w:rsidRPr="00000000">
        <w:rPr>
          <w:rtl w:val="0"/>
        </w:rPr>
        <w:tab/>
        <w:t xml:space="preserve">Cefn Coch was chosen as it is a local ‘sacred’ site, offering a unique opportunity to investigate sacred spaces/geography beyond larger more well-known sites such as Stonehenge or Newgrange, shifting the view towards smaller, regionally significant landscapes. This research aims to explore how natural and man-made features, human intention, and lived experiences converge to construct sacredness, highlighting the dynamic and relational nature of sacred spaces. So, what is sacred? According to Thorley and Gunn, through a brief survey of non-industrial cultures revealed that </w:t>
      </w:r>
      <w:r w:rsidDel="00000000" w:rsidR="00000000" w:rsidRPr="00000000">
        <w:rPr>
          <w:rtl w:val="0"/>
        </w:rPr>
        <w:t xml:space="preserve">“the word ‘sacred’ has many varied meanings”</w:t>
      </w:r>
      <w:r w:rsidDel="00000000" w:rsidR="00000000" w:rsidRPr="00000000">
        <w:rPr>
          <w:rtl w:val="0"/>
        </w:rPr>
        <w:t xml:space="preserve">, with now most current academic meanings of ‘sacred’ tending to </w:t>
      </w:r>
      <w:r w:rsidDel="00000000" w:rsidR="00000000" w:rsidRPr="00000000">
        <w:rPr>
          <w:rtl w:val="0"/>
        </w:rPr>
        <w:t xml:space="preserve">“emphasise its separations and distinction from the secular or profane”</w:t>
      </w:r>
      <w:r w:rsidDel="00000000" w:rsidR="00000000" w:rsidRPr="00000000">
        <w:rPr>
          <w:rtl w:val="0"/>
        </w:rPr>
        <w:t xml:space="preserve">, with the English word ‘sacred’ deriving from the </w:t>
      </w:r>
      <w:r w:rsidDel="00000000" w:rsidR="00000000" w:rsidRPr="00000000">
        <w:rPr>
          <w:rtl w:val="0"/>
        </w:rPr>
        <w:t xml:space="preserve">“Latin word sacer, often taken to mean ‘set apart to, or for some religious purpose”</w:t>
      </w:r>
      <w:r w:rsidDel="00000000" w:rsidR="00000000" w:rsidRPr="00000000">
        <w:rPr>
          <w:vertAlign w:val="superscript"/>
        </w:rPr>
        <w:footnoteReference w:customMarkFollows="0" w:id="0"/>
      </w:r>
      <w:r w:rsidDel="00000000" w:rsidR="00000000" w:rsidRPr="00000000">
        <w:rPr>
          <w:rtl w:val="0"/>
        </w:rPr>
        <w:t xml:space="preserve">. Therefore, carrying a </w:t>
      </w:r>
      <w:r w:rsidDel="00000000" w:rsidR="00000000" w:rsidRPr="00000000">
        <w:rPr>
          <w:rtl w:val="0"/>
        </w:rPr>
        <w:t xml:space="preserve">“fascinating admixture of apparently positive and negative meanings”</w:t>
      </w:r>
      <w:r w:rsidDel="00000000" w:rsidR="00000000" w:rsidRPr="00000000">
        <w:rPr>
          <w:vertAlign w:val="superscript"/>
        </w:rPr>
        <w:footnoteReference w:customMarkFollows="0" w:id="1"/>
      </w:r>
      <w:r w:rsidDel="00000000" w:rsidR="00000000" w:rsidRPr="00000000">
        <w:rPr>
          <w:rtl w:val="0"/>
        </w:rPr>
        <w:t xml:space="preserve">. Moreover, Tilley notes how the contemporary work ‘landscape’ is </w:t>
      </w:r>
      <w:r w:rsidDel="00000000" w:rsidR="00000000" w:rsidRPr="00000000">
        <w:rPr>
          <w:rtl w:val="0"/>
        </w:rPr>
        <w:t xml:space="preserve">“highly ideological”</w:t>
      </w:r>
      <w:r w:rsidDel="00000000" w:rsidR="00000000" w:rsidRPr="00000000">
        <w:rPr>
          <w:rtl w:val="0"/>
        </w:rPr>
        <w:t xml:space="preserve">, and that landscape as </w:t>
      </w:r>
      <w:r w:rsidDel="00000000" w:rsidR="00000000" w:rsidRPr="00000000">
        <w:rPr>
          <w:rtl w:val="0"/>
        </w:rPr>
        <w:t xml:space="preserve">“image has both ideological and ontological implications”</w:t>
      </w:r>
      <w:r w:rsidDel="00000000" w:rsidR="00000000" w:rsidRPr="00000000">
        <w:rPr>
          <w:rtl w:val="0"/>
        </w:rPr>
        <w:t xml:space="preserve"> for the way we view the world</w:t>
      </w:r>
      <w:r w:rsidDel="00000000" w:rsidR="00000000" w:rsidRPr="00000000">
        <w:rPr>
          <w:vertAlign w:val="superscript"/>
        </w:rPr>
        <w:footnoteReference w:customMarkFollows="0" w:id="2"/>
      </w:r>
      <w:r w:rsidDel="00000000" w:rsidR="00000000" w:rsidRPr="00000000">
        <w:rPr>
          <w:rtl w:val="0"/>
        </w:rPr>
        <w:t xml:space="preserve">. This study focuses mainly on the works of Eliade, Durkheim and Tilley, namely </w:t>
      </w:r>
      <w:r w:rsidDel="00000000" w:rsidR="00000000" w:rsidRPr="00000000">
        <w:rPr>
          <w:rtl w:val="0"/>
        </w:rPr>
        <w:t xml:space="preserve">Mircea Eliade’s ‘Sacred and the Profane’, 1957, translated by Willard Trask, Karen Field’s translation of Emile Durkheim’s ‘The Elementary Forms of Religious Life’, 1912, and Christopher Tilley’s ‘A Phenomenology of Landscape’, 1994</w:t>
      </w:r>
      <w:r w:rsidDel="00000000" w:rsidR="00000000" w:rsidRPr="00000000">
        <w:rPr>
          <w:vertAlign w:val="superscript"/>
        </w:rPr>
        <w:footnoteReference w:customMarkFollows="0" w:id="3"/>
      </w:r>
      <w:r w:rsidDel="00000000" w:rsidR="00000000" w:rsidRPr="00000000">
        <w:rPr>
          <w:vertAlign w:val="superscript"/>
        </w:rPr>
        <w:footnoteReference w:customMarkFollows="0" w:id="4"/>
      </w:r>
      <w:r w:rsidDel="00000000" w:rsidR="00000000" w:rsidRPr="00000000">
        <w:rPr>
          <w:vertAlign w:val="superscript"/>
        </w:rPr>
        <w:footnoteReference w:customMarkFollows="0" w:id="5"/>
      </w:r>
      <w:r w:rsidDel="00000000" w:rsidR="00000000" w:rsidRPr="00000000">
        <w:rPr>
          <w:rtl w:val="0"/>
        </w:rPr>
        <w:t xml:space="preserve">.</w:t>
      </w:r>
      <w:r w:rsidDel="00000000" w:rsidR="00000000" w:rsidRPr="00000000">
        <w:rPr>
          <w:rtl w:val="0"/>
        </w:rPr>
        <w:t xml:space="preserve"> Eliade suggests that sacred spaces serve as bridges between comos-human connection, symbolised by archetypes such as the ‘axis mundi’, noting that</w:t>
      </w:r>
      <w:r w:rsidDel="00000000" w:rsidR="00000000" w:rsidRPr="00000000">
        <w:rPr>
          <w:rtl w:val="0"/>
        </w:rPr>
        <w:t xml:space="preserve"> “Every sacred space implies a hierophany, an irruption of the sacred that results in detaching a territory from the surrounding cosmic milieu and making it qualitatively different”</w:t>
      </w:r>
      <w:r w:rsidDel="00000000" w:rsidR="00000000" w:rsidRPr="00000000">
        <w:rPr>
          <w:vertAlign w:val="superscript"/>
        </w:rPr>
        <w:footnoteReference w:customMarkFollows="0" w:id="6"/>
      </w:r>
      <w:r w:rsidDel="00000000" w:rsidR="00000000" w:rsidRPr="00000000">
        <w:rPr>
          <w:rtl w:val="0"/>
        </w:rPr>
        <w:t xml:space="preserve">. Kim Knott declares that </w:t>
      </w:r>
      <w:r w:rsidDel="00000000" w:rsidR="00000000" w:rsidRPr="00000000">
        <w:rPr>
          <w:rtl w:val="0"/>
        </w:rPr>
        <w:t xml:space="preserve">Eliade’s axioms of sacred space as </w:t>
      </w:r>
      <w:r w:rsidDel="00000000" w:rsidR="00000000" w:rsidRPr="00000000">
        <w:rPr>
          <w:rtl w:val="0"/>
        </w:rPr>
        <w:t xml:space="preserve">othe</w:t>
      </w:r>
      <w:r w:rsidDel="00000000" w:rsidR="00000000" w:rsidRPr="00000000">
        <w:rPr>
          <w:rtl w:val="0"/>
        </w:rPr>
        <w:t xml:space="preserve">r, “have become foundational for scholarly articulations of the meaning and power of the sacred in space and time.”, whereas Tilley would critique Eliade’s approach, arguing that sacredness is not merely ‘revealed’, but “socially produced”, emerging through the “interplay of materiality and human perception”</w:t>
      </w:r>
      <w:r w:rsidDel="00000000" w:rsidR="00000000" w:rsidRPr="00000000">
        <w:rPr>
          <w:vertAlign w:val="superscript"/>
        </w:rPr>
        <w:footnoteReference w:customMarkFollows="0" w:id="7"/>
      </w:r>
      <w:r w:rsidDel="00000000" w:rsidR="00000000" w:rsidRPr="00000000">
        <w:rPr>
          <w:vertAlign w:val="superscript"/>
        </w:rPr>
        <w:footnoteReference w:customMarkFollows="0" w:id="8"/>
      </w:r>
      <w:r w:rsidDel="00000000" w:rsidR="00000000" w:rsidRPr="00000000">
        <w:rPr>
          <w:rtl w:val="0"/>
        </w:rPr>
        <w:t xml:space="preserve">. Moreover, Durkheim emphasises the role of collective practices in constructing sacredness, arguing that sacredness arises not from the object or space itself</w:t>
      </w:r>
      <w:r w:rsidDel="00000000" w:rsidR="00000000" w:rsidRPr="00000000">
        <w:rPr>
          <w:rtl w:val="0"/>
        </w:rPr>
        <w:t xml:space="preserve"> but from the collective representations of those who gather around it, sharing collective memory</w:t>
      </w:r>
      <w:r w:rsidDel="00000000" w:rsidR="00000000" w:rsidRPr="00000000">
        <w:rPr>
          <w:rtl w:val="0"/>
        </w:rPr>
        <w:t xml:space="preserve">, with Gunzburg and Brady agreeing that as a spaces becomes “entwined with cultural layers, so its potential to influence human activity increases, and thus humanity increasingly seeks to maintain the place names and stories of the location."</w:t>
      </w:r>
      <w:r w:rsidDel="00000000" w:rsidR="00000000" w:rsidRPr="00000000">
        <w:rPr>
          <w:vertAlign w:val="superscript"/>
        </w:rPr>
        <w:footnoteReference w:customMarkFollows="0" w:id="9"/>
      </w:r>
      <w:r w:rsidDel="00000000" w:rsidR="00000000" w:rsidRPr="00000000">
        <w:rPr>
          <w:vertAlign w:val="superscript"/>
        </w:rPr>
        <w:footnoteReference w:customMarkFollows="0" w:id="10"/>
      </w:r>
      <w:r w:rsidDel="00000000" w:rsidR="00000000" w:rsidRPr="00000000">
        <w:rPr>
          <w:rtl w:val="0"/>
        </w:rPr>
        <w:t xml:space="preserve">. These theorists have been chosen to give contrasting perspectives on the matter of sacredness, with personal reflexivity was also being explored during this study to further enrich the analysis. My personal connection to Cefn Coch, starting prior to my birth - as my mother would frequently walk to the site during her pregnancy with me - offers a deeply personal lens through which the sacredness of the site is experiences, illuminating how sacredness could be both inherited and continuously redefined, blending subjective and collective dimensions. However, as Alan Bryman cautions that the “assumption that an interpretive approach to the study of social action is feasible often goes unexamined”, this study aims to balance phenomenological insight with academic rigour</w:t>
      </w:r>
      <w:r w:rsidDel="00000000" w:rsidR="00000000" w:rsidRPr="00000000">
        <w:rPr>
          <w:vertAlign w:val="superscript"/>
        </w:rPr>
        <w:footnoteReference w:customMarkFollows="0" w:id="11"/>
      </w:r>
      <w:r w:rsidDel="00000000" w:rsidR="00000000" w:rsidRPr="00000000">
        <w:rPr>
          <w:rtl w:val="0"/>
        </w:rPr>
        <w:t xml:space="preserve">. </w:t>
      </w:r>
    </w:p>
    <w:p w:rsidR="00000000" w:rsidDel="00000000" w:rsidP="00000000" w:rsidRDefault="00000000" w:rsidRPr="00000000" w14:paraId="0000002D">
      <w:pPr>
        <w:ind w:left="0" w:firstLine="0"/>
        <w:rPr/>
      </w:pPr>
      <w:r w:rsidDel="00000000" w:rsidR="00000000" w:rsidRPr="00000000">
        <w:rPr>
          <w:rtl w:val="0"/>
        </w:rPr>
      </w:r>
    </w:p>
    <w:p w:rsidR="00000000" w:rsidDel="00000000" w:rsidP="00000000" w:rsidRDefault="00000000" w:rsidRPr="00000000" w14:paraId="0000002E">
      <w:pPr>
        <w:pStyle w:val="Heading2"/>
        <w:rPr/>
      </w:pPr>
      <w:bookmarkStart w:colFirst="0" w:colLast="0" w:name="_8dh8ruer75o5" w:id="5"/>
      <w:bookmarkEnd w:id="5"/>
      <w:r w:rsidDel="00000000" w:rsidR="00000000" w:rsidRPr="00000000">
        <w:rPr>
          <w:rtl w:val="0"/>
        </w:rPr>
        <w:t xml:space="preserve">Methodology </w:t>
      </w:r>
    </w:p>
    <w:p w:rsidR="00000000" w:rsidDel="00000000" w:rsidP="00000000" w:rsidRDefault="00000000" w:rsidRPr="00000000" w14:paraId="0000002F">
      <w:pPr>
        <w:ind w:left="0" w:firstLine="0"/>
        <w:rPr/>
      </w:pPr>
      <w:r w:rsidDel="00000000" w:rsidR="00000000" w:rsidRPr="00000000">
        <w:rPr>
          <w:rtl w:val="0"/>
        </w:rPr>
        <w:tab/>
        <w:t xml:space="preserve">This study employs a phenomenological approach to investigate ‘sacredness’ at Cefn Coch stone circle, viewing the interplay between natural, constructed and lived dimensions of a space, in line with Tilley’s assertion that phenomenology highlights how landscapes are experienced as </w:t>
      </w:r>
      <w:r w:rsidDel="00000000" w:rsidR="00000000" w:rsidRPr="00000000">
        <w:rPr>
          <w:rtl w:val="0"/>
        </w:rPr>
        <w:t xml:space="preserve">“dynamic, sensory, and relational rather than merely visual or functional”</w:t>
      </w:r>
      <w:r w:rsidDel="00000000" w:rsidR="00000000" w:rsidRPr="00000000">
        <w:rPr>
          <w:vertAlign w:val="superscript"/>
        </w:rPr>
        <w:footnoteReference w:customMarkFollows="0" w:id="12"/>
      </w:r>
      <w:r w:rsidDel="00000000" w:rsidR="00000000" w:rsidRPr="00000000">
        <w:rPr>
          <w:rtl w:val="0"/>
        </w:rPr>
        <w:t xml:space="preserve">. Fieldwork was conducted at the site, initially planned to coincide with the winter solstice 2024, a temporal threshold enriched with symbolism of renewal and reflection. However, due to unsafe weather conditions, the fieldwork was postponed to December 27th &amp; and 29th 2024 at different times of day, providing contrasting sensory and environmental experiences. Although this adjustment altered the temporal symbolism, its offered valuable insights into the evolving perception of sacredness across different conditions. </w:t>
      </w:r>
    </w:p>
    <w:p w:rsidR="00000000" w:rsidDel="00000000" w:rsidP="00000000" w:rsidRDefault="00000000" w:rsidRPr="00000000" w14:paraId="00000030">
      <w:pPr>
        <w:ind w:left="0" w:firstLine="0"/>
        <w:rPr>
          <w:b w:val="1"/>
        </w:rPr>
      </w:pPr>
      <w:r w:rsidDel="00000000" w:rsidR="00000000" w:rsidRPr="00000000">
        <w:rPr>
          <w:b w:val="1"/>
          <w:rtl w:val="0"/>
        </w:rPr>
        <w:t xml:space="preserve">During the field visits the following key observations forms of documentation were taken:</w:t>
      </w:r>
    </w:p>
    <w:p w:rsidR="00000000" w:rsidDel="00000000" w:rsidP="00000000" w:rsidRDefault="00000000" w:rsidRPr="00000000" w14:paraId="00000031">
      <w:pPr>
        <w:numPr>
          <w:ilvl w:val="0"/>
          <w:numId w:val="1"/>
        </w:numPr>
        <w:ind w:left="720" w:hanging="360"/>
        <w:rPr>
          <w:u w:val="none"/>
        </w:rPr>
      </w:pPr>
      <w:r w:rsidDel="00000000" w:rsidR="00000000" w:rsidRPr="00000000">
        <w:rPr>
          <w:b w:val="1"/>
          <w:rtl w:val="0"/>
        </w:rPr>
        <w:t xml:space="preserve">Environmental conditions</w:t>
      </w:r>
      <w:r w:rsidDel="00000000" w:rsidR="00000000" w:rsidRPr="00000000">
        <w:rPr>
          <w:rtl w:val="0"/>
        </w:rPr>
        <w:t xml:space="preserve">: Weather, light, and time of day.</w:t>
      </w:r>
    </w:p>
    <w:p w:rsidR="00000000" w:rsidDel="00000000" w:rsidP="00000000" w:rsidRDefault="00000000" w:rsidRPr="00000000" w14:paraId="00000032">
      <w:pPr>
        <w:numPr>
          <w:ilvl w:val="0"/>
          <w:numId w:val="1"/>
        </w:numPr>
        <w:ind w:left="720" w:hanging="360"/>
        <w:rPr>
          <w:u w:val="none"/>
        </w:rPr>
      </w:pPr>
      <w:r w:rsidDel="00000000" w:rsidR="00000000" w:rsidRPr="00000000">
        <w:rPr>
          <w:b w:val="1"/>
          <w:rtl w:val="0"/>
        </w:rPr>
        <w:t xml:space="preserve">Sensory engagement</w:t>
      </w:r>
      <w:r w:rsidDel="00000000" w:rsidR="00000000" w:rsidRPr="00000000">
        <w:rPr>
          <w:rtl w:val="0"/>
        </w:rPr>
        <w:t xml:space="preserve">: Attention was given to touch, sound, smell and sight at/of the site, aligning with Tilley’s observation that </w:t>
      </w:r>
      <w:r w:rsidDel="00000000" w:rsidR="00000000" w:rsidRPr="00000000">
        <w:rPr>
          <w:rtl w:val="0"/>
        </w:rPr>
        <w:t xml:space="preserve">“to understand a landscape truly it must be felt”</w:t>
      </w:r>
      <w:r w:rsidDel="00000000" w:rsidR="00000000" w:rsidRPr="00000000">
        <w:rPr>
          <w:vertAlign w:val="superscript"/>
        </w:rPr>
        <w:footnoteReference w:customMarkFollows="0" w:id="13"/>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33">
      <w:pPr>
        <w:numPr>
          <w:ilvl w:val="0"/>
          <w:numId w:val="1"/>
        </w:numPr>
        <w:ind w:left="720" w:hanging="360"/>
        <w:rPr>
          <w:u w:val="none"/>
        </w:rPr>
      </w:pPr>
      <w:r w:rsidDel="00000000" w:rsidR="00000000" w:rsidRPr="00000000">
        <w:rPr>
          <w:b w:val="1"/>
          <w:rtl w:val="0"/>
        </w:rPr>
        <w:t xml:space="preserve">Reflections on Sacredness</w:t>
      </w:r>
      <w:r w:rsidDel="00000000" w:rsidR="00000000" w:rsidRPr="00000000">
        <w:rPr>
          <w:rtl w:val="0"/>
        </w:rPr>
        <w:t xml:space="preserve">: The fieldwork explored whether the site evoked a sense of reverence, mystery, or sacredness, informed by Eliade’s notion of hierophany, Durkheims focus on collective practices, and Tilley’s sensory phenomenology.</w:t>
      </w:r>
    </w:p>
    <w:p w:rsidR="00000000" w:rsidDel="00000000" w:rsidP="00000000" w:rsidRDefault="00000000" w:rsidRPr="00000000" w14:paraId="00000034">
      <w:pPr>
        <w:numPr>
          <w:ilvl w:val="0"/>
          <w:numId w:val="1"/>
        </w:numPr>
        <w:ind w:left="720" w:hanging="360"/>
        <w:rPr>
          <w:u w:val="none"/>
        </w:rPr>
      </w:pPr>
      <w:r w:rsidDel="00000000" w:rsidR="00000000" w:rsidRPr="00000000">
        <w:rPr>
          <w:b w:val="1"/>
          <w:rtl w:val="0"/>
        </w:rPr>
        <w:t xml:space="preserve">Journaling</w:t>
      </w:r>
      <w:r w:rsidDel="00000000" w:rsidR="00000000" w:rsidRPr="00000000">
        <w:rPr>
          <w:rtl w:val="0"/>
        </w:rPr>
        <w:t xml:space="preserve">: A detailed research diary was kept during and after field visits, capturing sensory impressions, emotional reflections, and observations of environmental conditions, aligning with Bell’s suggestion to </w:t>
      </w:r>
      <w:r w:rsidDel="00000000" w:rsidR="00000000" w:rsidRPr="00000000">
        <w:rPr>
          <w:rtl w:val="0"/>
        </w:rPr>
        <w:t xml:space="preserve">“start with a personal research diary, research log or research notebook…Keep your notebook with you at all times”</w:t>
      </w:r>
      <w:r w:rsidDel="00000000" w:rsidR="00000000" w:rsidRPr="00000000">
        <w:rPr>
          <w:vertAlign w:val="superscript"/>
        </w:rPr>
        <w:footnoteReference w:customMarkFollows="0" w:id="14"/>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35">
      <w:pPr>
        <w:numPr>
          <w:ilvl w:val="0"/>
          <w:numId w:val="1"/>
        </w:numPr>
        <w:ind w:left="720" w:hanging="360"/>
        <w:rPr>
          <w:u w:val="none"/>
        </w:rPr>
      </w:pPr>
      <w:r w:rsidDel="00000000" w:rsidR="00000000" w:rsidRPr="00000000">
        <w:rPr>
          <w:b w:val="1"/>
          <w:rtl w:val="0"/>
        </w:rPr>
        <w:t xml:space="preserve">Photography</w:t>
      </w:r>
      <w:r w:rsidDel="00000000" w:rsidR="00000000" w:rsidRPr="00000000">
        <w:rPr>
          <w:rtl w:val="0"/>
        </w:rPr>
        <w:t xml:space="preserve">: Images were taken to visually capture the sites variability, to capture a sense of the site visit and for reflection. </w:t>
      </w:r>
    </w:p>
    <w:p w:rsidR="00000000" w:rsidDel="00000000" w:rsidP="00000000" w:rsidRDefault="00000000" w:rsidRPr="00000000" w14:paraId="00000036">
      <w:pPr>
        <w:numPr>
          <w:ilvl w:val="0"/>
          <w:numId w:val="1"/>
        </w:numPr>
        <w:ind w:left="720" w:hanging="360"/>
        <w:rPr>
          <w:u w:val="none"/>
        </w:rPr>
      </w:pPr>
      <w:r w:rsidDel="00000000" w:rsidR="00000000" w:rsidRPr="00000000">
        <w:rPr>
          <w:b w:val="1"/>
          <w:rtl w:val="0"/>
        </w:rPr>
        <w:t xml:space="preserve">Theoretical Integration</w:t>
      </w:r>
      <w:r w:rsidDel="00000000" w:rsidR="00000000" w:rsidRPr="00000000">
        <w:rPr>
          <w:rtl w:val="0"/>
        </w:rPr>
        <w:t xml:space="preserve">: Observations were critically analysed in relation to the works of Eliade, Durkheim, and Tilley during fieldwork, to ground phenomenological insights with established academic frameworks </w:t>
      </w:r>
    </w:p>
    <w:p w:rsidR="00000000" w:rsidDel="00000000" w:rsidP="00000000" w:rsidRDefault="00000000" w:rsidRPr="00000000" w14:paraId="00000037">
      <w:pPr>
        <w:rPr/>
      </w:pPr>
      <w:r w:rsidDel="00000000" w:rsidR="00000000" w:rsidRPr="00000000">
        <w:rPr>
          <w:rtl w:val="0"/>
        </w:rPr>
        <w:t xml:space="preserve">Moreover, this study acknowledges the personal connection to Cefn Coch, ensuring that reflexivity enriched the analysis rather than biasing it, keeping in mind Bell’s point that in all ‘insider’ invetsiagtions, </w:t>
      </w:r>
      <w:r w:rsidDel="00000000" w:rsidR="00000000" w:rsidRPr="00000000">
        <w:rPr>
          <w:rtl w:val="0"/>
        </w:rPr>
        <w:t xml:space="preserve">“difficulties can arise if dearly held viewed and practices” </w:t>
      </w:r>
      <w:r w:rsidDel="00000000" w:rsidR="00000000" w:rsidRPr="00000000">
        <w:rPr>
          <w:rtl w:val="0"/>
        </w:rPr>
        <w:t xml:space="preserve">of participants are challenged</w:t>
      </w:r>
      <w:r w:rsidDel="00000000" w:rsidR="00000000" w:rsidRPr="00000000">
        <w:rPr>
          <w:vertAlign w:val="superscript"/>
        </w:rPr>
        <w:footnoteReference w:customMarkFollows="0" w:id="15"/>
      </w:r>
      <w:r w:rsidDel="00000000" w:rsidR="00000000" w:rsidRPr="00000000">
        <w:rPr>
          <w:rtl w:val="0"/>
        </w:rPr>
        <w:t xml:space="preserve">. Furthermore, as Tilley notes that such a notion of space is </w:t>
      </w:r>
      <w:r w:rsidDel="00000000" w:rsidR="00000000" w:rsidRPr="00000000">
        <w:rPr>
          <w:rtl w:val="0"/>
        </w:rPr>
        <w:t xml:space="preserve">“undoubtedly complex”</w:t>
      </w:r>
      <w:r w:rsidDel="00000000" w:rsidR="00000000" w:rsidRPr="00000000">
        <w:rPr>
          <w:rtl w:val="0"/>
        </w:rPr>
        <w:t xml:space="preserve"> and that there is and can be </w:t>
      </w:r>
      <w:r w:rsidDel="00000000" w:rsidR="00000000" w:rsidRPr="00000000">
        <w:rPr>
          <w:rtl w:val="0"/>
        </w:rPr>
        <w:t xml:space="preserve">“no clear-cut methodology arising from it to provide a concise guide to empirical research”</w:t>
      </w:r>
      <w:r w:rsidDel="00000000" w:rsidR="00000000" w:rsidRPr="00000000">
        <w:rPr>
          <w:rtl w:val="0"/>
        </w:rPr>
        <w:t xml:space="preserve">, this phenomenological approach to this methodology was chosen to keep the research angle open to any/all complexities which could/did arise</w:t>
      </w:r>
      <w:r w:rsidDel="00000000" w:rsidR="00000000" w:rsidRPr="00000000">
        <w:rPr>
          <w:vertAlign w:val="superscript"/>
        </w:rPr>
        <w:footnoteReference w:customMarkFollows="0" w:id="16"/>
      </w:r>
      <w:r w:rsidDel="00000000" w:rsidR="00000000" w:rsidRPr="00000000">
        <w:rPr>
          <w:rtl w:val="0"/>
        </w:rPr>
        <w:t xml:space="preserve">. </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pStyle w:val="Heading2"/>
        <w:rPr/>
      </w:pPr>
      <w:bookmarkStart w:colFirst="0" w:colLast="0" w:name="_xowfqk4qn64a" w:id="6"/>
      <w:bookmarkEnd w:id="6"/>
      <w:r w:rsidDel="00000000" w:rsidR="00000000" w:rsidRPr="00000000">
        <w:rPr>
          <w:rtl w:val="0"/>
        </w:rPr>
        <w:t xml:space="preserve">Reflexive Considerations </w:t>
      </w:r>
    </w:p>
    <w:p w:rsidR="00000000" w:rsidDel="00000000" w:rsidP="00000000" w:rsidRDefault="00000000" w:rsidRPr="00000000" w14:paraId="0000003A">
      <w:pPr>
        <w:rPr/>
      </w:pPr>
      <w:r w:rsidDel="00000000" w:rsidR="00000000" w:rsidRPr="00000000">
        <w:rPr>
          <w:rtl w:val="0"/>
        </w:rPr>
        <w:tab/>
        <w:t xml:space="preserve">As a Welsh-British caucasian woman in my mid-twenties, with a lifelong connection to Cefn Coch, my engagement with the site was shaped both by personal resonance and academic inquiry. With a connection to the site spanning to even prior to my birth, with continued visits to the stone circle, it has imbued deep personal significance to Cefn Coch; potentially, if not wholly influencing perceptions of its sacredness. Investigating these insights is important, just as Tilley notes that </w:t>
      </w:r>
      <w:r w:rsidDel="00000000" w:rsidR="00000000" w:rsidRPr="00000000">
        <w:rPr>
          <w:rtl w:val="0"/>
        </w:rPr>
        <w:t xml:space="preserve">“Spatial experience is not innocent and neutral, but invested with power relating to age, gender, social position and relationships with others”</w:t>
      </w:r>
      <w:r w:rsidDel="00000000" w:rsidR="00000000" w:rsidRPr="00000000">
        <w:rPr>
          <w:rtl w:val="0"/>
        </w:rPr>
        <w:t xml:space="preserve">, underscoring the importance of acknowledging how personal and social contexts shape the interpretation of sacred spaces, and so must be considered within the framework of this study</w:t>
      </w:r>
      <w:r w:rsidDel="00000000" w:rsidR="00000000" w:rsidRPr="00000000">
        <w:rPr>
          <w:vertAlign w:val="superscript"/>
        </w:rPr>
        <w:footnoteReference w:customMarkFollows="0" w:id="17"/>
      </w:r>
      <w:r w:rsidDel="00000000" w:rsidR="00000000" w:rsidRPr="00000000">
        <w:rPr>
          <w:rtl w:val="0"/>
        </w:rPr>
        <w:t xml:space="preserve">. Moreover, reflexivity can enable researchers to </w:t>
      </w:r>
      <w:r w:rsidDel="00000000" w:rsidR="00000000" w:rsidRPr="00000000">
        <w:rPr>
          <w:rtl w:val="0"/>
        </w:rPr>
        <w:t xml:space="preserve">critically navigate the interplay between personal experience and scholarly inquiry,</w:t>
      </w:r>
      <w:r w:rsidDel="00000000" w:rsidR="00000000" w:rsidRPr="00000000">
        <w:rPr>
          <w:rtl w:val="0"/>
        </w:rPr>
        <w:t xml:space="preserve"> highlighting the potential of personal narratives to enrich academic interpretation, provided they are balanced with critical analysis. Reflexivity enabled me to explore how personal memories intersect with collective understandings of sacredness. At the same, this research acknowledges the limitations of personal perspectives, with with my emotional responses at the site critically being contextualised within broader discussions of sacredness. This approach ensured that phenomenological insights were grounded in theoretical frameworks, avoiding the risk of conflating subjective interpretations with objective analysis. The question of ethics was also raised during this research, as according to Bell, ethical issues must be considered in </w:t>
      </w:r>
      <w:r w:rsidDel="00000000" w:rsidR="00000000" w:rsidRPr="00000000">
        <w:rPr>
          <w:rtl w:val="0"/>
        </w:rPr>
        <w:t xml:space="preserve">“all research, regardless of context”</w:t>
      </w:r>
      <w:r w:rsidDel="00000000" w:rsidR="00000000" w:rsidRPr="00000000">
        <w:rPr>
          <w:vertAlign w:val="superscript"/>
        </w:rPr>
        <w:footnoteReference w:customMarkFollows="0" w:id="18"/>
      </w:r>
      <w:r w:rsidDel="00000000" w:rsidR="00000000" w:rsidRPr="00000000">
        <w:rPr>
          <w:rtl w:val="0"/>
        </w:rPr>
        <w:t xml:space="preserve">. Ethical considerations were integral to navigating the intersection of personal experience and academic inquiring, as well for respecting the integrity of Cefn Coch and its landscape, requiring careful reflection on how the research methods my interaction and interpretation of the site. </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pStyle w:val="Heading2"/>
        <w:rPr/>
      </w:pPr>
      <w:bookmarkStart w:colFirst="0" w:colLast="0" w:name="_za2vueuztg6x" w:id="7"/>
      <w:bookmarkEnd w:id="7"/>
      <w:r w:rsidDel="00000000" w:rsidR="00000000" w:rsidRPr="00000000">
        <w:rPr>
          <w:rtl w:val="0"/>
        </w:rPr>
        <w:t xml:space="preserve">Literature Review</w:t>
      </w:r>
    </w:p>
    <w:p w:rsidR="00000000" w:rsidDel="00000000" w:rsidP="00000000" w:rsidRDefault="00000000" w:rsidRPr="00000000" w14:paraId="0000003D">
      <w:pPr>
        <w:rPr/>
      </w:pPr>
      <w:r w:rsidDel="00000000" w:rsidR="00000000" w:rsidRPr="00000000">
        <w:rPr>
          <w:rtl w:val="0"/>
        </w:rPr>
        <w:tab/>
        <w:t xml:space="preserve">Sacred spaces, as explored in this study through the works of Mircea Eliade, Emile Durkheim, and Christopher Tilley, reveal a diverse range of interpretations of their meanings and experiential dimensions. This literature review amalgamates these perspectives, contextualising them within broader discussions of sacred geography to ground them in the in this study on the question of sacredness at Cefn Coch. Additionally, critical analysis of these frameworks is integrated to a create a more comprehensive understanding of the question in hand. Eliade’s concept of hierophany, highlighted in ‘The Sacred and the Profane’ (1959), underscores the manifestation of the sacred through extraordinary natural phenomena, positing that </w:t>
      </w:r>
      <w:r w:rsidDel="00000000" w:rsidR="00000000" w:rsidRPr="00000000">
        <w:rPr>
          <w:rtl w:val="0"/>
        </w:rPr>
        <w:t xml:space="preserve">the sacred is always revealed through the extraordinary, where the natural becomes the supernatural</w:t>
      </w:r>
      <w:r w:rsidDel="00000000" w:rsidR="00000000" w:rsidRPr="00000000">
        <w:rPr>
          <w:vertAlign w:val="superscript"/>
        </w:rPr>
        <w:footnoteReference w:customMarkFollows="0" w:id="19"/>
      </w:r>
      <w:r w:rsidDel="00000000" w:rsidR="00000000" w:rsidRPr="00000000">
        <w:rPr>
          <w:rtl w:val="0"/>
        </w:rPr>
        <w:t xml:space="preserve">. This framework aligns with the natural feature of Cefn Coch, with its hilltop position with the backdrop of the Carneddau mountains, overlooking the Irish Sea, evokes awe and reverence. Eliade’s approach, however, could be critiqued for prioritising symbollics parallels and metaphysical abstraction over empirical precision and cultural specificity, risking the oversimplification of complex traditions. Eliade also relies heavily on religious and mythical texts, lacking deeper sociological ot scientific context. At Cefn Coch, the sensory dimensions of sacredness, such as the tactile interaction with the stones, and viewing the interplay of light at shadow challenge the notion of sacredness as merely revealed. These feature suggest that while natural phenomena play a role, sacredness also emerges dynamically through human interaction and perception, as Tilley emphasises. </w:t>
      </w:r>
    </w:p>
    <w:p w:rsidR="00000000" w:rsidDel="00000000" w:rsidP="00000000" w:rsidRDefault="00000000" w:rsidRPr="00000000" w14:paraId="0000003E">
      <w:pPr>
        <w:rPr/>
      </w:pPr>
      <w:r w:rsidDel="00000000" w:rsidR="00000000" w:rsidRPr="00000000">
        <w:rPr>
          <w:rtl w:val="0"/>
        </w:rPr>
        <w:tab/>
        <w:t xml:space="preserve">On the other hand, Durkheim’s perspective on the sacred, outlined in ‘The Elementary Forms of Religious Life’ (1912), frames sacredness as a social construct arising from collective practices and shared beliefs, asserting that </w:t>
      </w:r>
      <w:r w:rsidDel="00000000" w:rsidR="00000000" w:rsidRPr="00000000">
        <w:rPr>
          <w:rtl w:val="0"/>
        </w:rPr>
        <w:t xml:space="preserve">sacredness arises from the object itself from the collective representations of those who gather around it, this is similar to Amy Whitehead perspective that</w:t>
      </w:r>
      <w:r w:rsidDel="00000000" w:rsidR="00000000" w:rsidRPr="00000000">
        <w:rPr>
          <w:rtl w:val="0"/>
        </w:rPr>
        <w:t xml:space="preserve"> "Human beings are not placed; they bring place into being. Ritual...creates the sacred"</w:t>
      </w:r>
      <w:r w:rsidDel="00000000" w:rsidR="00000000" w:rsidRPr="00000000">
        <w:rPr>
          <w:vertAlign w:val="superscript"/>
        </w:rPr>
        <w:footnoteReference w:customMarkFollows="0" w:id="20"/>
      </w:r>
      <w:r w:rsidDel="00000000" w:rsidR="00000000" w:rsidRPr="00000000">
        <w:rPr>
          <w:vertAlign w:val="superscript"/>
        </w:rPr>
        <w:footnoteReference w:customMarkFollows="0" w:id="21"/>
      </w: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These perspectives are particialrly relevant to Cefn Coch, due to my personal and cultural connection to the site filled with collective memories and ritual over years of engagement with site, particularly during Solstice and Equinox events, reinforcing shared cosmologies and social cohesion. This also aligns with Brady and Gunzberg’s suggestion that as an area becomes </w:t>
      </w:r>
      <w:r w:rsidDel="00000000" w:rsidR="00000000" w:rsidRPr="00000000">
        <w:rPr>
          <w:rtl w:val="0"/>
        </w:rPr>
        <w:t xml:space="preserve">‘entwined’ with cultural layers, with humanity increasingly seeking to maintain the place names and stories of the location</w:t>
      </w:r>
      <w:r w:rsidDel="00000000" w:rsidR="00000000" w:rsidRPr="00000000">
        <w:rPr>
          <w:rtl w:val="0"/>
        </w:rPr>
        <w:t xml:space="preserve">. Durkheim also enriches his analysis of the sacred by incorporating broader comparative works by those such as Kant and Tylor. However, Durkheim relies heavily on secondhand accounts and a narrow focus on a singal cultural context, raising concerns about its limited scope, potential biases and overgeneralisation. And although Durkheim’s framework highlights the importance of communal practices in constructing sacredness, it could be critiqued for downplaying individual emotional and sensory experiences. At Cefn Coch, the ritual and gatherings at the site (both experienced and of those imagined when contemplating the past) evoke a sense of collective memory, but the individual sensory experiences recorded during the fieldwork also reveal the deeply personal dimensions of sacredness. Moreover, while Durkheim’s empirical approach is methodical, it often neglects the experiential or symbolic dimensions of sacredness that Eliade or Tilley explore.</w:t>
      </w:r>
    </w:p>
    <w:p w:rsidR="00000000" w:rsidDel="00000000" w:rsidP="00000000" w:rsidRDefault="00000000" w:rsidRPr="00000000" w14:paraId="0000003F">
      <w:pPr>
        <w:rPr/>
      </w:pPr>
      <w:r w:rsidDel="00000000" w:rsidR="00000000" w:rsidRPr="00000000">
        <w:rPr>
          <w:rtl w:val="0"/>
        </w:rPr>
        <w:tab/>
        <w:t xml:space="preserve">Tilley’s phenomenological approach bridges the divide between natural and constructed sacredness by emphasising the sensory and emotional dimensions of sacred spaces. In ‘A Phenomenology of Landscape’ (1994), Tilley suggests that what space is “depends on who is experiencing it and how”, and that sacredness arises not though any </w:t>
      </w:r>
      <w:r w:rsidDel="00000000" w:rsidR="00000000" w:rsidRPr="00000000">
        <w:rPr>
          <w:rtl w:val="0"/>
        </w:rPr>
        <w:t xml:space="preserve">“substantial essence in itself”</w:t>
      </w:r>
      <w:r w:rsidDel="00000000" w:rsidR="00000000" w:rsidRPr="00000000">
        <w:rPr>
          <w:rtl w:val="0"/>
        </w:rPr>
        <w:t xml:space="preserve"> but is created through </w:t>
      </w:r>
      <w:r w:rsidDel="00000000" w:rsidR="00000000" w:rsidRPr="00000000">
        <w:rPr>
          <w:rtl w:val="0"/>
        </w:rPr>
        <w:t xml:space="preserve">“relations between peoples and places”</w:t>
      </w:r>
      <w:r w:rsidDel="00000000" w:rsidR="00000000" w:rsidRPr="00000000">
        <w:rPr>
          <w:vertAlign w:val="superscript"/>
        </w:rPr>
        <w:footnoteReference w:customMarkFollows="0" w:id="22"/>
      </w:r>
      <w:r w:rsidDel="00000000" w:rsidR="00000000" w:rsidRPr="00000000">
        <w:rPr>
          <w:rtl w:val="0"/>
        </w:rPr>
        <w:t xml:space="preserve">.</w:t>
      </w:r>
      <w:r w:rsidDel="00000000" w:rsidR="00000000" w:rsidRPr="00000000">
        <w:rPr>
          <w:rtl w:val="0"/>
        </w:rPr>
        <w:t xml:space="preserve"> Tilley notes how changing of conditions within a space can redefine how sacred landscapes are perceived, resonating with the constrastiong field visits experienced at Cefn Coch, similar to Cassirer’s perspective that </w:t>
      </w:r>
      <w:r w:rsidDel="00000000" w:rsidR="00000000" w:rsidRPr="00000000">
        <w:rPr>
          <w:rtl w:val="0"/>
        </w:rPr>
        <w:t xml:space="preserve">"Spatial orientation is not just practical but symbolic; it structures human understanding of the cosmos, dividing sacred and profane worlds"</w:t>
      </w:r>
      <w:r w:rsidDel="00000000" w:rsidR="00000000" w:rsidRPr="00000000">
        <w:rPr>
          <w:vertAlign w:val="superscript"/>
        </w:rPr>
        <w:footnoteReference w:customMarkFollows="0" w:id="23"/>
      </w:r>
      <w:r w:rsidDel="00000000" w:rsidR="00000000" w:rsidRPr="00000000">
        <w:rPr>
          <w:rtl w:val="0"/>
        </w:rPr>
        <w:t xml:space="preserve">. By situating sensory immersion as central to the perception of sacredness, Tilley critiques Eliade’s abstraction and Durkheim’s emphasis on collective practices, offering a more integrated understanding of how sacred landscapes are experienced. This perspective aligns with Brady’s findings that humanity can be “in conversation with” mountains, that sacred landscapes are </w:t>
      </w:r>
      <w:r w:rsidDel="00000000" w:rsidR="00000000" w:rsidRPr="00000000">
        <w:rPr>
          <w:rtl w:val="0"/>
        </w:rPr>
        <w:t xml:space="preserve">continually redefined through sensory and symbolic interactions</w:t>
      </w:r>
      <w:r w:rsidDel="00000000" w:rsidR="00000000" w:rsidRPr="00000000">
        <w:rPr>
          <w:rtl w:val="0"/>
        </w:rPr>
        <w:t xml:space="preserve">, further underscoring the dynamic and relational nature of sacred spaces</w:t>
      </w:r>
      <w:r w:rsidDel="00000000" w:rsidR="00000000" w:rsidRPr="00000000">
        <w:rPr>
          <w:vertAlign w:val="superscript"/>
        </w:rPr>
        <w:footnoteReference w:customMarkFollows="0" w:id="24"/>
      </w:r>
      <w:r w:rsidDel="00000000" w:rsidR="00000000" w:rsidRPr="00000000">
        <w:rPr>
          <w:rtl w:val="0"/>
        </w:rPr>
        <w:t xml:space="preserve">. Gunzburg and Brady’s emphasis on the relational and evolving nature of sacredness critiques both Eliade and Durkheim for their static interpretations, arguing that sacredness is not static but is </w:t>
      </w:r>
      <w:r w:rsidDel="00000000" w:rsidR="00000000" w:rsidRPr="00000000">
        <w:rPr>
          <w:rtl w:val="0"/>
        </w:rPr>
        <w:t xml:space="preserve">locally constructed through interactions between people, place and time</w:t>
      </w:r>
      <w:r w:rsidDel="00000000" w:rsidR="00000000" w:rsidRPr="00000000">
        <w:rPr>
          <w:vertAlign w:val="superscript"/>
        </w:rPr>
        <w:footnoteReference w:customMarkFollows="0" w:id="25"/>
      </w:r>
      <w:r w:rsidDel="00000000" w:rsidR="00000000" w:rsidRPr="00000000">
        <w:rPr>
          <w:rtl w:val="0"/>
        </w:rPr>
        <w:t xml:space="preserve">. This perspective is relevant to regional sites like Cefn Coch which challenge the dominance of monumental sacred landscapes and sites in much of scholarly discourse on the matter. Unlike sites such as Stonehenge or Newgrange, Cefn Coch represents a localised expression of sacredness rooted in its integration with the natural environment and personal narratives. While this research provides a snapshot of Cefn Coch’s sacredness, future studies could explore its perception across longer time periods or seasons to further illuminate its dynamic qualities. Together, by synthsising Eliade’s focus on natural phenomena, Durkheim’s emphasis on collective rituals and Tilley’s sensory phenomenology, this literature review aims to establish a comprehensive framework for interpreting the sacredness of Cefn Coch, demonstrating that sacredness is not a static attribute but emerges relartionally through interactions between natural features, culture and sensory experience.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pStyle w:val="Heading2"/>
        <w:rPr/>
      </w:pPr>
      <w:bookmarkStart w:colFirst="0" w:colLast="0" w:name="_5g19gxlvrtu" w:id="8"/>
      <w:bookmarkEnd w:id="8"/>
      <w:r w:rsidDel="00000000" w:rsidR="00000000" w:rsidRPr="00000000">
        <w:rPr>
          <w:rtl w:val="0"/>
        </w:rPr>
        <w:t xml:space="preserve">Phenomenological Fieldwork</w:t>
      </w:r>
    </w:p>
    <w:p w:rsidR="00000000" w:rsidDel="00000000" w:rsidP="00000000" w:rsidRDefault="00000000" w:rsidRPr="00000000" w14:paraId="00000042">
      <w:pPr>
        <w:rPr/>
      </w:pPr>
      <w:r w:rsidDel="00000000" w:rsidR="00000000" w:rsidRPr="00000000">
        <w:rPr>
          <w:rtl w:val="0"/>
        </w:rPr>
        <w:tab/>
        <w:t xml:space="preserve">Fieldwork at Cefn Coch aimed to explore the interplay of natural, constructed, and lived dimensions of sacredness through a phenomenological lens, using Christopher Tilley’s assertion that sacredness emerges through the interaction of human perception and materiality as a guiding framework for this explorations, and keeping in mind all over academic perspectives previously mentioned in this report. This sectiondetails the findings and theoretical integration from the wto site visits to Cefn Coch on Decemeber 27th and 29th 2024, following the postponement of the earlier planned winter solstice visit due to severe weather conditions. The phenomenological research highlighted four main themes: enironmental variability, sensory engagement, sacredness and personal connection, and temporal contexts. These themes will explored respectively below. </w:t>
      </w:r>
    </w:p>
    <w:p w:rsidR="00000000" w:rsidDel="00000000" w:rsidP="00000000" w:rsidRDefault="00000000" w:rsidRPr="00000000" w14:paraId="00000043">
      <w:pPr>
        <w:rPr/>
      </w:pPr>
      <w:r w:rsidDel="00000000" w:rsidR="00000000" w:rsidRPr="00000000">
        <w:rPr/>
        <w:drawing>
          <wp:inline distB="114300" distT="114300" distL="114300" distR="114300">
            <wp:extent cx="5943600" cy="4457700"/>
            <wp:effectExtent b="0" l="0" r="0" t="0"/>
            <wp:docPr id="7" name="image8.jpg"/>
            <a:graphic>
              <a:graphicData uri="http://schemas.openxmlformats.org/drawingml/2006/picture">
                <pic:pic>
                  <pic:nvPicPr>
                    <pic:cNvPr id="0" name="image8.jpg"/>
                    <pic:cNvPicPr preferRelativeResize="0"/>
                  </pic:nvPicPr>
                  <pic:blipFill>
                    <a:blip r:embed="rId8"/>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tbl>
      <w:tblPr>
        <w:tblStyle w:val="Table1"/>
        <w:tblW w:w="10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00"/>
        <w:tblGridChange w:id="0">
          <w:tblGrid>
            <w:gridCol w:w="10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Image 1: view of the landscape on which Cefn Coch stands prior to walking up to the site on 29th December 2024</w:t>
            </w:r>
          </w:p>
        </w:tc>
      </w:tr>
    </w:tbl>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rtl w:val="0"/>
        </w:rPr>
      </w:r>
    </w:p>
    <w:p w:rsidR="00000000" w:rsidDel="00000000" w:rsidP="00000000" w:rsidRDefault="00000000" w:rsidRPr="00000000" w14:paraId="00000048">
      <w:pPr>
        <w:rPr>
          <w:b w:val="1"/>
        </w:rPr>
      </w:pPr>
      <w:r w:rsidDel="00000000" w:rsidR="00000000" w:rsidRPr="00000000">
        <w:rPr>
          <w:b w:val="1"/>
          <w:rtl w:val="0"/>
        </w:rPr>
        <w:t xml:space="preserve">Environmental Variability </w:t>
      </w:r>
    </w:p>
    <w:p w:rsidR="00000000" w:rsidDel="00000000" w:rsidP="00000000" w:rsidRDefault="00000000" w:rsidRPr="00000000" w14:paraId="00000049">
      <w:pPr>
        <w:rPr/>
      </w:pPr>
      <w:r w:rsidDel="00000000" w:rsidR="00000000" w:rsidRPr="00000000">
        <w:rPr>
          <w:rtl w:val="0"/>
        </w:rPr>
        <w:tab/>
        <w:t xml:space="preserve">The contrasting weather conditions during the two visits highlighted the profound impact of environmental factors on the perception of sacredness. The first visit occurred under dense fog, creating an intimate and enclosed atmosphere that isolated the stone circle from its broader landscape, acting as a natural barrier, intensifying the tactile and auditory engagement with the site. A particularly extraordinary moment occurred when reaching the site as a rainbow arcced through the mist perfectling encapsulating the stones, emphasising an a mystical and profound quality to the site’s experience, aligning with Eliade’s notion that “Every sacred space implies a hierophany, an irruption of the sacred that results in detaching a territory from the surrounding cosmic milieu and making it qualitatively different</w:t>
      </w:r>
      <w:r w:rsidDel="00000000" w:rsidR="00000000" w:rsidRPr="00000000">
        <w:rPr>
          <w:vertAlign w:val="superscript"/>
        </w:rPr>
        <w:footnoteReference w:customMarkFollows="0" w:id="26"/>
      </w:r>
      <w:r w:rsidDel="00000000" w:rsidR="00000000" w:rsidRPr="00000000">
        <w:rPr>
          <w:rtl w:val="0"/>
        </w:rPr>
        <w:t xml:space="preserve">. In contrast, the second visit to the site occurred at sunset, offering sweeping views of the Carneddau mountains, the Irish Sea and Puffin Island. The changing light highlighted the interplay of natural and constructed elements, casting elongated shadows of the stones across the landscape. This openness of the landscape invited reflection on the site’s integration with its environment, echoed in me Tilley’s observation that </w:t>
      </w:r>
      <w:r w:rsidDel="00000000" w:rsidR="00000000" w:rsidRPr="00000000">
        <w:rPr>
          <w:rtl w:val="0"/>
        </w:rPr>
        <w:t xml:space="preserve">“A fundamental part of daily experience in non-industrial societies is the physical and biological experience of the landscape</w:t>
      </w:r>
      <w:r w:rsidDel="00000000" w:rsidR="00000000" w:rsidRPr="00000000">
        <w:rPr>
          <w:rtl w:val="0"/>
        </w:rPr>
        <w:t xml:space="preserve">”, urging me to contemplate a deeper conenction with my own local landscape, including that of Cefn Coch</w:t>
      </w:r>
      <w:r w:rsidDel="00000000" w:rsidR="00000000" w:rsidRPr="00000000">
        <w:rPr>
          <w:vertAlign w:val="superscript"/>
        </w:rPr>
        <w:footnoteReference w:customMarkFollows="0" w:id="27"/>
      </w:r>
      <w:r w:rsidDel="00000000" w:rsidR="00000000" w:rsidRPr="00000000">
        <w:rPr>
          <w:rtl w:val="0"/>
        </w:rPr>
        <w:t xml:space="preserve">.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drawing>
          <wp:inline distB="114300" distT="114300" distL="114300" distR="114300">
            <wp:extent cx="5943600" cy="4457700"/>
            <wp:effectExtent b="0" l="0" r="0" t="0"/>
            <wp:docPr id="1"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tbl>
      <w:tblPr>
        <w:tblStyle w:val="Table2"/>
        <w:tblW w:w="10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00"/>
        <w:tblGridChange w:id="0">
          <w:tblGrid>
            <w:gridCol w:w="10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Image 2: view of the rainbow over the lithic circle on the 27th December 2024. </w:t>
            </w:r>
          </w:p>
        </w:tc>
      </w:tr>
    </w:tbl>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drawing>
          <wp:inline distB="114300" distT="114300" distL="114300" distR="114300">
            <wp:extent cx="5943600" cy="4457700"/>
            <wp:effectExtent b="0" l="0" r="0" t="0"/>
            <wp:docPr id="4"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tbl>
      <w:tblPr>
        <w:tblStyle w:val="Table3"/>
        <w:tblW w:w="10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00"/>
        <w:tblGridChange w:id="0">
          <w:tblGrid>
            <w:gridCol w:w="10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Image 3: view from the circle from a similar angle (although further within the circle) to image 2, from 29th December 2024.</w:t>
            </w:r>
          </w:p>
        </w:tc>
      </w:tr>
    </w:tbl>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b w:val="1"/>
        </w:rPr>
      </w:pPr>
      <w:r w:rsidDel="00000000" w:rsidR="00000000" w:rsidRPr="00000000">
        <w:rPr>
          <w:rtl w:val="0"/>
        </w:rPr>
      </w:r>
    </w:p>
    <w:p w:rsidR="00000000" w:rsidDel="00000000" w:rsidP="00000000" w:rsidRDefault="00000000" w:rsidRPr="00000000" w14:paraId="00000054">
      <w:pPr>
        <w:rPr>
          <w:b w:val="1"/>
        </w:rPr>
      </w:pPr>
      <w:r w:rsidDel="00000000" w:rsidR="00000000" w:rsidRPr="00000000">
        <w:rPr>
          <w:b w:val="1"/>
          <w:rtl w:val="0"/>
        </w:rPr>
        <w:t xml:space="preserve">Sensory Engagement</w:t>
      </w:r>
    </w:p>
    <w:p w:rsidR="00000000" w:rsidDel="00000000" w:rsidP="00000000" w:rsidRDefault="00000000" w:rsidRPr="00000000" w14:paraId="00000055">
      <w:pPr>
        <w:rPr/>
      </w:pPr>
      <w:r w:rsidDel="00000000" w:rsidR="00000000" w:rsidRPr="00000000">
        <w:rPr>
          <w:rtl w:val="0"/>
        </w:rPr>
        <w:tab/>
        <w:t xml:space="preserve">Central to this phenomenological approach was the sensory immersion, capturing how sacredness is experienced through touch, smell, sight and sound, just as how Tilley emphasises that to truly understand a landscape it must be felt and and conveyed to others. The dense fog of the first visit honed in on the intimate experience with the site itself, and the rough, lichen-covered stones became central to the sensory experience, evoking a sense of reverence and mystery. The earthy moist petrichor smell grounded me in my experience with the environment, and the sound of muffled chirping of unseen birds created an overall intimate and profound sensory experience full of contemplation and reverence. The second visit introduced a contrasting sensory experience, as the clarity of the clear skies and sunset revealed new details in the stones’ contours and textures, especially as the light slowly started to slip away, accentuating new parts of the stones. The stones were now colder to the touch and although the skies were clear, high winds enveloped the ears with intense whooshing, overwhelming all other auditory stimuli, isolating me in the moment, environment and landscape, leaving me unable to talk with the partner whom I’d travelled with, leading me instead to more inward reflection. </w:t>
      </w:r>
    </w:p>
    <w:p w:rsidR="00000000" w:rsidDel="00000000" w:rsidP="00000000" w:rsidRDefault="00000000" w:rsidRPr="00000000" w14:paraId="00000056">
      <w:pPr>
        <w:rPr/>
      </w:pPr>
      <w:r w:rsidDel="00000000" w:rsidR="00000000" w:rsidRPr="00000000">
        <w:rPr/>
        <w:drawing>
          <wp:inline distB="114300" distT="114300" distL="114300" distR="114300">
            <wp:extent cx="5943600" cy="7924800"/>
            <wp:effectExtent b="0" l="0" r="0" t="0"/>
            <wp:docPr id="9" name="image9.jpg"/>
            <a:graphic>
              <a:graphicData uri="http://schemas.openxmlformats.org/drawingml/2006/picture">
                <pic:pic>
                  <pic:nvPicPr>
                    <pic:cNvPr id="0" name="image9.jpg"/>
                    <pic:cNvPicPr preferRelativeResize="0"/>
                  </pic:nvPicPr>
                  <pic:blipFill>
                    <a:blip r:embed="rId11"/>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rPr>
          <w:b w:val="1"/>
        </w:rPr>
      </w:pPr>
      <w:r w:rsidDel="00000000" w:rsidR="00000000" w:rsidRPr="00000000">
        <w:rPr>
          <w:rtl w:val="0"/>
        </w:rPr>
      </w:r>
    </w:p>
    <w:tbl>
      <w:tblPr>
        <w:tblStyle w:val="Table4"/>
        <w:tblW w:w="10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00"/>
        <w:tblGridChange w:id="0">
          <w:tblGrid>
            <w:gridCol w:w="10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Image 4: sensory engagement with the stones on 27th December 2024, showing the rough lichen covered stones texture.</w:t>
            </w:r>
          </w:p>
        </w:tc>
      </w:tr>
    </w:tbl>
    <w:p w:rsidR="00000000" w:rsidDel="00000000" w:rsidP="00000000" w:rsidRDefault="00000000" w:rsidRPr="00000000" w14:paraId="00000059">
      <w:pPr>
        <w:rPr>
          <w:b w:val="1"/>
        </w:rPr>
      </w:pPr>
      <w:r w:rsidDel="00000000" w:rsidR="00000000" w:rsidRPr="00000000">
        <w:rPr>
          <w:rtl w:val="0"/>
        </w:rPr>
      </w:r>
    </w:p>
    <w:p w:rsidR="00000000" w:rsidDel="00000000" w:rsidP="00000000" w:rsidRDefault="00000000" w:rsidRPr="00000000" w14:paraId="0000005A">
      <w:pPr>
        <w:rPr>
          <w:b w:val="1"/>
        </w:rPr>
      </w:pPr>
      <w:r w:rsidDel="00000000" w:rsidR="00000000" w:rsidRPr="00000000">
        <w:rPr/>
        <w:drawing>
          <wp:inline distB="114300" distT="114300" distL="114300" distR="114300">
            <wp:extent cx="5943600" cy="7924800"/>
            <wp:effectExtent b="0" l="0" r="0" t="0"/>
            <wp:docPr id="2" name="image7.jpg"/>
            <a:graphic>
              <a:graphicData uri="http://schemas.openxmlformats.org/drawingml/2006/picture">
                <pic:pic>
                  <pic:nvPicPr>
                    <pic:cNvPr id="0" name="image7.jpg"/>
                    <pic:cNvPicPr preferRelativeResize="0"/>
                  </pic:nvPicPr>
                  <pic:blipFill>
                    <a:blip r:embed="rId12"/>
                    <a:srcRect b="0" l="0" r="0" t="0"/>
                    <a:stretch>
                      <a:fillRect/>
                    </a:stretch>
                  </pic:blipFill>
                  <pic:spPr>
                    <a:xfrm>
                      <a:off x="0" y="0"/>
                      <a:ext cx="5943600" cy="7924800"/>
                    </a:xfrm>
                    <a:prstGeom prst="rect"/>
                    <a:ln/>
                  </pic:spPr>
                </pic:pic>
              </a:graphicData>
            </a:graphic>
          </wp:inline>
        </w:drawing>
      </w:r>
      <w:r w:rsidDel="00000000" w:rsidR="00000000" w:rsidRPr="00000000">
        <w:rPr>
          <w:rtl w:val="0"/>
        </w:rPr>
      </w:r>
    </w:p>
    <w:p w:rsidR="00000000" w:rsidDel="00000000" w:rsidP="00000000" w:rsidRDefault="00000000" w:rsidRPr="00000000" w14:paraId="0000005B">
      <w:pPr>
        <w:rPr>
          <w:b w:val="1"/>
        </w:rPr>
      </w:pPr>
      <w:r w:rsidDel="00000000" w:rsidR="00000000" w:rsidRPr="00000000">
        <w:rPr>
          <w:rtl w:val="0"/>
        </w:rPr>
      </w:r>
    </w:p>
    <w:tbl>
      <w:tblPr>
        <w:tblStyle w:val="Table5"/>
        <w:tblW w:w="10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00"/>
        <w:tblGridChange w:id="0">
          <w:tblGrid>
            <w:gridCol w:w="10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Image 5: sensory engagement with the stones on 29th December 2024.</w:t>
            </w:r>
          </w:p>
        </w:tc>
      </w:tr>
    </w:tbl>
    <w:p w:rsidR="00000000" w:rsidDel="00000000" w:rsidP="00000000" w:rsidRDefault="00000000" w:rsidRPr="00000000" w14:paraId="0000005D">
      <w:pPr>
        <w:rPr>
          <w:b w:val="1"/>
        </w:rPr>
      </w:pPr>
      <w:r w:rsidDel="00000000" w:rsidR="00000000" w:rsidRPr="00000000">
        <w:rPr>
          <w:rtl w:val="0"/>
        </w:rPr>
      </w:r>
    </w:p>
    <w:p w:rsidR="00000000" w:rsidDel="00000000" w:rsidP="00000000" w:rsidRDefault="00000000" w:rsidRPr="00000000" w14:paraId="0000005E">
      <w:pPr>
        <w:rPr>
          <w:b w:val="1"/>
        </w:rPr>
      </w:pPr>
      <w:r w:rsidDel="00000000" w:rsidR="00000000" w:rsidRPr="00000000">
        <w:rPr>
          <w:rtl w:val="0"/>
        </w:rPr>
      </w:r>
    </w:p>
    <w:p w:rsidR="00000000" w:rsidDel="00000000" w:rsidP="00000000" w:rsidRDefault="00000000" w:rsidRPr="00000000" w14:paraId="0000005F">
      <w:pPr>
        <w:rPr>
          <w:b w:val="1"/>
        </w:rPr>
      </w:pPr>
      <w:r w:rsidDel="00000000" w:rsidR="00000000" w:rsidRPr="00000000">
        <w:rPr>
          <w:b w:val="1"/>
          <w:rtl w:val="0"/>
        </w:rPr>
        <w:t xml:space="preserve">Sacredness and Personal Connection</w:t>
      </w:r>
    </w:p>
    <w:p w:rsidR="00000000" w:rsidDel="00000000" w:rsidP="00000000" w:rsidRDefault="00000000" w:rsidRPr="00000000" w14:paraId="00000060">
      <w:pPr>
        <w:rPr/>
      </w:pPr>
      <w:r w:rsidDel="00000000" w:rsidR="00000000" w:rsidRPr="00000000">
        <w:rPr>
          <w:rtl w:val="0"/>
        </w:rPr>
        <w:tab/>
        <w:t xml:space="preserve"> Personal narratives added a deeply reflexive dimension to the fieldwork. Reflecting on my mother’s visits to Cefn Coch during her pregnancy with me, the site became a vessel of inherited meaning, where familial history intertwined with the physical landscape, leading me to contemplate Brady and Gunzberg’s insight that “in producing, constructing, contesting and imagining sites the position, value and meaning” can be held by the individual as “special and different”</w:t>
      </w:r>
      <w:r w:rsidDel="00000000" w:rsidR="00000000" w:rsidRPr="00000000">
        <w:rPr>
          <w:vertAlign w:val="superscript"/>
        </w:rPr>
        <w:footnoteReference w:customMarkFollows="0" w:id="28"/>
      </w:r>
      <w:r w:rsidDel="00000000" w:rsidR="00000000" w:rsidRPr="00000000">
        <w:rPr>
          <w:rtl w:val="0"/>
        </w:rPr>
        <w:t xml:space="preserve">. This connection exemplifies how sacredness can be shaped heavily by individual and collective dimensions. Imagining the historical use of the site added another layer of interpretation, as contemplating my only familial history to the site this caused me to contemplate further into the past, considering how generations before me, a similar outcome could have occurred, perpetuating the sites apparent sacredness, becoming inherited, similar to Durkheims perspective. </w:t>
      </w:r>
    </w:p>
    <w:p w:rsidR="00000000" w:rsidDel="00000000" w:rsidP="00000000" w:rsidRDefault="00000000" w:rsidRPr="00000000" w14:paraId="00000061">
      <w:pPr>
        <w:rPr/>
      </w:pPr>
      <w:r w:rsidDel="00000000" w:rsidR="00000000" w:rsidRPr="00000000">
        <w:rPr/>
        <w:drawing>
          <wp:inline distB="114300" distT="114300" distL="114300" distR="114300">
            <wp:extent cx="5943600" cy="4457700"/>
            <wp:effectExtent b="0" l="0" r="0" t="0"/>
            <wp:docPr id="6" name="image6.jpg"/>
            <a:graphic>
              <a:graphicData uri="http://schemas.openxmlformats.org/drawingml/2006/picture">
                <pic:pic>
                  <pic:nvPicPr>
                    <pic:cNvPr id="0" name="image6.jpg"/>
                    <pic:cNvPicPr preferRelativeResize="0"/>
                  </pic:nvPicPr>
                  <pic:blipFill>
                    <a:blip r:embed="rId13"/>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rPr>
          <w:b w:val="1"/>
        </w:rPr>
      </w:pPr>
      <w:r w:rsidDel="00000000" w:rsidR="00000000" w:rsidRPr="00000000">
        <w:rPr>
          <w:rtl w:val="0"/>
        </w:rPr>
      </w:r>
    </w:p>
    <w:tbl>
      <w:tblPr>
        <w:tblStyle w:val="Table6"/>
        <w:tblW w:w="10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00"/>
        <w:tblGridChange w:id="0">
          <w:tblGrid>
            <w:gridCol w:w="10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Image 6: image of the central fire pit within the stone circle taken 29th December 2024, sparking contemplation of past and contemporary ritual at the site.</w:t>
            </w:r>
          </w:p>
        </w:tc>
      </w:tr>
    </w:tbl>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b w:val="1"/>
        </w:rPr>
      </w:pPr>
      <w:r w:rsidDel="00000000" w:rsidR="00000000" w:rsidRPr="00000000">
        <w:rPr>
          <w:b w:val="1"/>
          <w:rtl w:val="0"/>
        </w:rPr>
        <w:t xml:space="preserve">Temporal Contexts</w:t>
      </w:r>
    </w:p>
    <w:p w:rsidR="00000000" w:rsidDel="00000000" w:rsidP="00000000" w:rsidRDefault="00000000" w:rsidRPr="00000000" w14:paraId="00000066">
      <w:pPr>
        <w:rPr/>
      </w:pPr>
      <w:r w:rsidDel="00000000" w:rsidR="00000000" w:rsidRPr="00000000">
        <w:rPr>
          <w:rtl w:val="0"/>
        </w:rPr>
        <w:tab/>
        <w:t xml:space="preserve">Time played a significant role in shaping the perception of sacredness at Cefn Coch. Although the fieldwork did not coincide with the winter solstice, the proximity to this symbolic date imbued the visits with reflective meaning. Solstices mark transitional thresholds where </w:t>
      </w:r>
      <w:r w:rsidDel="00000000" w:rsidR="00000000" w:rsidRPr="00000000">
        <w:rPr>
          <w:rtl w:val="0"/>
        </w:rPr>
        <w:t xml:space="preserve">time and place align to invite human reflection and connection to the cosmos, which is why the winter solstice was chosen for this fieldwork, aiming to add more contemplative dimensions on such a poignant temporal threshold. However, since this was unsuccessful nad unfeasable due to unsafe weather conditions - highlighting the downside to reliance on specific dates and small-scale studies - two dates in close proximity to the originally proposed date were chosen, which still allowed contemplation on the meaning of the solstice, with the knowing of brighter days ahead. This also added further depth by showing the contrast in time of day and therefore play of light an shadow, colour, temperature, and inward contemplation all added to a shift in perspectives and ways in which the ‘sacredness’ was perceived, showing how differing temporal contexts imbue the idea of sacredness with differing degrees. </w:t>
      </w:r>
    </w:p>
    <w:p w:rsidR="00000000" w:rsidDel="00000000" w:rsidP="00000000" w:rsidRDefault="00000000" w:rsidRPr="00000000" w14:paraId="00000067">
      <w:pPr>
        <w:rPr/>
      </w:pPr>
      <w:r w:rsidDel="00000000" w:rsidR="00000000" w:rsidRPr="00000000">
        <w:rPr>
          <w:rtl w:val="0"/>
        </w:rPr>
        <w:tab/>
        <w:t xml:space="preserve"> Moreover, as previously mentioned, ethical considerations were integral to this fieldwork, ensuring that the site’s integrity was respected and personal narratives were critically contextualised. Reflexivity allowed me to navigate the intersection of personal insight and scholarly rigour,  as cautioned by Tilley that an uncritical reliance on personal narratives can risk conflating experiences with academic soundness. Journaling and photography were conducted with the aim of capturing sensory and environmental nuances without disrupting the site’s natural or cultural significance. Overall, the phenomenological fieldwork at Cefn Coch revealed that sacredness is not a static attribute but a dynamic relationship shaped by environmental variability, sensory engagement, personal and cultural narratives, and temporal rhythms. Brady’s assertion that sacred landscapes are created through the convergence of human interactions, natural features and temporal changes encapsulates the findings, emphasising the relational nature of sacredness. The contrasting experiences of fog and sunset demonstrated how environmental and sensory conditions influence the perception of sacredness, while reflexivity ensured that personal insights were critically integrated into the broader discourse on sacred landscapes.</w:t>
      </w:r>
    </w:p>
    <w:p w:rsidR="00000000" w:rsidDel="00000000" w:rsidP="00000000" w:rsidRDefault="00000000" w:rsidRPr="00000000" w14:paraId="00000068">
      <w:pPr>
        <w:rPr/>
      </w:pPr>
      <w:r w:rsidDel="00000000" w:rsidR="00000000" w:rsidRPr="00000000">
        <w:rPr/>
        <w:drawing>
          <wp:inline distB="114300" distT="114300" distL="114300" distR="114300">
            <wp:extent cx="5943600" cy="4457700"/>
            <wp:effectExtent b="0" l="0" r="0" t="0"/>
            <wp:docPr id="8" name="image2.jpg"/>
            <a:graphic>
              <a:graphicData uri="http://schemas.openxmlformats.org/drawingml/2006/picture">
                <pic:pic>
                  <pic:nvPicPr>
                    <pic:cNvPr id="0" name="image2.jpg"/>
                    <pic:cNvPicPr preferRelativeResize="0"/>
                  </pic:nvPicPr>
                  <pic:blipFill>
                    <a:blip r:embed="rId14"/>
                    <a:srcRect b="0" l="0" r="0" t="0"/>
                    <a:stretch>
                      <a:fillRect/>
                    </a:stretch>
                  </pic:blipFill>
                  <pic:spPr>
                    <a:xfrm>
                      <a:off x="0" y="0"/>
                      <a:ext cx="5943600" cy="4457700"/>
                    </a:xfrm>
                    <a:prstGeom prst="rect"/>
                    <a:ln/>
                  </pic:spPr>
                </pic:pic>
              </a:graphicData>
            </a:graphic>
          </wp:inline>
        </w:drawing>
      </w:r>
      <w:r w:rsidDel="00000000" w:rsidR="00000000" w:rsidRPr="00000000">
        <w:rPr>
          <w:rtl w:val="0"/>
        </w:rPr>
      </w:r>
    </w:p>
    <w:tbl>
      <w:tblPr>
        <w:tblStyle w:val="Table7"/>
        <w:tblW w:w="10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00"/>
        <w:tblGridChange w:id="0">
          <w:tblGrid>
            <w:gridCol w:w="10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spacing w:line="240" w:lineRule="auto"/>
              <w:rPr/>
            </w:pPr>
            <w:r w:rsidDel="00000000" w:rsidR="00000000" w:rsidRPr="00000000">
              <w:rPr>
                <w:rtl w:val="0"/>
              </w:rPr>
              <w:t xml:space="preserve">Image 7: view of the stone circle 29th December 2024</w:t>
            </w:r>
            <w:r w:rsidDel="00000000" w:rsidR="00000000" w:rsidRPr="00000000">
              <w:rPr>
                <w:rtl w:val="0"/>
              </w:rPr>
            </w:r>
          </w:p>
        </w:tc>
      </w:tr>
    </w:tbl>
    <w:p w:rsidR="00000000" w:rsidDel="00000000" w:rsidP="00000000" w:rsidRDefault="00000000" w:rsidRPr="00000000" w14:paraId="0000006A">
      <w:pPr>
        <w:pStyle w:val="Heading2"/>
        <w:keepNext w:val="0"/>
        <w:keepLines w:val="0"/>
        <w:spacing w:after="0" w:before="0" w:lineRule="auto"/>
        <w:rPr/>
      </w:pPr>
      <w:bookmarkStart w:colFirst="0" w:colLast="0" w:name="_pjnc9uxsi2wa" w:id="9"/>
      <w:bookmarkEnd w:id="9"/>
      <w:r w:rsidDel="00000000" w:rsidR="00000000" w:rsidRPr="00000000">
        <w:rPr>
          <w:rtl w:val="0"/>
        </w:rPr>
      </w:r>
    </w:p>
    <w:p w:rsidR="00000000" w:rsidDel="00000000" w:rsidP="00000000" w:rsidRDefault="00000000" w:rsidRPr="00000000" w14:paraId="0000006B">
      <w:pPr>
        <w:pStyle w:val="Heading2"/>
        <w:keepNext w:val="0"/>
        <w:keepLines w:val="0"/>
        <w:spacing w:after="0" w:before="0" w:lineRule="auto"/>
        <w:rPr/>
      </w:pPr>
      <w:bookmarkStart w:colFirst="0" w:colLast="0" w:name="_7mhs8kms5o7r" w:id="10"/>
      <w:bookmarkEnd w:id="10"/>
      <w:r w:rsidDel="00000000" w:rsidR="00000000" w:rsidRPr="00000000">
        <w:rPr>
          <w:sz w:val="22"/>
          <w:szCs w:val="22"/>
        </w:rPr>
        <w:drawing>
          <wp:inline distB="114300" distT="114300" distL="114300" distR="114300">
            <wp:extent cx="5943600" cy="4457700"/>
            <wp:effectExtent b="0" l="0" r="0" t="0"/>
            <wp:docPr id="5" name="image5.jpg"/>
            <a:graphic>
              <a:graphicData uri="http://schemas.openxmlformats.org/drawingml/2006/picture">
                <pic:pic>
                  <pic:nvPicPr>
                    <pic:cNvPr id="0" name="image5.jpg"/>
                    <pic:cNvPicPr preferRelativeResize="0"/>
                  </pic:nvPicPr>
                  <pic:blipFill>
                    <a:blip r:embed="rId15"/>
                    <a:srcRect b="0" l="0" r="0" t="0"/>
                    <a:stretch>
                      <a:fillRect/>
                    </a:stretch>
                  </pic:blipFill>
                  <pic:spPr>
                    <a:xfrm>
                      <a:off x="0" y="0"/>
                      <a:ext cx="5943600" cy="4457700"/>
                    </a:xfrm>
                    <a:prstGeom prst="rect"/>
                    <a:ln/>
                  </pic:spPr>
                </pic:pic>
              </a:graphicData>
            </a:graphic>
          </wp:inline>
        </w:drawing>
      </w:r>
      <w:r w:rsidDel="00000000" w:rsidR="00000000" w:rsidRPr="00000000">
        <w:rPr>
          <w:rtl w:val="0"/>
        </w:rPr>
      </w:r>
    </w:p>
    <w:tbl>
      <w:tblPr>
        <w:tblStyle w:val="Table8"/>
        <w:tblW w:w="1000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0000"/>
        <w:tblGridChange w:id="0">
          <w:tblGrid>
            <w:gridCol w:w="10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spacing w:line="240" w:lineRule="auto"/>
              <w:rPr/>
            </w:pPr>
            <w:r w:rsidDel="00000000" w:rsidR="00000000" w:rsidRPr="00000000">
              <w:rPr>
                <w:rtl w:val="0"/>
              </w:rPr>
              <w:t xml:space="preserve">Image 8: view of the stone circle starting to emerge behind the fog and morning sun 27th December 2024.</w:t>
            </w:r>
            <w:r w:rsidDel="00000000" w:rsidR="00000000" w:rsidRPr="00000000">
              <w:rPr>
                <w:rtl w:val="0"/>
              </w:rPr>
            </w:r>
          </w:p>
        </w:tc>
      </w:tr>
    </w:tbl>
    <w:p w:rsidR="00000000" w:rsidDel="00000000" w:rsidP="00000000" w:rsidRDefault="00000000" w:rsidRPr="00000000" w14:paraId="0000006D">
      <w:pPr>
        <w:pStyle w:val="Heading2"/>
        <w:rPr/>
      </w:pPr>
      <w:bookmarkStart w:colFirst="0" w:colLast="0" w:name="_lkwjzwtnwdlp" w:id="11"/>
      <w:bookmarkEnd w:id="11"/>
      <w:r w:rsidDel="00000000" w:rsidR="00000000" w:rsidRPr="00000000">
        <w:rPr>
          <w:rtl w:val="0"/>
        </w:rPr>
      </w:r>
    </w:p>
    <w:p w:rsidR="00000000" w:rsidDel="00000000" w:rsidP="00000000" w:rsidRDefault="00000000" w:rsidRPr="00000000" w14:paraId="0000006E">
      <w:pPr>
        <w:pStyle w:val="Heading2"/>
        <w:rPr/>
      </w:pPr>
      <w:bookmarkStart w:colFirst="0" w:colLast="0" w:name="_lobmjj5ixjtw" w:id="12"/>
      <w:bookmarkEnd w:id="12"/>
      <w:r w:rsidDel="00000000" w:rsidR="00000000" w:rsidRPr="00000000">
        <w:rPr>
          <w:rtl w:val="0"/>
        </w:rPr>
        <w:t xml:space="preserve">Discussion and Final Thoughts </w:t>
      </w:r>
    </w:p>
    <w:p w:rsidR="00000000" w:rsidDel="00000000" w:rsidP="00000000" w:rsidRDefault="00000000" w:rsidRPr="00000000" w14:paraId="0000006F">
      <w:pPr>
        <w:rPr/>
      </w:pPr>
      <w:r w:rsidDel="00000000" w:rsidR="00000000" w:rsidRPr="00000000">
        <w:rPr>
          <w:rtl w:val="0"/>
        </w:rPr>
        <w:tab/>
        <w:t xml:space="preserve">The exploration of sacredness at Cefn Coch has revealed a multifaceted phenomenon shaped by the interplay of natural features, human intention, and sensory engagement. This study critically examined whether sacred space is a human construct, a natural phenomenon, or a synthesis of both, using the theoretical perspectives of Mircea Eliade, Emile Durkheim, and Christopher Tilley. Through fieldwork and theoretical analysis, it becomes evident that sacredness at Cefn Coch emerges relationally, dynamically evolving through environmental variability, lived experiences, and cultural interpretations. Eliade’s concept of hierophany emphasizes the sacred as revealed through extraordinary natural phenomena, asserting that </w:t>
      </w:r>
      <w:r w:rsidDel="00000000" w:rsidR="00000000" w:rsidRPr="00000000">
        <w:rPr>
          <w:rtl w:val="0"/>
        </w:rPr>
        <w:t xml:space="preserve">the sacred always manifests itself as a reality of a wholly different order from ‘natural’ realities</w:t>
      </w:r>
      <w:r w:rsidDel="00000000" w:rsidR="00000000" w:rsidRPr="00000000">
        <w:rPr>
          <w:vertAlign w:val="superscript"/>
        </w:rPr>
        <w:footnoteReference w:customMarkFollows="0" w:id="29"/>
      </w:r>
      <w:r w:rsidDel="00000000" w:rsidR="00000000" w:rsidRPr="00000000">
        <w:rPr>
          <w:rtl w:val="0"/>
        </w:rPr>
        <w:t xml:space="preserve">. </w:t>
      </w:r>
      <w:r w:rsidDel="00000000" w:rsidR="00000000" w:rsidRPr="00000000">
        <w:rPr>
          <w:rtl w:val="0"/>
        </w:rPr>
        <w:t xml:space="preserve">At Cefn Coch, the rainbow’s appearance during the foggy visit exemplified this notion, transforming the site into a spiritual threshold. Eliade’s framework aligns with the site’s natural beauty, including its elevated position overlooking the Irish Sea and Carneddau Mountains. However, Eliade’s abstraction of the sacred from lived experience has been critiqued for neglecting the role of human interaction in constructing sacredness. Tilley argues that sacredness emerges through the interaction of materiality and human perception, highlighting the relational nature of sacred landscapes. The rainbow, while awe-inspiring, gained additional meaning through the sensory immersion and reflective engagement, underscoring the role of human perception in interpreting natural phenomena. Durkheim’s perspective situates sacredness within collective practices, asserting that sacredness arises not from the thing itself but from the collective ideas and representations of those who gather around it</w:t>
      </w:r>
      <w:r w:rsidDel="00000000" w:rsidR="00000000" w:rsidRPr="00000000">
        <w:rPr>
          <w:vertAlign w:val="superscript"/>
        </w:rPr>
        <w:footnoteReference w:customMarkFollows="0" w:id="30"/>
      </w:r>
      <w:r w:rsidDel="00000000" w:rsidR="00000000" w:rsidRPr="00000000">
        <w:rPr>
          <w:rtl w:val="0"/>
        </w:rPr>
        <w:t xml:space="preserve">. The spatial arrangement of stones at Cefn Coch likely facilitated contemplated communal rituals, reinforcing shared cosmologies and social cohesion, imagining historical gatherings at the site provided insight into how collective practices can imbue landscapes with enduring meaning. Complementing this is the perspective that</w:t>
      </w:r>
      <w:r w:rsidDel="00000000" w:rsidR="00000000" w:rsidRPr="00000000">
        <w:rPr>
          <w:rtl w:val="0"/>
        </w:rPr>
        <w:t xml:space="preserve"> ritual acts anchor cultural meaning in place, transforming the landscape into a vessel for shared beliefs</w:t>
      </w:r>
      <w:r w:rsidDel="00000000" w:rsidR="00000000" w:rsidRPr="00000000">
        <w:rPr>
          <w:vertAlign w:val="superscript"/>
        </w:rPr>
        <w:footnoteReference w:customMarkFollows="0" w:id="31"/>
      </w:r>
      <w:r w:rsidDel="00000000" w:rsidR="00000000" w:rsidRPr="00000000">
        <w:rPr>
          <w:rtl w:val="0"/>
        </w:rPr>
        <w:t xml:space="preserve">.</w:t>
      </w:r>
      <w:r w:rsidDel="00000000" w:rsidR="00000000" w:rsidRPr="00000000">
        <w:rPr>
          <w:rtl w:val="0"/>
        </w:rPr>
        <w:t xml:space="preserve"> However, Durkheim’s framework downplays the individual sensory and emotional experiences that also contribute to sacredness. This limitation is addressed by Tilley’s phenomenology, which bridges the social and personal dimensions of sacred space, Tilley’s phenomenology emphasises the sensory and temporal dimensions of sacredness, noting that a change in such things as weather, light and seasons can continually refine how sacredness is viewed in a landscape. The contrasting field visits at Cefn Coch, one under dense fog and another at a clear sunset, demonstrated how environmental conditions dynamically shape the perception of sacredness. The fog created an intimate atmosphere that isolated the stone circle from its broader landscape, while the sunset emphasised the site’s integration with its surroundings. Brady and Gunzburg extend this perspective, arguing that sacredness is not static but is</w:t>
      </w:r>
      <w:r w:rsidDel="00000000" w:rsidR="00000000" w:rsidRPr="00000000">
        <w:rPr>
          <w:rtl w:val="0"/>
        </w:rPr>
        <w:t xml:space="preserve"> constructed locally through interactions between people, place, and time”</w:t>
      </w:r>
      <w:r w:rsidDel="00000000" w:rsidR="00000000" w:rsidRPr="00000000">
        <w:rPr>
          <w:rtl w:val="0"/>
        </w:rPr>
        <w:t xml:space="preserve">, with this study reinforcing their assertion by illustrating how personal narratives, sensory engagement, and environmental variability converge to create a dynamic and relational understanding of sacredness</w:t>
      </w:r>
      <w:r w:rsidDel="00000000" w:rsidR="00000000" w:rsidRPr="00000000">
        <w:rPr>
          <w:vertAlign w:val="superscript"/>
        </w:rPr>
        <w:footnoteReference w:customMarkFollows="0" w:id="32"/>
      </w:r>
      <w:r w:rsidDel="00000000" w:rsidR="00000000" w:rsidRPr="00000000">
        <w:rPr>
          <w:rtl w:val="0"/>
        </w:rPr>
        <w:t xml:space="preserve">. </w:t>
      </w:r>
    </w:p>
    <w:p w:rsidR="00000000" w:rsidDel="00000000" w:rsidP="00000000" w:rsidRDefault="00000000" w:rsidRPr="00000000" w14:paraId="00000070">
      <w:pPr>
        <w:ind w:firstLine="720"/>
        <w:rPr/>
      </w:pPr>
      <w:r w:rsidDel="00000000" w:rsidR="00000000" w:rsidRPr="00000000">
        <w:rPr>
          <w:rtl w:val="0"/>
        </w:rPr>
        <w:t xml:space="preserve">Personal narratives, such as my familial connection to Cefn Coch, enriched the study by illustrating how sacredness is inherited and redefined over time, highlighting Brady’s and Tilley’s emphasis that personal narratives and sensory memories can </w:t>
      </w:r>
      <w:r w:rsidDel="00000000" w:rsidR="00000000" w:rsidRPr="00000000">
        <w:rPr>
          <w:rtl w:val="0"/>
        </w:rPr>
        <w:t xml:space="preserve">intertwine with the interpretation of sacred landscapes, enriching their meaning</w:t>
      </w:r>
      <w:r w:rsidDel="00000000" w:rsidR="00000000" w:rsidRPr="00000000">
        <w:rPr>
          <w:vertAlign w:val="superscript"/>
        </w:rPr>
        <w:footnoteReference w:customMarkFollows="0" w:id="33"/>
      </w:r>
      <w:r w:rsidDel="00000000" w:rsidR="00000000" w:rsidRPr="00000000">
        <w:rPr>
          <w:vertAlign w:val="superscript"/>
        </w:rPr>
        <w:footnoteReference w:customMarkFollows="0" w:id="34"/>
      </w:r>
      <w:r w:rsidDel="00000000" w:rsidR="00000000" w:rsidRPr="00000000">
        <w:rPr>
          <w:rtl w:val="0"/>
        </w:rPr>
        <w:t xml:space="preserve">.</w:t>
      </w:r>
      <w:r w:rsidDel="00000000" w:rsidR="00000000" w:rsidRPr="00000000">
        <w:rPr>
          <w:rtl w:val="0"/>
        </w:rPr>
        <w:t xml:space="preserve"> Reflexivity ensured that these insights were critically examined and contextualised within broader theoretical frameworks, as cautioned by Tilley that too heavy a reliance on personal narratives can risk overlooking academic rigour. Moreover, beyond the frameworks of Eliade, Durkheim, and Tilley, my interpretation of sacredness is deeply influenced by a lifelong worldview of interconnectedness. Inspired by the lyric from </w:t>
      </w:r>
      <w:r w:rsidDel="00000000" w:rsidR="00000000" w:rsidRPr="00000000">
        <w:rPr>
          <w:rtl w:val="0"/>
        </w:rPr>
        <w:t xml:space="preserve">Pocahontas</w:t>
      </w:r>
      <w:r w:rsidDel="00000000" w:rsidR="00000000" w:rsidRPr="00000000">
        <w:rPr>
          <w:rtl w:val="0"/>
        </w:rPr>
        <w:t xml:space="preserve">:</w:t>
      </w:r>
      <w:r w:rsidDel="00000000" w:rsidR="00000000" w:rsidRPr="00000000">
        <w:rPr>
          <w:rtl w:val="0"/>
        </w:rPr>
        <w:t xml:space="preserve"> “I know every rock, tree, and creature has a life, has a spirit, has a name”,</w:t>
      </w:r>
      <w:r w:rsidDel="00000000" w:rsidR="00000000" w:rsidRPr="00000000">
        <w:rPr>
          <w:rtl w:val="0"/>
        </w:rPr>
        <w:t xml:space="preserve"> as a child, I began to view the natural world as imbued with inherent value and life</w:t>
      </w:r>
      <w:r w:rsidDel="00000000" w:rsidR="00000000" w:rsidRPr="00000000">
        <w:rPr>
          <w:vertAlign w:val="superscript"/>
        </w:rPr>
        <w:footnoteReference w:customMarkFollows="0" w:id="35"/>
      </w:r>
      <w:r w:rsidDel="00000000" w:rsidR="00000000" w:rsidRPr="00000000">
        <w:rPr>
          <w:rtl w:val="0"/>
        </w:rPr>
        <w:t xml:space="preserve">. With scientific research into such fields even as seemingly different as mycology and physics, such as the workings of the wood wide web and the double-slit experiment, suggest that life and matter may possess a form of consciousness, or at least an awareness. This alongside Campion's notion that</w:t>
      </w:r>
      <w:r w:rsidDel="00000000" w:rsidR="00000000" w:rsidRPr="00000000">
        <w:rPr>
          <w:rtl w:val="0"/>
        </w:rPr>
        <w:t xml:space="preserve"> “Equally important is the concept of relationship - that the cosmos is alive and that everything in it exists in a series of relationships with all other things.”</w:t>
      </w:r>
      <w:r w:rsidDel="00000000" w:rsidR="00000000" w:rsidRPr="00000000">
        <w:rPr>
          <w:rtl w:val="0"/>
        </w:rPr>
        <w:t xml:space="preserve">, allows me to view all things in the world, and wider cosmos, as inherently sacred, although I do not belong to any religion, my belief in the sense that all materiality may contain ‘consiousness’, imbues, for me, a sense of sacredness in all things</w:t>
      </w:r>
      <w:r w:rsidDel="00000000" w:rsidR="00000000" w:rsidRPr="00000000">
        <w:rPr>
          <w:vertAlign w:val="superscript"/>
        </w:rPr>
        <w:footnoteReference w:customMarkFollows="0" w:id="36"/>
      </w:r>
      <w:r w:rsidDel="00000000" w:rsidR="00000000" w:rsidRPr="00000000">
        <w:rPr>
          <w:rtl w:val="0"/>
        </w:rPr>
        <w:t xml:space="preserve">. Leading me to believe that humans simply wish to find an outlet to then expel or explore this sacredness, leading to the creation of sacred sites or landscapes. Therefore concluding that all perspectives between Eliade, Durkheim and Tilley hold truth, integrating Brink’s idea that </w:t>
      </w:r>
      <w:r w:rsidDel="00000000" w:rsidR="00000000" w:rsidRPr="00000000">
        <w:rPr>
          <w:rtl w:val="0"/>
        </w:rPr>
        <w:t xml:space="preserve">“Beliefs which could not fit together in the structure of the same logical system, nevertheless, may serve similar functions as different means to the same end”</w:t>
      </w:r>
      <w:r w:rsidDel="00000000" w:rsidR="00000000" w:rsidRPr="00000000">
        <w:rPr>
          <w:vertAlign w:val="superscript"/>
        </w:rPr>
        <w:footnoteReference w:customMarkFollows="0" w:id="37"/>
      </w:r>
      <w:r w:rsidDel="00000000" w:rsidR="00000000" w:rsidRPr="00000000">
        <w:rPr>
          <w:rtl w:val="0"/>
        </w:rPr>
        <w:t xml:space="preserve">. </w:t>
      </w:r>
    </w:p>
    <w:p w:rsidR="00000000" w:rsidDel="00000000" w:rsidP="00000000" w:rsidRDefault="00000000" w:rsidRPr="00000000" w14:paraId="00000071">
      <w:pPr>
        <w:ind w:firstLine="720"/>
        <w:rPr/>
      </w:pPr>
      <w:r w:rsidDel="00000000" w:rsidR="00000000" w:rsidRPr="00000000">
        <w:rPr>
          <w:rtl w:val="0"/>
        </w:rPr>
        <w:t xml:space="preserve">Ethical considerations were also integral to this study, ensuring that personal engagement with the site respected its cultural and natural integrity. Journaling and photography were conducted with minimal disruption, prioritizing the site’s preservation and the academic purpose of the research. By synthesizing the perspectives of Eliade, Durkheim, Tilley, and others, this study demonstrates that sacredness is neither purely natural nor solely constructed but emerges relationally through interactions between natural features, personal and cultural insights and interaction, and sensory experience. The findings at Cefn Coch challenge the dominance of monumental sites like Stonehenge and Newgrange in sacred geography discourse, emphasising the significance of smaller, regionally significant landscapes. Brady observes that</w:t>
      </w:r>
      <w:r w:rsidDel="00000000" w:rsidR="00000000" w:rsidRPr="00000000">
        <w:rPr>
          <w:rtl w:val="0"/>
        </w:rPr>
        <w:t xml:space="preserve">  smaller, regional sites challenge the dominance of monumentality in sacred studies, offering nuanced insights into localised sacred practices.</w:t>
      </w:r>
      <w:r w:rsidDel="00000000" w:rsidR="00000000" w:rsidRPr="00000000">
        <w:rPr>
          <w:rtl w:val="0"/>
        </w:rPr>
        <w:t xml:space="preserve"> Cefn Coch exemplifies this, revealing how sacredness can be rooted in intimate connections to place rather than grand architectural designs or celestial alignments. The relational and dynamic nature of sacredness at Cefn Coch underscores its evolving relationship with time, environment, and human interaction. While Eliade, Durkheim, and Tilley each provide valuable frameworks for interpreting sacred landscapes, it is through their synthesis that a comprehensive understanding emerges. Sacredness is not a static attribute but a dynamic interplay of natural, constructed, and sensory dimensions, continually redefined through human engagement and environmental variability. Future research could build on these findings by conducting longitudinal studies of seasonal and temporal shifts at Cefn Coch, incorporating methodologies such as sensory ethnography and environmental psychology. Engaging with contemporary communities who interact with the site could further illuminate its ongoing significance. Overall, this study highlights the importance of reflexivity, critical analysis, and sensory immersion in understanding sacred landscapes. At Cefn Coch, sacredness emerges as a dynamic and multifaceted phenomenon, enriching broader discussions of sacred geography and offering new perspectives on the relational nature of human-place interactions.</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pStyle w:val="Heading2"/>
        <w:rPr/>
      </w:pPr>
      <w:bookmarkStart w:colFirst="0" w:colLast="0" w:name="_e7421ylwkkph" w:id="13"/>
      <w:bookmarkEnd w:id="13"/>
      <w:r w:rsidDel="00000000" w:rsidR="00000000" w:rsidRPr="00000000">
        <w:rPr>
          <w:rtl w:val="0"/>
        </w:rPr>
        <w:t xml:space="preserve">Conclusion</w:t>
      </w:r>
    </w:p>
    <w:p w:rsidR="00000000" w:rsidDel="00000000" w:rsidP="00000000" w:rsidRDefault="00000000" w:rsidRPr="00000000" w14:paraId="00000074">
      <w:pPr>
        <w:spacing w:after="240" w:before="240" w:lineRule="auto"/>
        <w:ind w:firstLine="720"/>
        <w:rPr/>
      </w:pPr>
      <w:r w:rsidDel="00000000" w:rsidR="00000000" w:rsidRPr="00000000">
        <w:rPr>
          <w:rtl w:val="0"/>
        </w:rPr>
        <w:t xml:space="preserve">The aim of this research project was to explore whether the sacredness of Cefn Coch arises from natural features, human intentionality, or a dynamic interplay of both. By employing a phenomenological methodology, grounded in theoretical frameworks from Eliade, Durkheim, and Tilley, and through reflexive engagement with the site, this study examined how sacredness emerges as a multifaceted phenomenon shaped by interaction, interpretation, and lived experience. The study highlighted that the natural setting of Cefn Coch, with its elevated position overlooking the Carneddau Mountains and Irish Sea, evokes profound reverence, aligning with Eliade’s concept of hierophany. However, this research demonstrates that sacredness is not solely intrinsic to natural features. The deliberate placement of the stones reflects human intentionality, enhancing the site’s relational qualities and supporting Tilley’s critique of Eliade’s universalizing tendencies. Sacredness at Cefn Coch emerges through the co-creation of natural, cultural, and sensory dimensions. Durkheim’s emphasis on sacredness as a social construct underscores the importance of collective rituals in imbuing the site with enduring meaning. The spatial arrangement of the stones likely facilitated communal engagement, reinforcing shared cosmologies and social cohesion. Yet, this study extends Durkheim’s framework by incorporating Tilley’s phenomenological approach, which highlights how sensory and emotional interactions foster both individual and collective connections to sacred landscapes. At Cefn Coch, the interplay of fog, light, and tactile engagement during fieldwork illustrated how sensory immersion deepens the experience of sacredness, emphasising its dynamic and multidimensional nature. The need to adapt fieldwork due to stormy conditions on the winter solstice further illuminated the evolving and contingent nature of sacred landscapes. The contrasting conditions of fog on December 27th and clearer skies on December 29th offered unique insights into how environmental variability shapes perceptions of sacredness. Future studies could expand on these insights by exploring temporal and environmental changes using methodologies such as sensory ethnography, environmental psychology, and digital reconstruction. By situating Cefn Coch within broader discussions of sacred geography, this research challenges the dominance of monumental sites like Stonehenge and Newgrange in the discourse. While such sites emphasise celestial alignments and architectural grandeur, Cefn Coch represents an intimate expression of sacredness, rooted in its sensory and environmental contexts. This diversity underscores the adaptability of sacred practices and highlights the significance of smaller, under-documented sites in enriching our understanding of sacred geographies. In conclusion, this research demonstrates that sacredness is not a static attribute but a dynamic relationship between people and their environments. At Cefn Coch, natural beauty, human intentionality, and sensory engagement converge to create a space that invites reflection, connection, and reverence. By integrating theoretical insights with lived experiences, this study contributes to the broader field of sacred geography, emphasising the enduring relevance of sacred landscapes in fostering a deeper connection between humanity and the natural world.</w:t>
      </w:r>
    </w:p>
    <w:p w:rsidR="00000000" w:rsidDel="00000000" w:rsidP="00000000" w:rsidRDefault="00000000" w:rsidRPr="00000000" w14:paraId="00000075">
      <w:pPr>
        <w:spacing w:after="240" w:before="240" w:lineRule="auto"/>
        <w:ind w:firstLine="720"/>
        <w:rPr/>
      </w:pPr>
      <w:r w:rsidDel="00000000" w:rsidR="00000000" w:rsidRPr="00000000">
        <w:rPr>
          <w:rtl w:val="0"/>
        </w:rPr>
      </w:r>
    </w:p>
    <w:p w:rsidR="00000000" w:rsidDel="00000000" w:rsidP="00000000" w:rsidRDefault="00000000" w:rsidRPr="00000000" w14:paraId="00000076">
      <w:pPr>
        <w:pStyle w:val="Heading2"/>
        <w:rPr/>
      </w:pPr>
      <w:bookmarkStart w:colFirst="0" w:colLast="0" w:name="_wor6f4fb22cl" w:id="14"/>
      <w:bookmarkEnd w:id="14"/>
      <w:r w:rsidDel="00000000" w:rsidR="00000000" w:rsidRPr="00000000">
        <w:rPr>
          <w:rtl w:val="0"/>
        </w:rPr>
        <w:t xml:space="preserve">Bibliography </w:t>
      </w:r>
    </w:p>
    <w:p w:rsidR="00000000" w:rsidDel="00000000" w:rsidP="00000000" w:rsidRDefault="00000000" w:rsidRPr="00000000" w14:paraId="00000077">
      <w:pPr>
        <w:spacing w:after="240" w:before="240" w:lineRule="auto"/>
        <w:ind w:left="580" w:hanging="20"/>
        <w:rPr/>
      </w:pPr>
      <w:r w:rsidDel="00000000" w:rsidR="00000000" w:rsidRPr="00000000">
        <w:rPr>
          <w:rtl w:val="0"/>
        </w:rPr>
        <w:t xml:space="preserve">Bell, J. and Waters, S. (2014) </w:t>
      </w:r>
      <w:r w:rsidDel="00000000" w:rsidR="00000000" w:rsidRPr="00000000">
        <w:rPr>
          <w:i w:val="1"/>
          <w:rtl w:val="0"/>
        </w:rPr>
        <w:t xml:space="preserve">Doing your research project: A guide for First-time researchers</w:t>
      </w:r>
      <w:r w:rsidDel="00000000" w:rsidR="00000000" w:rsidRPr="00000000">
        <w:rPr>
          <w:rtl w:val="0"/>
        </w:rPr>
        <w:t xml:space="preserve">. Maidenhead, Berkshire: Open University Press. </w:t>
      </w:r>
    </w:p>
    <w:p w:rsidR="00000000" w:rsidDel="00000000" w:rsidP="00000000" w:rsidRDefault="00000000" w:rsidRPr="00000000" w14:paraId="00000078">
      <w:pPr>
        <w:spacing w:after="240" w:before="240" w:lineRule="auto"/>
        <w:ind w:left="580" w:hanging="20"/>
        <w:rPr/>
      </w:pPr>
      <w:r w:rsidDel="00000000" w:rsidR="00000000" w:rsidRPr="00000000">
        <w:rPr>
          <w:rtl w:val="0"/>
        </w:rPr>
        <w:t xml:space="preserve">Brady, Bernadette (2017) </w:t>
      </w:r>
      <w:r w:rsidDel="00000000" w:rsidR="00000000" w:rsidRPr="00000000">
        <w:rPr>
          <w:i w:val="1"/>
          <w:rtl w:val="0"/>
        </w:rPr>
        <w:t xml:space="preserve">Mountains talk of kings and Dragons, the Brecon Beacons</w:t>
      </w:r>
      <w:r w:rsidDel="00000000" w:rsidR="00000000" w:rsidRPr="00000000">
        <w:rPr>
          <w:rtl w:val="0"/>
        </w:rPr>
        <w:t xml:space="preserve">. Bloomsbury Publishing. </w:t>
      </w:r>
    </w:p>
    <w:p w:rsidR="00000000" w:rsidDel="00000000" w:rsidP="00000000" w:rsidRDefault="00000000" w:rsidRPr="00000000" w14:paraId="00000079">
      <w:pPr>
        <w:spacing w:after="240" w:before="240" w:lineRule="auto"/>
        <w:ind w:left="580" w:hanging="20"/>
        <w:rPr/>
      </w:pPr>
      <w:r w:rsidDel="00000000" w:rsidR="00000000" w:rsidRPr="00000000">
        <w:rPr>
          <w:rtl w:val="0"/>
        </w:rPr>
        <w:t xml:space="preserve">Brink, T.L. (1978) ‘Inconsistency of belief among Roman Catholic girls: Concerning religion, astrology, reincarnation’, </w:t>
      </w:r>
      <w:r w:rsidDel="00000000" w:rsidR="00000000" w:rsidRPr="00000000">
        <w:rPr>
          <w:i w:val="1"/>
          <w:rtl w:val="0"/>
        </w:rPr>
        <w:t xml:space="preserve">Review of Religious Research</w:t>
      </w:r>
      <w:r w:rsidDel="00000000" w:rsidR="00000000" w:rsidRPr="00000000">
        <w:rPr>
          <w:rtl w:val="0"/>
        </w:rPr>
        <w:t xml:space="preserve">, 20(1), p. 85.</w:t>
      </w:r>
    </w:p>
    <w:p w:rsidR="00000000" w:rsidDel="00000000" w:rsidP="00000000" w:rsidRDefault="00000000" w:rsidRPr="00000000" w14:paraId="0000007A">
      <w:pPr>
        <w:spacing w:after="240" w:before="240" w:lineRule="auto"/>
        <w:ind w:left="580" w:hanging="20"/>
        <w:rPr>
          <w:sz w:val="20"/>
          <w:szCs w:val="20"/>
        </w:rPr>
      </w:pPr>
      <w:r w:rsidDel="00000000" w:rsidR="00000000" w:rsidRPr="00000000">
        <w:rPr>
          <w:rtl w:val="0"/>
        </w:rPr>
        <w:t xml:space="preserve">Bryman, A. (2016) </w:t>
      </w:r>
      <w:r w:rsidDel="00000000" w:rsidR="00000000" w:rsidRPr="00000000">
        <w:rPr>
          <w:i w:val="1"/>
          <w:rtl w:val="0"/>
        </w:rPr>
        <w:t xml:space="preserve">Quantity and quality in Social Research</w:t>
      </w:r>
      <w:r w:rsidDel="00000000" w:rsidR="00000000" w:rsidRPr="00000000">
        <w:rPr>
          <w:rtl w:val="0"/>
        </w:rPr>
        <w:t xml:space="preserve">. London: Routledge. </w:t>
      </w:r>
      <w:r w:rsidDel="00000000" w:rsidR="00000000" w:rsidRPr="00000000">
        <w:rPr>
          <w:rtl w:val="0"/>
        </w:rPr>
      </w:r>
    </w:p>
    <w:p w:rsidR="00000000" w:rsidDel="00000000" w:rsidP="00000000" w:rsidRDefault="00000000" w:rsidRPr="00000000" w14:paraId="0000007B">
      <w:pPr>
        <w:spacing w:after="240" w:before="240" w:lineRule="auto"/>
        <w:ind w:left="580" w:hanging="20"/>
        <w:rPr/>
      </w:pPr>
      <w:r w:rsidDel="00000000" w:rsidR="00000000" w:rsidRPr="00000000">
        <w:rPr>
          <w:rtl w:val="0"/>
        </w:rPr>
        <w:t xml:space="preserve">Campion, N. (2012) ‘Chapter 2: Astrology ’, in </w:t>
      </w:r>
      <w:r w:rsidDel="00000000" w:rsidR="00000000" w:rsidRPr="00000000">
        <w:rPr>
          <w:i w:val="1"/>
          <w:rtl w:val="0"/>
        </w:rPr>
        <w:t xml:space="preserve">Astrology and Cosmology in World Religions</w:t>
      </w:r>
      <w:r w:rsidDel="00000000" w:rsidR="00000000" w:rsidRPr="00000000">
        <w:rPr>
          <w:rtl w:val="0"/>
        </w:rPr>
        <w:t xml:space="preserve">. NYU Press, pp. 11–23. </w:t>
      </w:r>
      <w:r w:rsidDel="00000000" w:rsidR="00000000" w:rsidRPr="00000000">
        <w:rPr>
          <w:rtl w:val="0"/>
        </w:rPr>
      </w:r>
    </w:p>
    <w:p w:rsidR="00000000" w:rsidDel="00000000" w:rsidP="00000000" w:rsidRDefault="00000000" w:rsidRPr="00000000" w14:paraId="0000007C">
      <w:pPr>
        <w:spacing w:after="240" w:before="240" w:lineRule="auto"/>
        <w:ind w:left="580" w:hanging="20"/>
        <w:rPr/>
      </w:pPr>
      <w:r w:rsidDel="00000000" w:rsidR="00000000" w:rsidRPr="00000000">
        <w:rPr>
          <w:rtl w:val="0"/>
        </w:rPr>
        <w:t xml:space="preserve">Cassirer, E. (1971) ‘Foundations of a Theory of Mystical Forms. Space, Time, and Number’, </w:t>
      </w:r>
      <w:r w:rsidDel="00000000" w:rsidR="00000000" w:rsidRPr="00000000">
        <w:rPr>
          <w:i w:val="1"/>
          <w:rtl w:val="0"/>
        </w:rPr>
        <w:t xml:space="preserve">The philosophy of symbolic forms </w:t>
      </w:r>
      <w:r w:rsidDel="00000000" w:rsidR="00000000" w:rsidRPr="00000000">
        <w:rPr>
          <w:rtl w:val="0"/>
        </w:rPr>
        <w:t xml:space="preserve">, 2, pp. 83–105. </w:t>
      </w:r>
    </w:p>
    <w:p w:rsidR="00000000" w:rsidDel="00000000" w:rsidP="00000000" w:rsidRDefault="00000000" w:rsidRPr="00000000" w14:paraId="0000007D">
      <w:pPr>
        <w:spacing w:after="240" w:before="240" w:lineRule="auto"/>
        <w:ind w:left="580" w:hanging="20"/>
        <w:rPr/>
      </w:pP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 </w:t>
      </w:r>
    </w:p>
    <w:p w:rsidR="00000000" w:rsidDel="00000000" w:rsidP="00000000" w:rsidRDefault="00000000" w:rsidRPr="00000000" w14:paraId="0000007E">
      <w:pPr>
        <w:spacing w:after="240" w:before="240" w:lineRule="auto"/>
        <w:ind w:left="580" w:hanging="20"/>
        <w:rPr/>
      </w:pP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 </w:t>
      </w:r>
    </w:p>
    <w:p w:rsidR="00000000" w:rsidDel="00000000" w:rsidP="00000000" w:rsidRDefault="00000000" w:rsidRPr="00000000" w14:paraId="0000007F">
      <w:pPr>
        <w:spacing w:after="240" w:before="240" w:lineRule="auto"/>
        <w:ind w:left="580" w:hanging="20"/>
        <w:rPr/>
      </w:pP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 </w:t>
      </w:r>
    </w:p>
    <w:p w:rsidR="00000000" w:rsidDel="00000000" w:rsidP="00000000" w:rsidRDefault="00000000" w:rsidRPr="00000000" w14:paraId="00000080">
      <w:pPr>
        <w:spacing w:after="240" w:before="240" w:lineRule="auto"/>
        <w:ind w:left="580" w:hanging="20"/>
        <w:rPr/>
      </w:pPr>
      <w:r w:rsidDel="00000000" w:rsidR="00000000" w:rsidRPr="00000000">
        <w:rPr>
          <w:rtl w:val="0"/>
        </w:rPr>
        <w:t xml:space="preserve">Knott, K. (2015) </w:t>
      </w:r>
      <w:r w:rsidDel="00000000" w:rsidR="00000000" w:rsidRPr="00000000">
        <w:rPr>
          <w:i w:val="1"/>
          <w:rtl w:val="0"/>
        </w:rPr>
        <w:t xml:space="preserve">The location of religion: A spatial analysis</w:t>
      </w:r>
      <w:r w:rsidDel="00000000" w:rsidR="00000000" w:rsidRPr="00000000">
        <w:rPr>
          <w:rtl w:val="0"/>
        </w:rPr>
        <w:t xml:space="preserve">. London: Routledge. </w:t>
      </w:r>
    </w:p>
    <w:p w:rsidR="00000000" w:rsidDel="00000000" w:rsidP="00000000" w:rsidRDefault="00000000" w:rsidRPr="00000000" w14:paraId="00000081">
      <w:pPr>
        <w:spacing w:after="240" w:before="240" w:lineRule="auto"/>
        <w:ind w:left="720" w:firstLine="0"/>
        <w:rPr/>
      </w:pPr>
      <w:r w:rsidDel="00000000" w:rsidR="00000000" w:rsidRPr="00000000">
        <w:rPr>
          <w:rtl w:val="0"/>
        </w:rPr>
        <w:t xml:space="preserve">Schwartz, S., Menken, A., &amp; Kuhn, J. (1995). Colours of the Wind [song]. On Pocahontas: An Original Walt Disney Records Soundtrack [Album]. Walt Disney Records.</w:t>
      </w:r>
    </w:p>
    <w:p w:rsidR="00000000" w:rsidDel="00000000" w:rsidP="00000000" w:rsidRDefault="00000000" w:rsidRPr="00000000" w14:paraId="00000082">
      <w:pPr>
        <w:spacing w:after="240" w:before="240" w:lineRule="auto"/>
        <w:ind w:left="580" w:hanging="20"/>
        <w:rPr/>
      </w:pPr>
      <w:r w:rsidDel="00000000" w:rsidR="00000000" w:rsidRPr="00000000">
        <w:rPr>
          <w:rtl w:val="0"/>
        </w:rPr>
        <w:t xml:space="preserve">Thorley, A. and Gunn, C.M. (2008) </w:t>
      </w:r>
      <w:r w:rsidDel="00000000" w:rsidR="00000000" w:rsidRPr="00000000">
        <w:rPr>
          <w:i w:val="1"/>
          <w:rtl w:val="0"/>
        </w:rPr>
        <w:t xml:space="preserve">Sacred Sites: An Overview</w:t>
      </w:r>
      <w:r w:rsidDel="00000000" w:rsidR="00000000" w:rsidRPr="00000000">
        <w:rPr>
          <w:rtl w:val="0"/>
        </w:rPr>
        <w:t xml:space="preserve">. rep. Gaia Foundation, pp. 7–31. </w:t>
      </w:r>
    </w:p>
    <w:p w:rsidR="00000000" w:rsidDel="00000000" w:rsidP="00000000" w:rsidRDefault="00000000" w:rsidRPr="00000000" w14:paraId="00000083">
      <w:pPr>
        <w:spacing w:after="240" w:before="240" w:lineRule="auto"/>
        <w:ind w:left="580" w:hanging="20"/>
        <w:rPr/>
      </w:pP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w:t>
      </w:r>
    </w:p>
    <w:p w:rsidR="00000000" w:rsidDel="00000000" w:rsidP="00000000" w:rsidRDefault="00000000" w:rsidRPr="00000000" w14:paraId="00000084">
      <w:pPr>
        <w:spacing w:after="240" w:before="240" w:lineRule="auto"/>
        <w:ind w:left="580" w:hanging="20"/>
        <w:rPr/>
      </w:pPr>
      <w:r w:rsidDel="00000000" w:rsidR="00000000" w:rsidRPr="00000000">
        <w:rPr>
          <w:rtl w:val="0"/>
        </w:rPr>
        <w:t xml:space="preserve">Whitehead, A.R. (2013) </w:t>
      </w:r>
      <w:r w:rsidDel="00000000" w:rsidR="00000000" w:rsidRPr="00000000">
        <w:rPr>
          <w:i w:val="1"/>
          <w:rtl w:val="0"/>
        </w:rPr>
        <w:t xml:space="preserve">Religious statues and personhood: Testing the role of Materiality</w:t>
      </w:r>
      <w:r w:rsidDel="00000000" w:rsidR="00000000" w:rsidRPr="00000000">
        <w:rPr>
          <w:rtl w:val="0"/>
        </w:rPr>
        <w:t xml:space="preserve">. London: Bloomsbury. </w:t>
      </w:r>
      <w:r w:rsidDel="00000000" w:rsidR="00000000" w:rsidRPr="00000000">
        <w:rPr>
          <w:rtl w:val="0"/>
        </w:rPr>
      </w:r>
    </w:p>
    <w:p w:rsidR="00000000" w:rsidDel="00000000" w:rsidP="00000000" w:rsidRDefault="00000000" w:rsidRPr="00000000" w14:paraId="00000085">
      <w:pPr>
        <w:ind w:left="0" w:firstLine="0"/>
        <w:rPr/>
      </w:pPr>
      <w:r w:rsidDel="00000000" w:rsidR="00000000" w:rsidRPr="00000000">
        <w:rPr>
          <w:rtl w:val="0"/>
        </w:rPr>
      </w:r>
    </w:p>
    <w:p w:rsidR="00000000" w:rsidDel="00000000" w:rsidP="00000000" w:rsidRDefault="00000000" w:rsidRPr="00000000" w14:paraId="00000086">
      <w:pPr>
        <w:ind w:firstLine="7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8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Thorley, A. and Gunn, C.M. (2008) </w:t>
      </w:r>
      <w:r w:rsidDel="00000000" w:rsidR="00000000" w:rsidRPr="00000000">
        <w:rPr>
          <w:i w:val="1"/>
          <w:rtl w:val="0"/>
        </w:rPr>
        <w:t xml:space="preserve">Sacred Sites: An Overview</w:t>
      </w:r>
      <w:r w:rsidDel="00000000" w:rsidR="00000000" w:rsidRPr="00000000">
        <w:rPr>
          <w:rtl w:val="0"/>
        </w:rPr>
        <w:t xml:space="preserve">. rep. Gaia Foundation, pp. 7-8.</w:t>
      </w:r>
      <w:r w:rsidDel="00000000" w:rsidR="00000000" w:rsidRPr="00000000">
        <w:rPr>
          <w:rtl w:val="0"/>
        </w:rPr>
      </w:r>
    </w:p>
  </w:footnote>
  <w:footnote w:id="1">
    <w:p w:rsidR="00000000" w:rsidDel="00000000" w:rsidP="00000000" w:rsidRDefault="00000000" w:rsidRPr="00000000" w14:paraId="0000008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Thorley, A. and Gunn, C.M. (2008) </w:t>
      </w:r>
      <w:r w:rsidDel="00000000" w:rsidR="00000000" w:rsidRPr="00000000">
        <w:rPr>
          <w:i w:val="1"/>
          <w:rtl w:val="0"/>
        </w:rPr>
        <w:t xml:space="preserve">Sacred Sites: An Overview</w:t>
      </w:r>
      <w:r w:rsidDel="00000000" w:rsidR="00000000" w:rsidRPr="00000000">
        <w:rPr>
          <w:rtl w:val="0"/>
        </w:rPr>
        <w:t xml:space="preserve">. rep. Gaia Foundation, p. 9.</w:t>
      </w:r>
      <w:r w:rsidDel="00000000" w:rsidR="00000000" w:rsidRPr="00000000">
        <w:rPr>
          <w:rtl w:val="0"/>
        </w:rPr>
      </w:r>
    </w:p>
  </w:footnote>
  <w:footnote w:id="2">
    <w:p w:rsidR="00000000" w:rsidDel="00000000" w:rsidP="00000000" w:rsidRDefault="00000000" w:rsidRPr="00000000" w14:paraId="00000089">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pp. 24-25</w:t>
      </w:r>
    </w:p>
  </w:footnote>
  <w:footnote w:id="3">
    <w:p w:rsidR="00000000" w:rsidDel="00000000" w:rsidP="00000000" w:rsidRDefault="00000000" w:rsidRPr="00000000" w14:paraId="0000008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 </w:t>
      </w:r>
      <w:r w:rsidDel="00000000" w:rsidR="00000000" w:rsidRPr="00000000">
        <w:rPr>
          <w:rtl w:val="0"/>
        </w:rPr>
      </w:r>
    </w:p>
  </w:footnote>
  <w:footnote w:id="4">
    <w:p w:rsidR="00000000" w:rsidDel="00000000" w:rsidP="00000000" w:rsidRDefault="00000000" w:rsidRPr="00000000" w14:paraId="0000008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 </w:t>
      </w:r>
      <w:r w:rsidDel="00000000" w:rsidR="00000000" w:rsidRPr="00000000">
        <w:rPr>
          <w:rtl w:val="0"/>
        </w:rPr>
      </w:r>
    </w:p>
  </w:footnote>
  <w:footnote w:id="5">
    <w:p w:rsidR="00000000" w:rsidDel="00000000" w:rsidP="00000000" w:rsidRDefault="00000000" w:rsidRPr="00000000" w14:paraId="0000008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w:t>
      </w:r>
      <w:r w:rsidDel="00000000" w:rsidR="00000000" w:rsidRPr="00000000">
        <w:rPr>
          <w:rtl w:val="0"/>
        </w:rPr>
      </w:r>
    </w:p>
  </w:footnote>
  <w:footnote w:id="7">
    <w:p w:rsidR="00000000" w:rsidDel="00000000" w:rsidP="00000000" w:rsidRDefault="00000000" w:rsidRPr="00000000" w14:paraId="0000008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Knott, K. (2015) </w:t>
      </w:r>
      <w:r w:rsidDel="00000000" w:rsidR="00000000" w:rsidRPr="00000000">
        <w:rPr>
          <w:i w:val="1"/>
          <w:rtl w:val="0"/>
        </w:rPr>
        <w:t xml:space="preserve">The location of religion: A spatial analysis</w:t>
      </w:r>
      <w:r w:rsidDel="00000000" w:rsidR="00000000" w:rsidRPr="00000000">
        <w:rPr>
          <w:rtl w:val="0"/>
        </w:rPr>
        <w:t xml:space="preserve">. London: Routledge. p. 18</w:t>
      </w:r>
      <w:r w:rsidDel="00000000" w:rsidR="00000000" w:rsidRPr="00000000">
        <w:rPr>
          <w:rtl w:val="0"/>
        </w:rPr>
      </w:r>
    </w:p>
  </w:footnote>
  <w:footnote w:id="8">
    <w:p w:rsidR="00000000" w:rsidDel="00000000" w:rsidP="00000000" w:rsidRDefault="00000000" w:rsidRPr="00000000" w14:paraId="0000008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10</w:t>
      </w:r>
      <w:r w:rsidDel="00000000" w:rsidR="00000000" w:rsidRPr="00000000">
        <w:rPr>
          <w:rtl w:val="0"/>
        </w:rPr>
      </w:r>
    </w:p>
  </w:footnote>
  <w:footnote w:id="10">
    <w:p w:rsidR="00000000" w:rsidDel="00000000" w:rsidP="00000000" w:rsidRDefault="00000000" w:rsidRPr="00000000" w14:paraId="0000008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w:t>
      </w:r>
      <w:r w:rsidDel="00000000" w:rsidR="00000000" w:rsidRPr="00000000">
        <w:rPr>
          <w:rtl w:val="0"/>
        </w:rPr>
      </w:r>
    </w:p>
  </w:footnote>
  <w:footnote w:id="11">
    <w:p w:rsidR="00000000" w:rsidDel="00000000" w:rsidP="00000000" w:rsidRDefault="00000000" w:rsidRPr="00000000" w14:paraId="0000009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Bryman, A. (2016) </w:t>
      </w:r>
      <w:r w:rsidDel="00000000" w:rsidR="00000000" w:rsidRPr="00000000">
        <w:rPr>
          <w:i w:val="1"/>
          <w:rtl w:val="0"/>
        </w:rPr>
        <w:t xml:space="preserve">Quantity and quality in Social Research</w:t>
      </w:r>
      <w:r w:rsidDel="00000000" w:rsidR="00000000" w:rsidRPr="00000000">
        <w:rPr>
          <w:rtl w:val="0"/>
        </w:rPr>
        <w:t xml:space="preserve">. London: Routledge, p. 72.</w:t>
      </w:r>
      <w:r w:rsidDel="00000000" w:rsidR="00000000" w:rsidRPr="00000000">
        <w:rPr>
          <w:rtl w:val="0"/>
        </w:rPr>
      </w:r>
    </w:p>
  </w:footnote>
  <w:footnote w:id="12">
    <w:p w:rsidR="00000000" w:rsidDel="00000000" w:rsidP="00000000" w:rsidRDefault="00000000" w:rsidRPr="00000000" w14:paraId="0000009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14</w:t>
      </w:r>
      <w:r w:rsidDel="00000000" w:rsidR="00000000" w:rsidRPr="00000000">
        <w:rPr>
          <w:rtl w:val="0"/>
        </w:rPr>
      </w:r>
    </w:p>
  </w:footnote>
  <w:footnote w:id="13">
    <w:p w:rsidR="00000000" w:rsidDel="00000000" w:rsidP="00000000" w:rsidRDefault="00000000" w:rsidRPr="00000000" w14:paraId="0000009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31</w:t>
      </w:r>
      <w:r w:rsidDel="00000000" w:rsidR="00000000" w:rsidRPr="00000000">
        <w:rPr>
          <w:rtl w:val="0"/>
        </w:rPr>
      </w:r>
    </w:p>
  </w:footnote>
  <w:footnote w:id="14">
    <w:p w:rsidR="00000000" w:rsidDel="00000000" w:rsidP="00000000" w:rsidRDefault="00000000" w:rsidRPr="00000000" w14:paraId="0000009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Bell, J. and Waters, S. (2014) </w:t>
      </w:r>
      <w:r w:rsidDel="00000000" w:rsidR="00000000" w:rsidRPr="00000000">
        <w:rPr>
          <w:i w:val="1"/>
          <w:rtl w:val="0"/>
        </w:rPr>
        <w:t xml:space="preserve">Doing your research project: A guide for First-time researchers</w:t>
      </w:r>
      <w:r w:rsidDel="00000000" w:rsidR="00000000" w:rsidRPr="00000000">
        <w:rPr>
          <w:rtl w:val="0"/>
        </w:rPr>
        <w:t xml:space="preserve">. Maidenhead, Berkshire: Open University Press. p. 40</w:t>
      </w:r>
      <w:r w:rsidDel="00000000" w:rsidR="00000000" w:rsidRPr="00000000">
        <w:rPr>
          <w:rtl w:val="0"/>
        </w:rPr>
      </w:r>
    </w:p>
  </w:footnote>
  <w:footnote w:id="15">
    <w:p w:rsidR="00000000" w:rsidDel="00000000" w:rsidP="00000000" w:rsidRDefault="00000000" w:rsidRPr="00000000" w14:paraId="0000009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Bell, J. and Waters, S. (2014) </w:t>
      </w:r>
      <w:r w:rsidDel="00000000" w:rsidR="00000000" w:rsidRPr="00000000">
        <w:rPr>
          <w:i w:val="1"/>
          <w:rtl w:val="0"/>
        </w:rPr>
        <w:t xml:space="preserve">Doing your research project: A guide for First-time researchers</w:t>
      </w:r>
      <w:r w:rsidDel="00000000" w:rsidR="00000000" w:rsidRPr="00000000">
        <w:rPr>
          <w:rtl w:val="0"/>
        </w:rPr>
        <w:t xml:space="preserve">. p. 11</w:t>
      </w:r>
      <w:r w:rsidDel="00000000" w:rsidR="00000000" w:rsidRPr="00000000">
        <w:rPr>
          <w:rtl w:val="0"/>
        </w:rPr>
      </w:r>
    </w:p>
  </w:footnote>
  <w:footnote w:id="16">
    <w:p w:rsidR="00000000" w:rsidDel="00000000" w:rsidP="00000000" w:rsidRDefault="00000000" w:rsidRPr="00000000" w14:paraId="0000009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11</w:t>
      </w:r>
      <w:r w:rsidDel="00000000" w:rsidR="00000000" w:rsidRPr="00000000">
        <w:rPr>
          <w:rtl w:val="0"/>
        </w:rPr>
      </w:r>
    </w:p>
  </w:footnote>
  <w:footnote w:id="17">
    <w:p w:rsidR="00000000" w:rsidDel="00000000" w:rsidP="00000000" w:rsidRDefault="00000000" w:rsidRPr="00000000" w14:paraId="0000009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11</w:t>
      </w:r>
      <w:r w:rsidDel="00000000" w:rsidR="00000000" w:rsidRPr="00000000">
        <w:rPr>
          <w:rtl w:val="0"/>
        </w:rPr>
      </w:r>
    </w:p>
  </w:footnote>
  <w:footnote w:id="26">
    <w:p w:rsidR="00000000" w:rsidDel="00000000" w:rsidP="00000000" w:rsidRDefault="00000000" w:rsidRPr="00000000" w14:paraId="0000009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 26.</w:t>
      </w:r>
      <w:r w:rsidDel="00000000" w:rsidR="00000000" w:rsidRPr="00000000">
        <w:rPr>
          <w:rtl w:val="0"/>
        </w:rPr>
      </w:r>
    </w:p>
  </w:footnote>
  <w:footnote w:id="18">
    <w:p w:rsidR="00000000" w:rsidDel="00000000" w:rsidP="00000000" w:rsidRDefault="00000000" w:rsidRPr="00000000" w14:paraId="0000009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Bell, J. and Waters, S. (2014) </w:t>
      </w:r>
      <w:r w:rsidDel="00000000" w:rsidR="00000000" w:rsidRPr="00000000">
        <w:rPr>
          <w:i w:val="1"/>
          <w:rtl w:val="0"/>
        </w:rPr>
        <w:t xml:space="preserve">Doing your research project: A guide for First-time researchers</w:t>
      </w:r>
      <w:r w:rsidDel="00000000" w:rsidR="00000000" w:rsidRPr="00000000">
        <w:rPr>
          <w:rtl w:val="0"/>
        </w:rPr>
        <w:t xml:space="preserve">. p. 17</w:t>
      </w:r>
      <w:r w:rsidDel="00000000" w:rsidR="00000000" w:rsidRPr="00000000">
        <w:rPr>
          <w:rtl w:val="0"/>
        </w:rPr>
      </w:r>
    </w:p>
  </w:footnote>
  <w:footnote w:id="21">
    <w:p w:rsidR="00000000" w:rsidDel="00000000" w:rsidP="00000000" w:rsidRDefault="00000000" w:rsidRPr="00000000" w14:paraId="0000009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Whitehead, A.R. (2013) </w:t>
      </w:r>
      <w:r w:rsidDel="00000000" w:rsidR="00000000" w:rsidRPr="00000000">
        <w:rPr>
          <w:i w:val="1"/>
          <w:rtl w:val="0"/>
        </w:rPr>
        <w:t xml:space="preserve">Religious statues and personhood: Testing the role of Materiality</w:t>
      </w:r>
      <w:r w:rsidDel="00000000" w:rsidR="00000000" w:rsidRPr="00000000">
        <w:rPr>
          <w:rtl w:val="0"/>
        </w:rPr>
        <w:t xml:space="preserve">. London: Bloomsbury. </w:t>
      </w:r>
      <w:r w:rsidDel="00000000" w:rsidR="00000000" w:rsidRPr="00000000">
        <w:rPr>
          <w:rtl w:val="0"/>
        </w:rPr>
      </w:r>
    </w:p>
  </w:footnote>
  <w:footnote w:id="22">
    <w:p w:rsidR="00000000" w:rsidDel="00000000" w:rsidP="00000000" w:rsidRDefault="00000000" w:rsidRPr="00000000" w14:paraId="0000009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11</w:t>
      </w:r>
      <w:r w:rsidDel="00000000" w:rsidR="00000000" w:rsidRPr="00000000">
        <w:rPr>
          <w:rtl w:val="0"/>
        </w:rPr>
      </w:r>
    </w:p>
  </w:footnote>
  <w:footnote w:id="23">
    <w:p w:rsidR="00000000" w:rsidDel="00000000" w:rsidP="00000000" w:rsidRDefault="00000000" w:rsidRPr="00000000" w14:paraId="0000009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Cassirer, E. (1971) ‘Foundations of a Theory of Mystical Forms. Space, Time, and Number’, </w:t>
      </w:r>
      <w:r w:rsidDel="00000000" w:rsidR="00000000" w:rsidRPr="00000000">
        <w:rPr>
          <w:i w:val="1"/>
          <w:rtl w:val="0"/>
        </w:rPr>
        <w:t xml:space="preserve">The philosophy of symbolic forms </w:t>
      </w:r>
      <w:r w:rsidDel="00000000" w:rsidR="00000000" w:rsidRPr="00000000">
        <w:rPr>
          <w:rtl w:val="0"/>
        </w:rPr>
        <w:t xml:space="preserve">, 2, pp. 83–105.</w:t>
      </w:r>
      <w:r w:rsidDel="00000000" w:rsidR="00000000" w:rsidRPr="00000000">
        <w:rPr>
          <w:rtl w:val="0"/>
        </w:rPr>
      </w:r>
    </w:p>
  </w:footnote>
  <w:footnote w:id="27">
    <w:p w:rsidR="00000000" w:rsidDel="00000000" w:rsidP="00000000" w:rsidRDefault="00000000" w:rsidRPr="00000000" w14:paraId="0000009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 p. 26</w:t>
      </w:r>
      <w:r w:rsidDel="00000000" w:rsidR="00000000" w:rsidRPr="00000000">
        <w:rPr>
          <w:rtl w:val="0"/>
        </w:rPr>
      </w:r>
    </w:p>
  </w:footnote>
  <w:footnote w:id="36">
    <w:p w:rsidR="00000000" w:rsidDel="00000000" w:rsidP="00000000" w:rsidRDefault="00000000" w:rsidRPr="00000000" w14:paraId="0000009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Campion, N. (2012) ‘Chapter 2: Astrology ’, in </w:t>
      </w:r>
      <w:r w:rsidDel="00000000" w:rsidR="00000000" w:rsidRPr="00000000">
        <w:rPr>
          <w:i w:val="1"/>
          <w:rtl w:val="0"/>
        </w:rPr>
        <w:t xml:space="preserve">Astrology and Cosmology in World Religions</w:t>
      </w:r>
      <w:r w:rsidDel="00000000" w:rsidR="00000000" w:rsidRPr="00000000">
        <w:rPr>
          <w:rtl w:val="0"/>
        </w:rPr>
        <w:t xml:space="preserve">. NYU Press, pp. 11–23. </w:t>
      </w:r>
      <w:r w:rsidDel="00000000" w:rsidR="00000000" w:rsidRPr="00000000">
        <w:rPr>
          <w:rtl w:val="0"/>
        </w:rPr>
      </w:r>
    </w:p>
  </w:footnote>
  <w:footnote w:id="37">
    <w:p w:rsidR="00000000" w:rsidDel="00000000" w:rsidP="00000000" w:rsidRDefault="00000000" w:rsidRPr="00000000" w14:paraId="0000009E">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Brink, T.L. (1978) ‘Inconsistency of belief among Roman Catholic girls: Concerning religion, astrology, reincarnation’, </w:t>
      </w:r>
      <w:r w:rsidDel="00000000" w:rsidR="00000000" w:rsidRPr="00000000">
        <w:rPr>
          <w:i w:val="1"/>
          <w:rtl w:val="0"/>
        </w:rPr>
        <w:t xml:space="preserve">Review of Religious Research</w:t>
      </w:r>
      <w:r w:rsidDel="00000000" w:rsidR="00000000" w:rsidRPr="00000000">
        <w:rPr>
          <w:rtl w:val="0"/>
        </w:rPr>
        <w:t xml:space="preserve">, 20(1), p. 85.</w:t>
      </w:r>
    </w:p>
    <w:p w:rsidR="00000000" w:rsidDel="00000000" w:rsidP="00000000" w:rsidRDefault="00000000" w:rsidRPr="00000000" w14:paraId="0000009F">
      <w:pPr>
        <w:spacing w:line="240" w:lineRule="auto"/>
        <w:rPr>
          <w:sz w:val="20"/>
          <w:szCs w:val="20"/>
        </w:rPr>
      </w:pPr>
      <w:r w:rsidDel="00000000" w:rsidR="00000000" w:rsidRPr="00000000">
        <w:rPr>
          <w:rtl w:val="0"/>
        </w:rPr>
      </w:r>
    </w:p>
    <w:p w:rsidR="00000000" w:rsidDel="00000000" w:rsidP="00000000" w:rsidRDefault="00000000" w:rsidRPr="00000000" w14:paraId="000000A0">
      <w:pPr>
        <w:spacing w:line="240" w:lineRule="auto"/>
        <w:rPr>
          <w:sz w:val="20"/>
          <w:szCs w:val="20"/>
        </w:rPr>
      </w:pPr>
      <w:r w:rsidDel="00000000" w:rsidR="00000000" w:rsidRPr="00000000">
        <w:rPr>
          <w:rtl w:val="0"/>
        </w:rPr>
      </w:r>
    </w:p>
    <w:p w:rsidR="00000000" w:rsidDel="00000000" w:rsidP="00000000" w:rsidRDefault="00000000" w:rsidRPr="00000000" w14:paraId="000000A1">
      <w:pPr>
        <w:spacing w:line="240" w:lineRule="auto"/>
        <w:rPr>
          <w:sz w:val="20"/>
          <w:szCs w:val="20"/>
        </w:rPr>
      </w:pPr>
      <w:r w:rsidDel="00000000" w:rsidR="00000000" w:rsidRPr="00000000">
        <w:rPr>
          <w:rtl w:val="0"/>
        </w:rPr>
      </w:r>
    </w:p>
    <w:p w:rsidR="00000000" w:rsidDel="00000000" w:rsidP="00000000" w:rsidRDefault="00000000" w:rsidRPr="00000000" w14:paraId="000000A2">
      <w:pPr>
        <w:spacing w:line="240" w:lineRule="auto"/>
        <w:rPr>
          <w:sz w:val="20"/>
          <w:szCs w:val="20"/>
        </w:rPr>
      </w:pPr>
      <w:r w:rsidDel="00000000" w:rsidR="00000000" w:rsidRPr="00000000">
        <w:rPr>
          <w:rtl w:val="0"/>
        </w:rPr>
      </w:r>
    </w:p>
    <w:p w:rsidR="00000000" w:rsidDel="00000000" w:rsidP="00000000" w:rsidRDefault="00000000" w:rsidRPr="00000000" w14:paraId="000000A3">
      <w:pPr>
        <w:spacing w:line="240" w:lineRule="auto"/>
        <w:rPr>
          <w:sz w:val="20"/>
          <w:szCs w:val="20"/>
        </w:rPr>
      </w:pPr>
      <w:r w:rsidDel="00000000" w:rsidR="00000000" w:rsidRPr="00000000">
        <w:rPr>
          <w:rtl w:val="0"/>
        </w:rPr>
      </w:r>
    </w:p>
  </w:footnote>
  <w:footnote w:id="6">
    <w:p w:rsidR="00000000" w:rsidDel="00000000" w:rsidP="00000000" w:rsidRDefault="00000000" w:rsidRPr="00000000" w14:paraId="000000A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 26</w:t>
      </w:r>
      <w:r w:rsidDel="00000000" w:rsidR="00000000" w:rsidRPr="00000000">
        <w:rPr>
          <w:rtl w:val="0"/>
        </w:rPr>
      </w:r>
    </w:p>
  </w:footnote>
  <w:footnote w:id="9">
    <w:p w:rsidR="00000000" w:rsidDel="00000000" w:rsidP="00000000" w:rsidRDefault="00000000" w:rsidRPr="00000000" w14:paraId="000000A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pp.  XVII–XXXIII. </w:t>
      </w:r>
      <w:r w:rsidDel="00000000" w:rsidR="00000000" w:rsidRPr="00000000">
        <w:rPr>
          <w:rtl w:val="0"/>
        </w:rPr>
      </w:r>
    </w:p>
  </w:footnote>
  <w:footnote w:id="24">
    <w:p w:rsidR="00000000" w:rsidDel="00000000" w:rsidP="00000000" w:rsidRDefault="00000000" w:rsidRPr="00000000" w14:paraId="000000A6">
      <w:pPr>
        <w:spacing w:line="240" w:lineRule="auto"/>
        <w:rPr/>
      </w:pPr>
      <w:r w:rsidDel="00000000" w:rsidR="00000000" w:rsidRPr="00000000">
        <w:rPr>
          <w:rStyle w:val="FootnoteReference"/>
          <w:vertAlign w:val="superscript"/>
        </w:rPr>
        <w:footnoteRef/>
      </w:r>
      <w:r w:rsidDel="00000000" w:rsidR="00000000" w:rsidRPr="00000000">
        <w:rPr>
          <w:rtl w:val="0"/>
        </w:rPr>
        <w:t xml:space="preserve"> Brady, Bernadette (2017) </w:t>
      </w:r>
      <w:r w:rsidDel="00000000" w:rsidR="00000000" w:rsidRPr="00000000">
        <w:rPr>
          <w:i w:val="1"/>
          <w:rtl w:val="0"/>
        </w:rPr>
        <w:t xml:space="preserve">Mountains talk of kings and Dragons, the Brecon Beacons</w:t>
      </w:r>
      <w:r w:rsidDel="00000000" w:rsidR="00000000" w:rsidRPr="00000000">
        <w:rPr>
          <w:rtl w:val="0"/>
        </w:rPr>
        <w:t xml:space="preserve">. Bloomsbury Publishing. p. 13</w:t>
      </w:r>
    </w:p>
  </w:footnote>
  <w:footnote w:id="25">
    <w:p w:rsidR="00000000" w:rsidDel="00000000" w:rsidP="00000000" w:rsidRDefault="00000000" w:rsidRPr="00000000" w14:paraId="000000A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w:t>
      </w:r>
      <w:r w:rsidDel="00000000" w:rsidR="00000000" w:rsidRPr="00000000">
        <w:rPr>
          <w:rtl w:val="0"/>
        </w:rPr>
      </w:r>
    </w:p>
  </w:footnote>
  <w:footnote w:id="28">
    <w:p w:rsidR="00000000" w:rsidDel="00000000" w:rsidP="00000000" w:rsidRDefault="00000000" w:rsidRPr="00000000" w14:paraId="000000A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 p. 169</w:t>
      </w:r>
      <w:r w:rsidDel="00000000" w:rsidR="00000000" w:rsidRPr="00000000">
        <w:rPr>
          <w:rtl w:val="0"/>
        </w:rPr>
      </w:r>
    </w:p>
  </w:footnote>
  <w:footnote w:id="32">
    <w:p w:rsidR="00000000" w:rsidDel="00000000" w:rsidP="00000000" w:rsidRDefault="00000000" w:rsidRPr="00000000" w14:paraId="000000A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w:t>
      </w:r>
      <w:r w:rsidDel="00000000" w:rsidR="00000000" w:rsidRPr="00000000">
        <w:rPr>
          <w:rtl w:val="0"/>
        </w:rPr>
      </w:r>
    </w:p>
  </w:footnote>
  <w:footnote w:id="31">
    <w:p w:rsidR="00000000" w:rsidDel="00000000" w:rsidP="00000000" w:rsidRDefault="00000000" w:rsidRPr="00000000" w14:paraId="000000A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Gunzburg, D. and Brady, B. (2022) </w:t>
      </w:r>
      <w:r w:rsidDel="00000000" w:rsidR="00000000" w:rsidRPr="00000000">
        <w:rPr>
          <w:i w:val="1"/>
          <w:rtl w:val="0"/>
        </w:rPr>
        <w:t xml:space="preserve">Space, place and religious landscapes: Living Mountains</w:t>
      </w:r>
      <w:r w:rsidDel="00000000" w:rsidR="00000000" w:rsidRPr="00000000">
        <w:rPr>
          <w:rtl w:val="0"/>
        </w:rPr>
        <w:t xml:space="preserve">. London: Bloomsbury Academic.</w:t>
      </w:r>
      <w:r w:rsidDel="00000000" w:rsidR="00000000" w:rsidRPr="00000000">
        <w:rPr>
          <w:rtl w:val="0"/>
        </w:rPr>
      </w:r>
    </w:p>
  </w:footnote>
  <w:footnote w:id="33">
    <w:p w:rsidR="00000000" w:rsidDel="00000000" w:rsidP="00000000" w:rsidRDefault="00000000" w:rsidRPr="00000000" w14:paraId="000000AB">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Tilley, C. (1994) </w:t>
      </w:r>
      <w:r w:rsidDel="00000000" w:rsidR="00000000" w:rsidRPr="00000000">
        <w:rPr>
          <w:i w:val="1"/>
          <w:rtl w:val="0"/>
        </w:rPr>
        <w:t xml:space="preserve">A phenomenology of landscape: Places, paths and monuments</w:t>
      </w:r>
      <w:r w:rsidDel="00000000" w:rsidR="00000000" w:rsidRPr="00000000">
        <w:rPr>
          <w:rtl w:val="0"/>
        </w:rPr>
        <w:t xml:space="preserve">. Oxford: Berg.</w:t>
      </w:r>
    </w:p>
  </w:footnote>
  <w:footnote w:id="34">
    <w:p w:rsidR="00000000" w:rsidDel="00000000" w:rsidP="00000000" w:rsidRDefault="00000000" w:rsidRPr="00000000" w14:paraId="000000A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Brady, Bernadette (2017) </w:t>
      </w:r>
      <w:r w:rsidDel="00000000" w:rsidR="00000000" w:rsidRPr="00000000">
        <w:rPr>
          <w:i w:val="1"/>
          <w:rtl w:val="0"/>
        </w:rPr>
        <w:t xml:space="preserve">Mountains talk of kings and Dragons, the Brecon Beacons</w:t>
      </w:r>
      <w:r w:rsidDel="00000000" w:rsidR="00000000" w:rsidRPr="00000000">
        <w:rPr>
          <w:rtl w:val="0"/>
        </w:rPr>
        <w:t xml:space="preserve">. Bloomsbury Publishing. </w:t>
      </w:r>
      <w:r w:rsidDel="00000000" w:rsidR="00000000" w:rsidRPr="00000000">
        <w:rPr>
          <w:rtl w:val="0"/>
        </w:rPr>
      </w:r>
    </w:p>
  </w:footnote>
  <w:footnote w:id="30">
    <w:p w:rsidR="00000000" w:rsidDel="00000000" w:rsidP="00000000" w:rsidRDefault="00000000" w:rsidRPr="00000000" w14:paraId="000000A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 </w:t>
      </w:r>
      <w:r w:rsidDel="00000000" w:rsidR="00000000" w:rsidRPr="00000000">
        <w:rPr>
          <w:rtl w:val="0"/>
        </w:rPr>
      </w:r>
    </w:p>
  </w:footnote>
  <w:footnote w:id="19">
    <w:p w:rsidR="00000000" w:rsidDel="00000000" w:rsidP="00000000" w:rsidRDefault="00000000" w:rsidRPr="00000000" w14:paraId="000000A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w:t>
      </w:r>
      <w:r w:rsidDel="00000000" w:rsidR="00000000" w:rsidRPr="00000000">
        <w:rPr>
          <w:rtl w:val="0"/>
        </w:rPr>
      </w:r>
    </w:p>
  </w:footnote>
  <w:footnote w:id="20">
    <w:p w:rsidR="00000000" w:rsidDel="00000000" w:rsidP="00000000" w:rsidRDefault="00000000" w:rsidRPr="00000000" w14:paraId="000000A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Fields, K.E. and Durkheim, E. (1995) ‘Translator’s introduction: Religion as an Eminently Social Thing ’, in </w:t>
      </w:r>
      <w:r w:rsidDel="00000000" w:rsidR="00000000" w:rsidRPr="00000000">
        <w:rPr>
          <w:i w:val="1"/>
          <w:rtl w:val="0"/>
        </w:rPr>
        <w:t xml:space="preserve">The Elementary Forms of Religious Life </w:t>
      </w:r>
      <w:r w:rsidDel="00000000" w:rsidR="00000000" w:rsidRPr="00000000">
        <w:rPr>
          <w:rtl w:val="0"/>
        </w:rPr>
        <w:t xml:space="preserve">. New York: Free Press, p. XVII–XXXIII.</w:t>
      </w:r>
      <w:r w:rsidDel="00000000" w:rsidR="00000000" w:rsidRPr="00000000">
        <w:rPr>
          <w:rtl w:val="0"/>
        </w:rPr>
      </w:r>
    </w:p>
  </w:footnote>
  <w:footnote w:id="29">
    <w:p w:rsidR="00000000" w:rsidDel="00000000" w:rsidP="00000000" w:rsidRDefault="00000000" w:rsidRPr="00000000" w14:paraId="000000B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Eliade , M. and Trask , W. ‘Chapter 1, Sacred Space and Making the World Sacred ’, in </w:t>
      </w:r>
      <w:r w:rsidDel="00000000" w:rsidR="00000000" w:rsidRPr="00000000">
        <w:rPr>
          <w:i w:val="1"/>
          <w:rtl w:val="0"/>
        </w:rPr>
        <w:t xml:space="preserve">The Sacred and the Profane: The Nature of Religion</w:t>
      </w:r>
      <w:r w:rsidDel="00000000" w:rsidR="00000000" w:rsidRPr="00000000">
        <w:rPr>
          <w:rtl w:val="0"/>
        </w:rPr>
        <w:t xml:space="preserve">. Harcourt Brace &amp; Company, pp. 20–67.</w:t>
      </w:r>
      <w:r w:rsidDel="00000000" w:rsidR="00000000" w:rsidRPr="00000000">
        <w:rPr>
          <w:rtl w:val="0"/>
        </w:rPr>
      </w:r>
    </w:p>
  </w:footnote>
  <w:footnote w:id="35">
    <w:p w:rsidR="00000000" w:rsidDel="00000000" w:rsidP="00000000" w:rsidRDefault="00000000" w:rsidRPr="00000000" w14:paraId="000000B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Schwartz, S., Menken, A., &amp; Kuhn, J. (1995). Colours of the Wind [song]. On Pocahontas: An Original Walt Disney Records Soundtrack [Album]. Walt Disney Records.</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9.jpg"/><Relationship Id="rId10" Type="http://schemas.openxmlformats.org/officeDocument/2006/relationships/image" Target="media/image3.jpg"/><Relationship Id="rId13" Type="http://schemas.openxmlformats.org/officeDocument/2006/relationships/image" Target="media/image6.jpg"/><Relationship Id="rId12" Type="http://schemas.openxmlformats.org/officeDocument/2006/relationships/image" Target="media/image7.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g"/><Relationship Id="rId15" Type="http://schemas.openxmlformats.org/officeDocument/2006/relationships/image" Target="media/image5.jpg"/><Relationship Id="rId14" Type="http://schemas.openxmlformats.org/officeDocument/2006/relationships/image" Target="media/image2.jp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