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
          <w:szCs w:val="24"/>
          <w:lang w:val="en-GB"/>
          <w14:ligatures w14:val="standardContextual"/>
        </w:rPr>
        <w:id w:val="-1363355714"/>
        <w:docPartObj>
          <w:docPartGallery w:val="Cover Pages"/>
          <w:docPartUnique/>
        </w:docPartObj>
      </w:sdtPr>
      <w:sdtEndPr>
        <w:rPr>
          <w:rFonts w:ascii="Arial" w:hAnsi="Arial" w:cs="Arial"/>
          <w:b/>
          <w:bCs/>
          <w:sz w:val="24"/>
          <w:u w:val="single"/>
        </w:rPr>
      </w:sdtEndPr>
      <w:sdtContent>
        <w:p w14:paraId="1B3F596B" w14:textId="63DE047B" w:rsidR="00BE5ABD" w:rsidRDefault="00BE5ABD">
          <w:pPr>
            <w:pStyle w:val="NoSpacing"/>
            <w:rPr>
              <w:sz w:val="2"/>
            </w:rPr>
          </w:pPr>
        </w:p>
        <w:p w14:paraId="68562FFE" w14:textId="77777777" w:rsidR="00BE5ABD" w:rsidRDefault="00BE5ABD">
          <w:r>
            <w:rPr>
              <w:noProof/>
            </w:rPr>
            <mc:AlternateContent>
              <mc:Choice Requires="wps">
                <w:drawing>
                  <wp:anchor distT="0" distB="0" distL="114300" distR="114300" simplePos="0" relativeHeight="251661312" behindDoc="0" locked="0" layoutInCell="1" allowOverlap="1" wp14:anchorId="4D7C001C" wp14:editId="291D0E09">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1C07935" w14:textId="0D26B52B" w:rsidR="00BE5ABD" w:rsidRDefault="00362222" w:rsidP="00052F63">
                                    <w:pPr>
                                      <w:pStyle w:val="NoSpacing"/>
                                      <w:jc w:val="center"/>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Review of case studies</w:t>
                                    </w:r>
                                  </w:p>
                                </w:sdtContent>
                              </w:sdt>
                              <w:p w14:paraId="51658CD3" w14:textId="4F73CBCF" w:rsidR="00967D24" w:rsidRDefault="00BC15D0" w:rsidP="00052F63">
                                <w:pPr>
                                  <w:pStyle w:val="NoSpacing"/>
                                  <w:spacing w:before="120"/>
                                  <w:jc w:val="center"/>
                                  <w:rPr>
                                    <w:noProof/>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EB230F">
                                      <w:rPr>
                                        <w:color w:val="156082" w:themeColor="accent1"/>
                                        <w:sz w:val="36"/>
                                        <w:szCs w:val="36"/>
                                      </w:rPr>
                                      <w:t xml:space="preserve">Evaluate whether </w:t>
                                    </w:r>
                                    <w:r w:rsidR="00590179">
                                      <w:rPr>
                                        <w:color w:val="156082" w:themeColor="accent1"/>
                                        <w:sz w:val="36"/>
                                        <w:szCs w:val="36"/>
                                      </w:rPr>
                                      <w:t xml:space="preserve">the offender (Ted Bundy) was born or made </w:t>
                                    </w:r>
                                    <w:r w:rsidR="00034872">
                                      <w:rPr>
                                        <w:color w:val="156082" w:themeColor="accent1"/>
                                        <w:sz w:val="36"/>
                                        <w:szCs w:val="36"/>
                                      </w:rPr>
                                      <w:t xml:space="preserve">a </w:t>
                                    </w:r>
                                    <w:r w:rsidR="00590179">
                                      <w:rPr>
                                        <w:color w:val="156082" w:themeColor="accent1"/>
                                        <w:sz w:val="36"/>
                                        <w:szCs w:val="36"/>
                                      </w:rPr>
                                      <w:t>criminal</w:t>
                                    </w:r>
                                    <w:r w:rsidR="00967D24">
                                      <w:rPr>
                                        <w:color w:val="156082" w:themeColor="accent1"/>
                                        <w:sz w:val="36"/>
                                        <w:szCs w:val="36"/>
                                      </w:rPr>
                                      <w:t>, using criminological theory.</w:t>
                                    </w:r>
                                  </w:sdtContent>
                                </w:sdt>
                              </w:p>
                              <w:p w14:paraId="5C4E0966" w14:textId="77777777" w:rsidR="00052F63" w:rsidRDefault="00052F63" w:rsidP="00052F63">
                                <w:pPr>
                                  <w:pStyle w:val="NoSpacing"/>
                                  <w:spacing w:before="120"/>
                                  <w:jc w:val="center"/>
                                  <w:rPr>
                                    <w:noProof/>
                                  </w:rPr>
                                </w:pPr>
                              </w:p>
                              <w:p w14:paraId="6FA81EFD" w14:textId="5DBBC72E" w:rsidR="00052F63" w:rsidRPr="00052F63" w:rsidRDefault="00052F63" w:rsidP="00052F63">
                                <w:pPr>
                                  <w:pStyle w:val="NoSpacing"/>
                                  <w:spacing w:before="120"/>
                                  <w:jc w:val="center"/>
                                  <w:rPr>
                                    <w:color w:val="156082" w:themeColor="accent1"/>
                                    <w:sz w:val="36"/>
                                    <w:szCs w:val="36"/>
                                  </w:rPr>
                                </w:pPr>
                                <w:r w:rsidRPr="00052F63">
                                  <w:rPr>
                                    <w:noProof/>
                                    <w:color w:val="156082" w:themeColor="accent1"/>
                                    <w:sz w:val="36"/>
                                    <w:szCs w:val="36"/>
                                  </w:rPr>
                                  <w:t>BMPL5010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D7C001C" id="_x0000_t202" coordsize="21600,21600" o:spt="202" path="m,l,21600r21600,l21600,xe">
                    <v:stroke joinstyle="miter"/>
                    <v:path gradientshapeok="t" o:connecttype="rect"/>
                  </v:shapetype>
                  <v:shape id="Text Box 15"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1C07935" w14:textId="0D26B52B" w:rsidR="00BE5ABD" w:rsidRDefault="00362222" w:rsidP="00052F63">
                              <w:pPr>
                                <w:pStyle w:val="NoSpacing"/>
                                <w:jc w:val="center"/>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Review of case studies</w:t>
                              </w:r>
                            </w:p>
                          </w:sdtContent>
                        </w:sdt>
                        <w:p w14:paraId="51658CD3" w14:textId="4F73CBCF" w:rsidR="00967D24" w:rsidRDefault="00BC15D0" w:rsidP="00052F63">
                          <w:pPr>
                            <w:pStyle w:val="NoSpacing"/>
                            <w:spacing w:before="120"/>
                            <w:jc w:val="center"/>
                            <w:rPr>
                              <w:noProof/>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EB230F">
                                <w:rPr>
                                  <w:color w:val="156082" w:themeColor="accent1"/>
                                  <w:sz w:val="36"/>
                                  <w:szCs w:val="36"/>
                                </w:rPr>
                                <w:t xml:space="preserve">Evaluate whether </w:t>
                              </w:r>
                              <w:r w:rsidR="00590179">
                                <w:rPr>
                                  <w:color w:val="156082" w:themeColor="accent1"/>
                                  <w:sz w:val="36"/>
                                  <w:szCs w:val="36"/>
                                </w:rPr>
                                <w:t xml:space="preserve">the offender (Ted Bundy) was born or made </w:t>
                              </w:r>
                              <w:r w:rsidR="00034872">
                                <w:rPr>
                                  <w:color w:val="156082" w:themeColor="accent1"/>
                                  <w:sz w:val="36"/>
                                  <w:szCs w:val="36"/>
                                </w:rPr>
                                <w:t xml:space="preserve">a </w:t>
                              </w:r>
                              <w:r w:rsidR="00590179">
                                <w:rPr>
                                  <w:color w:val="156082" w:themeColor="accent1"/>
                                  <w:sz w:val="36"/>
                                  <w:szCs w:val="36"/>
                                </w:rPr>
                                <w:t>criminal</w:t>
                              </w:r>
                              <w:r w:rsidR="00967D24">
                                <w:rPr>
                                  <w:color w:val="156082" w:themeColor="accent1"/>
                                  <w:sz w:val="36"/>
                                  <w:szCs w:val="36"/>
                                </w:rPr>
                                <w:t>, using criminological theory.</w:t>
                              </w:r>
                            </w:sdtContent>
                          </w:sdt>
                        </w:p>
                        <w:p w14:paraId="5C4E0966" w14:textId="77777777" w:rsidR="00052F63" w:rsidRDefault="00052F63" w:rsidP="00052F63">
                          <w:pPr>
                            <w:pStyle w:val="NoSpacing"/>
                            <w:spacing w:before="120"/>
                            <w:jc w:val="center"/>
                            <w:rPr>
                              <w:noProof/>
                            </w:rPr>
                          </w:pPr>
                        </w:p>
                        <w:p w14:paraId="6FA81EFD" w14:textId="5DBBC72E" w:rsidR="00052F63" w:rsidRPr="00052F63" w:rsidRDefault="00052F63" w:rsidP="00052F63">
                          <w:pPr>
                            <w:pStyle w:val="NoSpacing"/>
                            <w:spacing w:before="120"/>
                            <w:jc w:val="center"/>
                            <w:rPr>
                              <w:color w:val="156082" w:themeColor="accent1"/>
                              <w:sz w:val="36"/>
                              <w:szCs w:val="36"/>
                            </w:rPr>
                          </w:pPr>
                          <w:r w:rsidRPr="00052F63">
                            <w:rPr>
                              <w:noProof/>
                              <w:color w:val="156082" w:themeColor="accent1"/>
                              <w:sz w:val="36"/>
                              <w:szCs w:val="36"/>
                            </w:rPr>
                            <w:t>BMPL5010</w:t>
                          </w:r>
                        </w:p>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5AB03D45" wp14:editId="362B5D47">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365C6C0"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38A64522" wp14:editId="5DB7091C">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77CF89" w14:textId="2506C468" w:rsidR="00BE5ABD" w:rsidRDefault="00BC15D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BE5ABD">
                                      <w:rPr>
                                        <w:color w:val="156082" w:themeColor="accent1"/>
                                        <w:sz w:val="36"/>
                                        <w:szCs w:val="36"/>
                                      </w:rPr>
                                      <w:t>Name: Christina Mikayla Davies</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B618DB8" w14:textId="0B0AE8C9" w:rsidR="00BE5ABD" w:rsidRDefault="00BE5ABD">
                                    <w:pPr>
                                      <w:pStyle w:val="NoSpacing"/>
                                      <w:jc w:val="right"/>
                                      <w:rPr>
                                        <w:color w:val="156082" w:themeColor="accent1"/>
                                        <w:sz w:val="36"/>
                                        <w:szCs w:val="36"/>
                                      </w:rPr>
                                    </w:pPr>
                                    <w:r>
                                      <w:rPr>
                                        <w:color w:val="156082" w:themeColor="accent1"/>
                                        <w:sz w:val="36"/>
                                        <w:szCs w:val="36"/>
                                      </w:rPr>
                                      <w:t xml:space="preserve">Student </w:t>
                                    </w:r>
                                    <w:r w:rsidR="00EC4DC5">
                                      <w:rPr>
                                        <w:color w:val="156082" w:themeColor="accent1"/>
                                        <w:sz w:val="36"/>
                                        <w:szCs w:val="36"/>
                                      </w:rPr>
                                      <w:t>Number: 2204423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8A64522" id="Text Box 16"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2C77CF89" w14:textId="2506C468" w:rsidR="00BE5ABD" w:rsidRDefault="00BC15D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BE5ABD">
                                <w:rPr>
                                  <w:color w:val="156082" w:themeColor="accent1"/>
                                  <w:sz w:val="36"/>
                                  <w:szCs w:val="36"/>
                                </w:rPr>
                                <w:t>Name: Christina Mikayla Davies</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B618DB8" w14:textId="0B0AE8C9" w:rsidR="00BE5ABD" w:rsidRDefault="00BE5ABD">
                              <w:pPr>
                                <w:pStyle w:val="NoSpacing"/>
                                <w:jc w:val="right"/>
                                <w:rPr>
                                  <w:color w:val="156082" w:themeColor="accent1"/>
                                  <w:sz w:val="36"/>
                                  <w:szCs w:val="36"/>
                                </w:rPr>
                              </w:pPr>
                              <w:r>
                                <w:rPr>
                                  <w:color w:val="156082" w:themeColor="accent1"/>
                                  <w:sz w:val="36"/>
                                  <w:szCs w:val="36"/>
                                </w:rPr>
                                <w:t xml:space="preserve">Student </w:t>
                              </w:r>
                              <w:r w:rsidR="00EC4DC5">
                                <w:rPr>
                                  <w:color w:val="156082" w:themeColor="accent1"/>
                                  <w:sz w:val="36"/>
                                  <w:szCs w:val="36"/>
                                </w:rPr>
                                <w:t>Number: 2204423</w:t>
                              </w:r>
                            </w:p>
                          </w:sdtContent>
                        </w:sdt>
                      </w:txbxContent>
                    </v:textbox>
                    <w10:wrap anchorx="page" anchory="margin"/>
                  </v:shape>
                </w:pict>
              </mc:Fallback>
            </mc:AlternateContent>
          </w:r>
        </w:p>
        <w:p w14:paraId="57DCF573" w14:textId="5AAA403C" w:rsidR="00F913DC" w:rsidRDefault="00BE5ABD" w:rsidP="00F913DC">
          <w:pPr>
            <w:rPr>
              <w:rFonts w:ascii="Arial" w:hAnsi="Arial" w:cs="Arial"/>
              <w:b/>
              <w:bCs/>
              <w:u w:val="single"/>
            </w:rPr>
          </w:pPr>
          <w:r>
            <w:rPr>
              <w:rFonts w:ascii="Arial" w:hAnsi="Arial" w:cs="Arial"/>
              <w:b/>
              <w:bCs/>
              <w:u w:val="single"/>
            </w:rPr>
            <w:br w:type="page"/>
          </w:r>
        </w:p>
      </w:sdtContent>
    </w:sdt>
    <w:p w14:paraId="1ED1D222" w14:textId="0201815C" w:rsidR="00A24D20" w:rsidRPr="00527E32" w:rsidRDefault="00A24D20" w:rsidP="00527E32">
      <w:pPr>
        <w:spacing w:line="360" w:lineRule="auto"/>
        <w:rPr>
          <w:rFonts w:ascii="Arial" w:hAnsi="Arial" w:cs="Arial"/>
          <w:b/>
          <w:bCs/>
          <w:u w:val="single"/>
        </w:rPr>
      </w:pPr>
      <w:r w:rsidRPr="00527E32">
        <w:rPr>
          <w:rFonts w:ascii="Arial" w:hAnsi="Arial" w:cs="Arial"/>
          <w:b/>
          <w:bCs/>
          <w:u w:val="single"/>
        </w:rPr>
        <w:lastRenderedPageBreak/>
        <w:t>Evaluate whether the offender (Ted Bundy) was born or made</w:t>
      </w:r>
      <w:r w:rsidR="00034872" w:rsidRPr="00527E32">
        <w:rPr>
          <w:rFonts w:ascii="Arial" w:hAnsi="Arial" w:cs="Arial"/>
          <w:b/>
          <w:bCs/>
          <w:u w:val="single"/>
        </w:rPr>
        <w:t xml:space="preserve"> a </w:t>
      </w:r>
      <w:r w:rsidR="00AE56E4" w:rsidRPr="00527E32">
        <w:rPr>
          <w:rFonts w:ascii="Arial" w:hAnsi="Arial" w:cs="Arial"/>
          <w:b/>
          <w:bCs/>
          <w:u w:val="single"/>
        </w:rPr>
        <w:t>criminal</w:t>
      </w:r>
      <w:r w:rsidR="00034872" w:rsidRPr="00527E32">
        <w:rPr>
          <w:rFonts w:ascii="Arial" w:hAnsi="Arial" w:cs="Arial"/>
          <w:b/>
          <w:bCs/>
          <w:u w:val="single"/>
        </w:rPr>
        <w:t>,</w:t>
      </w:r>
      <w:r w:rsidRPr="00527E32">
        <w:rPr>
          <w:rFonts w:ascii="Arial" w:hAnsi="Arial" w:cs="Arial"/>
          <w:b/>
          <w:bCs/>
          <w:u w:val="single"/>
        </w:rPr>
        <w:t xml:space="preserve"> using criminological theory.</w:t>
      </w:r>
    </w:p>
    <w:p w14:paraId="218483A2" w14:textId="4E549B2C" w:rsidR="00430761" w:rsidRPr="00527E32" w:rsidRDefault="00070A4F" w:rsidP="00527E32">
      <w:pPr>
        <w:spacing w:line="360" w:lineRule="auto"/>
        <w:rPr>
          <w:rFonts w:ascii="Arial" w:hAnsi="Arial" w:cs="Arial"/>
        </w:rPr>
      </w:pPr>
      <w:r w:rsidRPr="00527E32">
        <w:rPr>
          <w:rFonts w:ascii="Arial" w:hAnsi="Arial" w:cs="Arial"/>
        </w:rPr>
        <w:t xml:space="preserve">This is a supportive paper </w:t>
      </w:r>
      <w:r w:rsidR="00BE5ABD" w:rsidRPr="00527E32">
        <w:rPr>
          <w:rFonts w:ascii="Arial" w:hAnsi="Arial" w:cs="Arial"/>
        </w:rPr>
        <w:t xml:space="preserve">about </w:t>
      </w:r>
      <w:r w:rsidR="00317CAD" w:rsidRPr="00527E32">
        <w:rPr>
          <w:rFonts w:ascii="Arial" w:hAnsi="Arial" w:cs="Arial"/>
        </w:rPr>
        <w:t xml:space="preserve">social </w:t>
      </w:r>
      <w:r w:rsidR="00D32E1A" w:rsidRPr="00527E32">
        <w:rPr>
          <w:rFonts w:ascii="Arial" w:hAnsi="Arial" w:cs="Arial"/>
        </w:rPr>
        <w:t>learning</w:t>
      </w:r>
      <w:r w:rsidR="000E106A" w:rsidRPr="00527E32">
        <w:rPr>
          <w:rFonts w:ascii="Arial" w:hAnsi="Arial" w:cs="Arial"/>
        </w:rPr>
        <w:t xml:space="preserve"> theory (</w:t>
      </w:r>
      <w:r w:rsidR="00B442C6" w:rsidRPr="00527E32">
        <w:rPr>
          <w:rFonts w:ascii="Arial" w:hAnsi="Arial" w:cs="Arial"/>
        </w:rPr>
        <w:t>Bandura, 2014;</w:t>
      </w:r>
      <w:r w:rsidR="00E06393" w:rsidRPr="00527E32">
        <w:rPr>
          <w:rFonts w:ascii="Arial" w:hAnsi="Arial" w:cs="Arial"/>
        </w:rPr>
        <w:t xml:space="preserve"> </w:t>
      </w:r>
      <w:proofErr w:type="spellStart"/>
      <w:r w:rsidR="00E06393" w:rsidRPr="00527E32">
        <w:rPr>
          <w:rFonts w:ascii="Arial" w:hAnsi="Arial" w:cs="Arial"/>
        </w:rPr>
        <w:t>Mcleod</w:t>
      </w:r>
      <w:proofErr w:type="spellEnd"/>
      <w:r w:rsidR="00E06393" w:rsidRPr="00527E32">
        <w:rPr>
          <w:rFonts w:ascii="Arial" w:hAnsi="Arial" w:cs="Arial"/>
        </w:rPr>
        <w:t>, 2024)</w:t>
      </w:r>
      <w:r w:rsidR="00833007" w:rsidRPr="00527E32">
        <w:rPr>
          <w:rFonts w:ascii="Arial" w:hAnsi="Arial" w:cs="Arial"/>
        </w:rPr>
        <w:t xml:space="preserve"> and </w:t>
      </w:r>
      <w:r w:rsidR="000F695A" w:rsidRPr="00527E32">
        <w:rPr>
          <w:rFonts w:ascii="Arial" w:hAnsi="Arial" w:cs="Arial"/>
        </w:rPr>
        <w:t xml:space="preserve">the differential association theory </w:t>
      </w:r>
      <w:bookmarkStart w:id="0" w:name="_Hlk159422635"/>
      <w:r w:rsidR="00BD33B2" w:rsidRPr="00527E32">
        <w:rPr>
          <w:rFonts w:ascii="Arial" w:hAnsi="Arial" w:cs="Arial"/>
        </w:rPr>
        <w:t>(Nickerson, 2024)</w:t>
      </w:r>
      <w:r w:rsidR="00317CAD" w:rsidRPr="00527E32">
        <w:rPr>
          <w:rFonts w:ascii="Arial" w:hAnsi="Arial" w:cs="Arial"/>
        </w:rPr>
        <w:t xml:space="preserve"> </w:t>
      </w:r>
      <w:bookmarkEnd w:id="0"/>
      <w:r w:rsidR="001B7CD1" w:rsidRPr="00527E32">
        <w:rPr>
          <w:rFonts w:ascii="Arial" w:hAnsi="Arial" w:cs="Arial"/>
        </w:rPr>
        <w:t>related</w:t>
      </w:r>
      <w:r w:rsidR="00317CAD" w:rsidRPr="00527E32">
        <w:rPr>
          <w:rFonts w:ascii="Arial" w:hAnsi="Arial" w:cs="Arial"/>
        </w:rPr>
        <w:t xml:space="preserve"> to </w:t>
      </w:r>
      <w:r w:rsidR="00BE5ABD" w:rsidRPr="00527E32">
        <w:rPr>
          <w:rFonts w:ascii="Arial" w:hAnsi="Arial" w:cs="Arial"/>
        </w:rPr>
        <w:t xml:space="preserve">Ted </w:t>
      </w:r>
      <w:r w:rsidR="001252E1" w:rsidRPr="00527E32">
        <w:rPr>
          <w:rFonts w:ascii="Arial" w:hAnsi="Arial" w:cs="Arial"/>
        </w:rPr>
        <w:t>Bundy’s</w:t>
      </w:r>
      <w:r w:rsidR="000433F3" w:rsidRPr="00527E32">
        <w:rPr>
          <w:rFonts w:ascii="Arial" w:hAnsi="Arial" w:cs="Arial"/>
        </w:rPr>
        <w:t xml:space="preserve"> childhood</w:t>
      </w:r>
      <w:r w:rsidR="008B4745" w:rsidRPr="00527E32">
        <w:rPr>
          <w:rFonts w:ascii="Arial" w:hAnsi="Arial" w:cs="Arial"/>
        </w:rPr>
        <w:t>.</w:t>
      </w:r>
    </w:p>
    <w:p w14:paraId="5E23D8B4" w14:textId="6894992D" w:rsidR="00B54B84" w:rsidRPr="00527E32" w:rsidRDefault="006330A9" w:rsidP="00527E32">
      <w:pPr>
        <w:spacing w:line="360" w:lineRule="auto"/>
        <w:rPr>
          <w:rFonts w:ascii="Arial" w:hAnsi="Arial" w:cs="Arial"/>
        </w:rPr>
      </w:pPr>
      <w:r w:rsidRPr="00527E32">
        <w:rPr>
          <w:rFonts w:ascii="Arial" w:hAnsi="Arial" w:cs="Arial"/>
        </w:rPr>
        <w:t xml:space="preserve">Albert Bandura developed the social learning theory in 1969, and it explains that it is a behaviour in which someone learns by observing and imitating the same behaviours themselves </w:t>
      </w:r>
      <w:r w:rsidR="00911B1D" w:rsidRPr="00527E32">
        <w:rPr>
          <w:rFonts w:ascii="Arial" w:hAnsi="Arial" w:cs="Arial"/>
        </w:rPr>
        <w:t xml:space="preserve">(Bandura, 2014; </w:t>
      </w:r>
      <w:proofErr w:type="spellStart"/>
      <w:r w:rsidR="00911B1D" w:rsidRPr="00527E32">
        <w:rPr>
          <w:rFonts w:ascii="Arial" w:hAnsi="Arial" w:cs="Arial"/>
        </w:rPr>
        <w:t>Mcleod</w:t>
      </w:r>
      <w:proofErr w:type="spellEnd"/>
      <w:r w:rsidR="00911B1D" w:rsidRPr="00527E32">
        <w:rPr>
          <w:rFonts w:ascii="Arial" w:hAnsi="Arial" w:cs="Arial"/>
        </w:rPr>
        <w:t>, 2024)</w:t>
      </w:r>
      <w:r w:rsidR="003513F9" w:rsidRPr="00527E32">
        <w:rPr>
          <w:rFonts w:ascii="Arial" w:hAnsi="Arial" w:cs="Arial"/>
        </w:rPr>
        <w:t>.</w:t>
      </w:r>
    </w:p>
    <w:p w14:paraId="4D470EFE" w14:textId="42B5B193" w:rsidR="00CA5265" w:rsidRPr="00527E32" w:rsidRDefault="00E43738" w:rsidP="00527E32">
      <w:pPr>
        <w:spacing w:line="360" w:lineRule="auto"/>
        <w:rPr>
          <w:rFonts w:ascii="Arial" w:hAnsi="Arial" w:cs="Arial"/>
        </w:rPr>
      </w:pPr>
      <w:r w:rsidRPr="00527E32">
        <w:rPr>
          <w:rFonts w:ascii="Arial" w:hAnsi="Arial" w:cs="Arial"/>
        </w:rPr>
        <w:t xml:space="preserve">Using </w:t>
      </w:r>
      <w:r w:rsidR="00CA5265" w:rsidRPr="00527E32">
        <w:rPr>
          <w:rFonts w:ascii="Arial" w:hAnsi="Arial" w:cs="Arial"/>
        </w:rPr>
        <w:t xml:space="preserve">Ted Bundy </w:t>
      </w:r>
      <w:r w:rsidRPr="00527E32">
        <w:rPr>
          <w:rFonts w:ascii="Arial" w:hAnsi="Arial" w:cs="Arial"/>
        </w:rPr>
        <w:t>as a case study</w:t>
      </w:r>
      <w:r w:rsidR="001851BD" w:rsidRPr="00527E32">
        <w:rPr>
          <w:rFonts w:ascii="Arial" w:hAnsi="Arial" w:cs="Arial"/>
        </w:rPr>
        <w:t>,</w:t>
      </w:r>
      <w:r w:rsidRPr="00527E32">
        <w:rPr>
          <w:rFonts w:ascii="Arial" w:hAnsi="Arial" w:cs="Arial"/>
        </w:rPr>
        <w:t xml:space="preserve"> Ted </w:t>
      </w:r>
      <w:r w:rsidR="00CA5265" w:rsidRPr="00527E32">
        <w:rPr>
          <w:rFonts w:ascii="Arial" w:hAnsi="Arial" w:cs="Arial"/>
        </w:rPr>
        <w:t xml:space="preserve">was an American </w:t>
      </w:r>
      <w:r w:rsidR="007D0AB5" w:rsidRPr="00527E32">
        <w:rPr>
          <w:rFonts w:ascii="Arial" w:hAnsi="Arial" w:cs="Arial"/>
        </w:rPr>
        <w:t xml:space="preserve">serial killer (Cimino, 2019) who kidnapped, </w:t>
      </w:r>
      <w:r w:rsidR="00D05388" w:rsidRPr="00527E32">
        <w:rPr>
          <w:rFonts w:ascii="Arial" w:hAnsi="Arial" w:cs="Arial"/>
        </w:rPr>
        <w:t>raped,</w:t>
      </w:r>
      <w:r w:rsidR="002D5C96" w:rsidRPr="00527E32">
        <w:rPr>
          <w:rFonts w:ascii="Arial" w:hAnsi="Arial" w:cs="Arial"/>
        </w:rPr>
        <w:t xml:space="preserve"> and murdered young </w:t>
      </w:r>
      <w:r w:rsidR="001252E1" w:rsidRPr="00527E32">
        <w:rPr>
          <w:rFonts w:ascii="Arial" w:hAnsi="Arial" w:cs="Arial"/>
        </w:rPr>
        <w:t>women</w:t>
      </w:r>
      <w:r w:rsidR="002D5C96" w:rsidRPr="00527E32">
        <w:rPr>
          <w:rFonts w:ascii="Arial" w:hAnsi="Arial" w:cs="Arial"/>
        </w:rPr>
        <w:t xml:space="preserve"> and girls (</w:t>
      </w:r>
      <w:proofErr w:type="spellStart"/>
      <w:r w:rsidR="002D5C96" w:rsidRPr="00527E32">
        <w:rPr>
          <w:rFonts w:ascii="Arial" w:hAnsi="Arial" w:cs="Arial"/>
        </w:rPr>
        <w:t>Pedneault</w:t>
      </w:r>
      <w:proofErr w:type="spellEnd"/>
      <w:r w:rsidR="002D5C96" w:rsidRPr="00527E32">
        <w:rPr>
          <w:rFonts w:ascii="Arial" w:hAnsi="Arial" w:cs="Arial"/>
        </w:rPr>
        <w:t xml:space="preserve">, </w:t>
      </w:r>
      <w:r w:rsidR="005A15DB" w:rsidRPr="00527E32">
        <w:rPr>
          <w:rFonts w:ascii="Arial" w:hAnsi="Arial" w:cs="Arial"/>
        </w:rPr>
        <w:t>2002). In 1</w:t>
      </w:r>
      <w:r w:rsidR="00CC791D" w:rsidRPr="00527E32">
        <w:rPr>
          <w:rFonts w:ascii="Arial" w:hAnsi="Arial" w:cs="Arial"/>
        </w:rPr>
        <w:t>989, he</w:t>
      </w:r>
      <w:r w:rsidR="00B57FEF" w:rsidRPr="00527E32">
        <w:rPr>
          <w:rFonts w:ascii="Arial" w:hAnsi="Arial" w:cs="Arial"/>
        </w:rPr>
        <w:t xml:space="preserve"> was</w:t>
      </w:r>
      <w:r w:rsidR="00CC791D" w:rsidRPr="00527E32">
        <w:rPr>
          <w:rFonts w:ascii="Arial" w:hAnsi="Arial" w:cs="Arial"/>
        </w:rPr>
        <w:t xml:space="preserve"> captured and executed (Paredes &amp; </w:t>
      </w:r>
      <w:r w:rsidR="002626FE" w:rsidRPr="00527E32">
        <w:rPr>
          <w:rFonts w:ascii="Arial" w:hAnsi="Arial" w:cs="Arial"/>
        </w:rPr>
        <w:t xml:space="preserve">Purdum, 1990) </w:t>
      </w:r>
      <w:r w:rsidR="00B57FEF" w:rsidRPr="00527E32">
        <w:rPr>
          <w:rFonts w:ascii="Arial" w:hAnsi="Arial" w:cs="Arial"/>
        </w:rPr>
        <w:t xml:space="preserve">at the age of </w:t>
      </w:r>
      <w:r w:rsidR="00EB6C90" w:rsidRPr="00527E32">
        <w:rPr>
          <w:rFonts w:ascii="Arial" w:hAnsi="Arial" w:cs="Arial"/>
        </w:rPr>
        <w:t>forty-two (Terranova, 2020).</w:t>
      </w:r>
      <w:r w:rsidR="0006473F" w:rsidRPr="00527E32">
        <w:rPr>
          <w:rFonts w:ascii="Arial" w:hAnsi="Arial" w:cs="Arial"/>
        </w:rPr>
        <w:t xml:space="preserve"> </w:t>
      </w:r>
      <w:r w:rsidR="004E738B" w:rsidRPr="00527E32">
        <w:rPr>
          <w:rFonts w:ascii="Arial" w:hAnsi="Arial" w:cs="Arial"/>
        </w:rPr>
        <w:t>Ted</w:t>
      </w:r>
      <w:r w:rsidR="0006473F" w:rsidRPr="00527E32">
        <w:rPr>
          <w:rFonts w:ascii="Arial" w:hAnsi="Arial" w:cs="Arial"/>
        </w:rPr>
        <w:t xml:space="preserve"> </w:t>
      </w:r>
      <w:r w:rsidR="00EB6C90" w:rsidRPr="00527E32">
        <w:rPr>
          <w:rFonts w:ascii="Arial" w:hAnsi="Arial" w:cs="Arial"/>
        </w:rPr>
        <w:t xml:space="preserve">was born </w:t>
      </w:r>
      <w:r w:rsidR="00304C8D" w:rsidRPr="00527E32">
        <w:rPr>
          <w:rFonts w:ascii="Arial" w:hAnsi="Arial" w:cs="Arial"/>
        </w:rPr>
        <w:t>in Burlington, Vermont</w:t>
      </w:r>
      <w:r w:rsidR="001102A2" w:rsidRPr="00527E32">
        <w:rPr>
          <w:rFonts w:ascii="Arial" w:hAnsi="Arial" w:cs="Arial"/>
        </w:rPr>
        <w:t>, on the twenty-fourth of November 1946 (Terranova, 2020)</w:t>
      </w:r>
      <w:r w:rsidR="004E738B" w:rsidRPr="00527E32">
        <w:rPr>
          <w:rFonts w:ascii="Arial" w:hAnsi="Arial" w:cs="Arial"/>
        </w:rPr>
        <w:t xml:space="preserve">. </w:t>
      </w:r>
      <w:r w:rsidR="002F5F16" w:rsidRPr="00527E32">
        <w:rPr>
          <w:rFonts w:ascii="Arial" w:hAnsi="Arial" w:cs="Arial"/>
        </w:rPr>
        <w:t xml:space="preserve">Ted’s biological mother was Louise </w:t>
      </w:r>
      <w:r w:rsidR="00961A5B" w:rsidRPr="00527E32">
        <w:rPr>
          <w:rFonts w:ascii="Arial" w:hAnsi="Arial" w:cs="Arial"/>
        </w:rPr>
        <w:t>Cowell (Rockefeller, 2016)</w:t>
      </w:r>
      <w:r w:rsidR="00DF58F2" w:rsidRPr="00527E32">
        <w:rPr>
          <w:rFonts w:ascii="Arial" w:hAnsi="Arial" w:cs="Arial"/>
        </w:rPr>
        <w:t xml:space="preserve">. </w:t>
      </w:r>
      <w:r w:rsidR="001178E6" w:rsidRPr="00527E32">
        <w:rPr>
          <w:rFonts w:ascii="Arial" w:hAnsi="Arial" w:cs="Arial"/>
        </w:rPr>
        <w:t xml:space="preserve">Ted was raised </w:t>
      </w:r>
      <w:r w:rsidR="00B7247B" w:rsidRPr="00527E32">
        <w:rPr>
          <w:rFonts w:ascii="Arial" w:hAnsi="Arial" w:cs="Arial"/>
        </w:rPr>
        <w:t xml:space="preserve">in </w:t>
      </w:r>
      <w:r w:rsidR="00332342" w:rsidRPr="00527E32">
        <w:rPr>
          <w:rFonts w:ascii="Arial" w:hAnsi="Arial" w:cs="Arial"/>
        </w:rPr>
        <w:t xml:space="preserve">Philadelphia </w:t>
      </w:r>
      <w:r w:rsidR="00080733" w:rsidRPr="00527E32">
        <w:rPr>
          <w:rFonts w:ascii="Arial" w:hAnsi="Arial" w:cs="Arial"/>
        </w:rPr>
        <w:t xml:space="preserve">(Hourly History, 2017) </w:t>
      </w:r>
      <w:r w:rsidR="001178E6" w:rsidRPr="00527E32">
        <w:rPr>
          <w:rFonts w:ascii="Arial" w:hAnsi="Arial" w:cs="Arial"/>
        </w:rPr>
        <w:t>by his</w:t>
      </w:r>
      <w:r w:rsidR="00976FA7" w:rsidRPr="00527E32">
        <w:rPr>
          <w:rFonts w:ascii="Arial" w:hAnsi="Arial" w:cs="Arial"/>
        </w:rPr>
        <w:t xml:space="preserve"> strict and religious</w:t>
      </w:r>
      <w:r w:rsidR="001178E6" w:rsidRPr="00527E32">
        <w:rPr>
          <w:rFonts w:ascii="Arial" w:hAnsi="Arial" w:cs="Arial"/>
        </w:rPr>
        <w:t xml:space="preserve"> grandparents</w:t>
      </w:r>
      <w:r w:rsidR="00CB739D" w:rsidRPr="00527E32">
        <w:rPr>
          <w:rFonts w:ascii="Arial" w:hAnsi="Arial" w:cs="Arial"/>
        </w:rPr>
        <w:t>,</w:t>
      </w:r>
      <w:r w:rsidR="005E5DD9" w:rsidRPr="00527E32">
        <w:rPr>
          <w:rFonts w:ascii="Arial" w:hAnsi="Arial" w:cs="Arial"/>
        </w:rPr>
        <w:t xml:space="preserve"> </w:t>
      </w:r>
      <w:proofErr w:type="gramStart"/>
      <w:r w:rsidR="00F027AC" w:rsidRPr="00527E32">
        <w:rPr>
          <w:rFonts w:ascii="Arial" w:hAnsi="Arial" w:cs="Arial"/>
        </w:rPr>
        <w:t>Samuel</w:t>
      </w:r>
      <w:proofErr w:type="gramEnd"/>
      <w:r w:rsidR="00F027AC" w:rsidRPr="00527E32">
        <w:rPr>
          <w:rFonts w:ascii="Arial" w:hAnsi="Arial" w:cs="Arial"/>
        </w:rPr>
        <w:t xml:space="preserve"> and Eleanor Cowell (Poret, 2019</w:t>
      </w:r>
      <w:r w:rsidR="00344011" w:rsidRPr="00527E32">
        <w:rPr>
          <w:rFonts w:ascii="Arial" w:hAnsi="Arial" w:cs="Arial"/>
        </w:rPr>
        <w:t>; Rockefeller, 2016)</w:t>
      </w:r>
      <w:r w:rsidR="00B7247B" w:rsidRPr="00527E32">
        <w:rPr>
          <w:rFonts w:ascii="Arial" w:hAnsi="Arial" w:cs="Arial"/>
        </w:rPr>
        <w:t>.</w:t>
      </w:r>
    </w:p>
    <w:p w14:paraId="183CD855" w14:textId="2BF8A18A" w:rsidR="001D676B" w:rsidRPr="00527E32" w:rsidRDefault="000678AC" w:rsidP="00527E32">
      <w:pPr>
        <w:spacing w:line="360" w:lineRule="auto"/>
        <w:rPr>
          <w:rFonts w:ascii="Arial" w:hAnsi="Arial" w:cs="Arial"/>
        </w:rPr>
      </w:pPr>
      <w:r w:rsidRPr="00527E32">
        <w:rPr>
          <w:rFonts w:ascii="Arial" w:hAnsi="Arial" w:cs="Arial"/>
        </w:rPr>
        <w:t>S</w:t>
      </w:r>
      <w:r w:rsidR="00244577" w:rsidRPr="00527E32">
        <w:rPr>
          <w:rFonts w:ascii="Arial" w:hAnsi="Arial" w:cs="Arial"/>
        </w:rPr>
        <w:t xml:space="preserve">ocial learning theory </w:t>
      </w:r>
      <w:r w:rsidR="000E15E9" w:rsidRPr="00527E32">
        <w:rPr>
          <w:rFonts w:ascii="Arial" w:hAnsi="Arial" w:cs="Arial"/>
        </w:rPr>
        <w:t xml:space="preserve">explains how Ted’s childhood development </w:t>
      </w:r>
      <w:r w:rsidRPr="00527E32">
        <w:rPr>
          <w:rFonts w:ascii="Arial" w:hAnsi="Arial" w:cs="Arial"/>
        </w:rPr>
        <w:t>directly impacted</w:t>
      </w:r>
      <w:r w:rsidR="000E15E9" w:rsidRPr="00527E32">
        <w:rPr>
          <w:rFonts w:ascii="Arial" w:hAnsi="Arial" w:cs="Arial"/>
        </w:rPr>
        <w:t xml:space="preserve"> his actions within </w:t>
      </w:r>
      <w:r w:rsidR="009601B0" w:rsidRPr="00527E32">
        <w:rPr>
          <w:rFonts w:ascii="Arial" w:hAnsi="Arial" w:cs="Arial"/>
        </w:rPr>
        <w:t>adulthood</w:t>
      </w:r>
      <w:r w:rsidR="009E66D3" w:rsidRPr="00527E32">
        <w:rPr>
          <w:rFonts w:ascii="Arial" w:hAnsi="Arial" w:cs="Arial"/>
        </w:rPr>
        <w:t xml:space="preserve"> </w:t>
      </w:r>
      <w:bookmarkStart w:id="1" w:name="_Hlk160103091"/>
      <w:r w:rsidR="00541FB5" w:rsidRPr="00527E32">
        <w:rPr>
          <w:rFonts w:ascii="Arial" w:hAnsi="Arial" w:cs="Arial"/>
        </w:rPr>
        <w:t>(Bandura, 2014)</w:t>
      </w:r>
      <w:bookmarkEnd w:id="1"/>
      <w:r w:rsidR="009601B0" w:rsidRPr="00527E32">
        <w:rPr>
          <w:rFonts w:ascii="Arial" w:hAnsi="Arial" w:cs="Arial"/>
        </w:rPr>
        <w:t>.</w:t>
      </w:r>
      <w:r w:rsidR="00541FB5" w:rsidRPr="00527E32">
        <w:rPr>
          <w:rFonts w:ascii="Arial" w:hAnsi="Arial" w:cs="Arial"/>
        </w:rPr>
        <w:t xml:space="preserve"> </w:t>
      </w:r>
      <w:r w:rsidR="009215DC" w:rsidRPr="00527E32">
        <w:rPr>
          <w:rFonts w:ascii="Arial" w:hAnsi="Arial" w:cs="Arial"/>
        </w:rPr>
        <w:t xml:space="preserve">The following </w:t>
      </w:r>
      <w:r w:rsidR="00072D82" w:rsidRPr="00527E32">
        <w:rPr>
          <w:rFonts w:ascii="Arial" w:hAnsi="Arial" w:cs="Arial"/>
        </w:rPr>
        <w:t>social factors demonstrate key influences</w:t>
      </w:r>
      <w:r w:rsidR="00285174" w:rsidRPr="00527E32">
        <w:rPr>
          <w:rFonts w:ascii="Arial" w:hAnsi="Arial" w:cs="Arial"/>
        </w:rPr>
        <w:t xml:space="preserve"> with</w:t>
      </w:r>
      <w:r w:rsidR="004A4D40" w:rsidRPr="00527E32">
        <w:rPr>
          <w:rFonts w:ascii="Arial" w:hAnsi="Arial" w:cs="Arial"/>
        </w:rPr>
        <w:t>in</w:t>
      </w:r>
      <w:r w:rsidR="00285174" w:rsidRPr="00527E32">
        <w:rPr>
          <w:rFonts w:ascii="Arial" w:hAnsi="Arial" w:cs="Arial"/>
        </w:rPr>
        <w:t xml:space="preserve"> Ted’s childhood</w:t>
      </w:r>
      <w:r w:rsidR="00072D82" w:rsidRPr="00527E32">
        <w:rPr>
          <w:rFonts w:ascii="Arial" w:hAnsi="Arial" w:cs="Arial"/>
        </w:rPr>
        <w:t xml:space="preserve"> </w:t>
      </w:r>
      <w:r w:rsidR="00457212" w:rsidRPr="00527E32">
        <w:rPr>
          <w:rFonts w:ascii="Arial" w:hAnsi="Arial" w:cs="Arial"/>
        </w:rPr>
        <w:t>th</w:t>
      </w:r>
      <w:r w:rsidR="00134E47" w:rsidRPr="00527E32">
        <w:rPr>
          <w:rFonts w:ascii="Arial" w:hAnsi="Arial" w:cs="Arial"/>
        </w:rPr>
        <w:t>at developed his criminal behaviour</w:t>
      </w:r>
      <w:r w:rsidR="00285174" w:rsidRPr="00527E32">
        <w:rPr>
          <w:rFonts w:ascii="Arial" w:hAnsi="Arial" w:cs="Arial"/>
        </w:rPr>
        <w:t>.</w:t>
      </w:r>
      <w:r w:rsidR="00DA4891" w:rsidRPr="00527E32">
        <w:rPr>
          <w:rFonts w:ascii="Arial" w:hAnsi="Arial" w:cs="Arial"/>
        </w:rPr>
        <w:t xml:space="preserve"> </w:t>
      </w:r>
      <w:r w:rsidR="00B904CF" w:rsidRPr="00527E32">
        <w:rPr>
          <w:rFonts w:ascii="Arial" w:hAnsi="Arial" w:cs="Arial"/>
        </w:rPr>
        <w:t>Ted went to Woodrow Wilson High School</w:t>
      </w:r>
      <w:r w:rsidR="00B53503" w:rsidRPr="00527E32">
        <w:rPr>
          <w:rFonts w:ascii="Arial" w:hAnsi="Arial" w:cs="Arial"/>
        </w:rPr>
        <w:t xml:space="preserve"> </w:t>
      </w:r>
      <w:r w:rsidR="00176457" w:rsidRPr="00527E32">
        <w:rPr>
          <w:rFonts w:ascii="Arial" w:hAnsi="Arial" w:cs="Arial"/>
        </w:rPr>
        <w:t>(Michaud &amp; Aynesworth, 2019)</w:t>
      </w:r>
      <w:r w:rsidR="00982B7B" w:rsidRPr="00527E32">
        <w:rPr>
          <w:rFonts w:ascii="Arial" w:hAnsi="Arial" w:cs="Arial"/>
        </w:rPr>
        <w:t xml:space="preserve"> and developed his</w:t>
      </w:r>
      <w:r w:rsidR="00B904CF" w:rsidRPr="00527E32">
        <w:rPr>
          <w:rFonts w:ascii="Arial" w:hAnsi="Arial" w:cs="Arial"/>
        </w:rPr>
        <w:t xml:space="preserve"> social learning through the school</w:t>
      </w:r>
      <w:r w:rsidR="00176457" w:rsidRPr="00527E32">
        <w:rPr>
          <w:rFonts w:ascii="Arial" w:hAnsi="Arial" w:cs="Arial"/>
        </w:rPr>
        <w:t xml:space="preserve"> </w:t>
      </w:r>
      <w:r w:rsidR="00327C0E" w:rsidRPr="00527E32">
        <w:rPr>
          <w:rFonts w:ascii="Arial" w:hAnsi="Arial" w:cs="Arial"/>
        </w:rPr>
        <w:t>(Bandura, 2014)</w:t>
      </w:r>
      <w:r w:rsidR="00B904CF" w:rsidRPr="00527E32">
        <w:rPr>
          <w:rFonts w:ascii="Arial" w:hAnsi="Arial" w:cs="Arial"/>
        </w:rPr>
        <w:t>. However, he did not have many friends</w:t>
      </w:r>
      <w:r w:rsidR="003871F2" w:rsidRPr="00527E32">
        <w:rPr>
          <w:rFonts w:ascii="Arial" w:hAnsi="Arial" w:cs="Arial"/>
        </w:rPr>
        <w:t xml:space="preserve"> </w:t>
      </w:r>
      <w:r w:rsidR="00013A64" w:rsidRPr="00527E32">
        <w:rPr>
          <w:rFonts w:ascii="Arial" w:hAnsi="Arial" w:cs="Arial"/>
        </w:rPr>
        <w:t>(Rasool, et al., 2022)</w:t>
      </w:r>
      <w:r w:rsidR="00B904CF" w:rsidRPr="00527E32">
        <w:rPr>
          <w:rFonts w:ascii="Arial" w:hAnsi="Arial" w:cs="Arial"/>
        </w:rPr>
        <w:t xml:space="preserve"> and was bullied by other children</w:t>
      </w:r>
      <w:r w:rsidR="00013A64" w:rsidRPr="00527E32">
        <w:rPr>
          <w:rFonts w:ascii="Arial" w:hAnsi="Arial" w:cs="Arial"/>
        </w:rPr>
        <w:t xml:space="preserve"> </w:t>
      </w:r>
      <w:r w:rsidR="001D676B" w:rsidRPr="00527E32">
        <w:rPr>
          <w:rFonts w:ascii="Arial" w:hAnsi="Arial" w:cs="Arial"/>
        </w:rPr>
        <w:t>(</w:t>
      </w:r>
      <w:proofErr w:type="spellStart"/>
      <w:r w:rsidR="001D676B" w:rsidRPr="00527E32">
        <w:rPr>
          <w:rFonts w:ascii="Arial" w:hAnsi="Arial" w:cs="Arial"/>
        </w:rPr>
        <w:t>Veague</w:t>
      </w:r>
      <w:proofErr w:type="spellEnd"/>
      <w:r w:rsidR="001D676B" w:rsidRPr="00527E32">
        <w:rPr>
          <w:rFonts w:ascii="Arial" w:hAnsi="Arial" w:cs="Arial"/>
        </w:rPr>
        <w:t xml:space="preserve"> &amp; Collins, 2007)</w:t>
      </w:r>
      <w:r w:rsidR="00302314" w:rsidRPr="00527E32">
        <w:rPr>
          <w:rFonts w:ascii="Arial" w:hAnsi="Arial" w:cs="Arial"/>
        </w:rPr>
        <w:t>.</w:t>
      </w:r>
    </w:p>
    <w:p w14:paraId="329BE727" w14:textId="7A29192A" w:rsidR="00B904CF" w:rsidRPr="00527E32" w:rsidRDefault="00C63327" w:rsidP="00527E32">
      <w:pPr>
        <w:spacing w:line="360" w:lineRule="auto"/>
        <w:rPr>
          <w:rFonts w:ascii="Arial" w:hAnsi="Arial" w:cs="Arial"/>
        </w:rPr>
      </w:pPr>
      <w:r w:rsidRPr="00527E32">
        <w:rPr>
          <w:rFonts w:ascii="Arial" w:hAnsi="Arial" w:cs="Arial"/>
        </w:rPr>
        <w:t>S</w:t>
      </w:r>
      <w:r w:rsidR="00DD032E" w:rsidRPr="00527E32">
        <w:rPr>
          <w:rFonts w:ascii="Arial" w:hAnsi="Arial" w:cs="Arial"/>
        </w:rPr>
        <w:t>ocial learning theory shows</w:t>
      </w:r>
      <w:r w:rsidR="00B904CF" w:rsidRPr="00527E32">
        <w:rPr>
          <w:rFonts w:ascii="Arial" w:hAnsi="Arial" w:cs="Arial"/>
        </w:rPr>
        <w:t xml:space="preserve"> that these factors would mean that Ted did not have a strong social network to develop positive social interaction </w:t>
      </w:r>
      <w:r w:rsidR="00383A56" w:rsidRPr="00527E32">
        <w:rPr>
          <w:rFonts w:ascii="Arial" w:hAnsi="Arial" w:cs="Arial"/>
        </w:rPr>
        <w:t>with</w:t>
      </w:r>
      <w:r w:rsidR="00B904CF" w:rsidRPr="00527E32">
        <w:rPr>
          <w:rFonts w:ascii="Arial" w:hAnsi="Arial" w:cs="Arial"/>
        </w:rPr>
        <w:t xml:space="preserve"> his peers. Instead, he would have learnt about the relationship between a bully and a victim. This would have </w:t>
      </w:r>
      <w:r w:rsidR="00795C28" w:rsidRPr="00527E32">
        <w:rPr>
          <w:rFonts w:ascii="Arial" w:hAnsi="Arial" w:cs="Arial"/>
        </w:rPr>
        <w:t>strongly impacted how</w:t>
      </w:r>
      <w:r w:rsidR="00B904CF" w:rsidRPr="00527E32">
        <w:rPr>
          <w:rFonts w:ascii="Arial" w:hAnsi="Arial" w:cs="Arial"/>
        </w:rPr>
        <w:t xml:space="preserve"> Ted viewed other people</w:t>
      </w:r>
      <w:r w:rsidR="00982B7B" w:rsidRPr="00527E32">
        <w:rPr>
          <w:rFonts w:ascii="Arial" w:hAnsi="Arial" w:cs="Arial"/>
        </w:rPr>
        <w:t xml:space="preserve"> (Bandura, 2014)</w:t>
      </w:r>
      <w:r w:rsidR="00B904CF" w:rsidRPr="00527E32">
        <w:rPr>
          <w:rFonts w:ascii="Arial" w:hAnsi="Arial" w:cs="Arial"/>
        </w:rPr>
        <w:t>.</w:t>
      </w:r>
    </w:p>
    <w:p w14:paraId="012A8597" w14:textId="046AFFEE" w:rsidR="00905D24" w:rsidRPr="00527E32" w:rsidRDefault="00905D24" w:rsidP="00527E32">
      <w:pPr>
        <w:spacing w:line="360" w:lineRule="auto"/>
        <w:rPr>
          <w:rFonts w:ascii="Arial" w:hAnsi="Arial" w:cs="Arial"/>
        </w:rPr>
      </w:pPr>
      <w:r w:rsidRPr="00527E32">
        <w:rPr>
          <w:rFonts w:ascii="Arial" w:hAnsi="Arial" w:cs="Arial"/>
        </w:rPr>
        <w:t xml:space="preserve">The way Ted was interested in violence, knives, other weapons, and death from </w:t>
      </w:r>
      <w:r w:rsidR="00703E0A" w:rsidRPr="00527E32">
        <w:rPr>
          <w:rFonts w:ascii="Arial" w:hAnsi="Arial" w:cs="Arial"/>
        </w:rPr>
        <w:t>the age of three</w:t>
      </w:r>
      <w:r w:rsidR="0087053A" w:rsidRPr="00527E32">
        <w:rPr>
          <w:rFonts w:ascii="Arial" w:hAnsi="Arial" w:cs="Arial"/>
        </w:rPr>
        <w:t xml:space="preserve"> (</w:t>
      </w:r>
      <w:proofErr w:type="spellStart"/>
      <w:r w:rsidR="0087053A" w:rsidRPr="00527E32">
        <w:rPr>
          <w:rFonts w:ascii="Arial" w:hAnsi="Arial" w:cs="Arial"/>
        </w:rPr>
        <w:t>Rockerfeller</w:t>
      </w:r>
      <w:proofErr w:type="spellEnd"/>
      <w:r w:rsidR="0087053A" w:rsidRPr="00527E32">
        <w:rPr>
          <w:rFonts w:ascii="Arial" w:hAnsi="Arial" w:cs="Arial"/>
        </w:rPr>
        <w:t>, 2016)</w:t>
      </w:r>
      <w:r w:rsidRPr="00527E32">
        <w:rPr>
          <w:rFonts w:ascii="Arial" w:hAnsi="Arial" w:cs="Arial"/>
        </w:rPr>
        <w:t>, along with his displayed violence as a teenager</w:t>
      </w:r>
      <w:r w:rsidR="00DE7CD1" w:rsidRPr="00527E32">
        <w:rPr>
          <w:rFonts w:ascii="Arial" w:hAnsi="Arial" w:cs="Arial"/>
        </w:rPr>
        <w:t xml:space="preserve"> (Hourly History, 2017)</w:t>
      </w:r>
      <w:r w:rsidR="00F77912" w:rsidRPr="00527E32">
        <w:rPr>
          <w:rFonts w:ascii="Arial" w:hAnsi="Arial" w:cs="Arial"/>
        </w:rPr>
        <w:t>,</w:t>
      </w:r>
      <w:r w:rsidRPr="00527E32">
        <w:rPr>
          <w:rFonts w:ascii="Arial" w:hAnsi="Arial" w:cs="Arial"/>
        </w:rPr>
        <w:t xml:space="preserve"> can be understood through a social learning perspective</w:t>
      </w:r>
      <w:r w:rsidR="00703640" w:rsidRPr="00527E32">
        <w:rPr>
          <w:rFonts w:ascii="Arial" w:hAnsi="Arial" w:cs="Arial"/>
        </w:rPr>
        <w:t xml:space="preserve"> </w:t>
      </w:r>
      <w:r w:rsidR="00795C28" w:rsidRPr="00527E32">
        <w:rPr>
          <w:rFonts w:ascii="Arial" w:hAnsi="Arial" w:cs="Arial"/>
        </w:rPr>
        <w:t>(Bandura, 2014)</w:t>
      </w:r>
      <w:r w:rsidRPr="00527E32">
        <w:rPr>
          <w:rFonts w:ascii="Arial" w:hAnsi="Arial" w:cs="Arial"/>
        </w:rPr>
        <w:t xml:space="preserve">, as Ted was surrounded by violent role models which would have </w:t>
      </w:r>
      <w:r w:rsidRPr="00527E32">
        <w:rPr>
          <w:rFonts w:ascii="Arial" w:hAnsi="Arial" w:cs="Arial"/>
        </w:rPr>
        <w:lastRenderedPageBreak/>
        <w:t>influenced his understanding of behaviour</w:t>
      </w:r>
      <w:r w:rsidR="00DE385C" w:rsidRPr="00527E32">
        <w:rPr>
          <w:rFonts w:ascii="Arial" w:hAnsi="Arial" w:cs="Arial"/>
        </w:rPr>
        <w:t xml:space="preserve"> (Babu, 2020)</w:t>
      </w:r>
      <w:r w:rsidRPr="00527E32">
        <w:rPr>
          <w:rFonts w:ascii="Arial" w:hAnsi="Arial" w:cs="Arial"/>
        </w:rPr>
        <w:t>. The uncertain family dynamic caused confusion for Ted</w:t>
      </w:r>
      <w:r w:rsidR="00035B8C" w:rsidRPr="00527E32">
        <w:rPr>
          <w:rFonts w:ascii="Arial" w:hAnsi="Arial" w:cs="Arial"/>
        </w:rPr>
        <w:t xml:space="preserve"> (Babu, 2020)</w:t>
      </w:r>
      <w:r w:rsidRPr="00527E32">
        <w:rPr>
          <w:rFonts w:ascii="Arial" w:hAnsi="Arial" w:cs="Arial"/>
        </w:rPr>
        <w:t xml:space="preserve">, </w:t>
      </w:r>
      <w:r w:rsidR="00023BC9" w:rsidRPr="00527E32">
        <w:rPr>
          <w:rFonts w:ascii="Arial" w:hAnsi="Arial" w:cs="Arial"/>
        </w:rPr>
        <w:t>and his life was</w:t>
      </w:r>
      <w:r w:rsidRPr="00527E32">
        <w:rPr>
          <w:rFonts w:ascii="Arial" w:hAnsi="Arial" w:cs="Arial"/>
        </w:rPr>
        <w:t xml:space="preserve"> full of insecurity and secrecy</w:t>
      </w:r>
      <w:r w:rsidR="0005422D" w:rsidRPr="00527E32">
        <w:rPr>
          <w:rFonts w:ascii="Arial" w:hAnsi="Arial" w:cs="Arial"/>
        </w:rPr>
        <w:t xml:space="preserve"> (Puello, 2021)</w:t>
      </w:r>
      <w:r w:rsidRPr="00527E32">
        <w:rPr>
          <w:rFonts w:ascii="Arial" w:hAnsi="Arial" w:cs="Arial"/>
        </w:rPr>
        <w:t>. Through social learning theory, it can be understood that a lack of a strong role model and understanding of his place in society would mean that Ted would rely on negative influences as his role model, further increasing instability and secrecy</w:t>
      </w:r>
      <w:r w:rsidR="0005422D" w:rsidRPr="00527E32">
        <w:rPr>
          <w:rFonts w:ascii="Arial" w:hAnsi="Arial" w:cs="Arial"/>
        </w:rPr>
        <w:t xml:space="preserve"> </w:t>
      </w:r>
      <w:r w:rsidR="00703640" w:rsidRPr="00527E32">
        <w:rPr>
          <w:rFonts w:ascii="Arial" w:hAnsi="Arial" w:cs="Arial"/>
        </w:rPr>
        <w:t>(Bandura, 2014)</w:t>
      </w:r>
      <w:r w:rsidRPr="00527E32">
        <w:rPr>
          <w:rFonts w:ascii="Arial" w:hAnsi="Arial" w:cs="Arial"/>
        </w:rPr>
        <w:t>. Ted would have learnt from a young age the need to hide certain aspects of himself, as secrecy was a normal part of his childhood</w:t>
      </w:r>
      <w:r w:rsidR="0005422D" w:rsidRPr="00527E32">
        <w:rPr>
          <w:rFonts w:ascii="Arial" w:hAnsi="Arial" w:cs="Arial"/>
        </w:rPr>
        <w:t xml:space="preserve"> </w:t>
      </w:r>
      <w:r w:rsidR="00703640" w:rsidRPr="00527E32">
        <w:rPr>
          <w:rFonts w:ascii="Arial" w:hAnsi="Arial" w:cs="Arial"/>
        </w:rPr>
        <w:t>(Bandura, 2014)</w:t>
      </w:r>
      <w:r w:rsidRPr="00527E32">
        <w:rPr>
          <w:rFonts w:ascii="Arial" w:hAnsi="Arial" w:cs="Arial"/>
        </w:rPr>
        <w:t xml:space="preserve">. </w:t>
      </w:r>
    </w:p>
    <w:p w14:paraId="595C5FCC" w14:textId="1D766CC2" w:rsidR="009E3628" w:rsidRPr="00527E32" w:rsidRDefault="00F86C5D" w:rsidP="00527E32">
      <w:pPr>
        <w:pStyle w:val="NormalWeb"/>
        <w:spacing w:line="360" w:lineRule="auto"/>
        <w:rPr>
          <w:rFonts w:ascii="Arial" w:hAnsi="Arial" w:cs="Arial"/>
          <w:color w:val="000000"/>
        </w:rPr>
      </w:pPr>
      <w:r w:rsidRPr="00527E32">
        <w:rPr>
          <w:rFonts w:ascii="Arial" w:hAnsi="Arial" w:cs="Arial"/>
        </w:rPr>
        <w:t xml:space="preserve">An advantage of </w:t>
      </w:r>
      <w:r w:rsidR="002436B0" w:rsidRPr="00527E32">
        <w:rPr>
          <w:rFonts w:ascii="Arial" w:hAnsi="Arial" w:cs="Arial"/>
        </w:rPr>
        <w:t>social learning theory</w:t>
      </w:r>
      <w:r w:rsidR="00B73B4E" w:rsidRPr="00527E32">
        <w:rPr>
          <w:rFonts w:ascii="Arial" w:hAnsi="Arial" w:cs="Arial"/>
        </w:rPr>
        <w:t xml:space="preserve"> </w:t>
      </w:r>
      <w:r w:rsidR="00147AD0" w:rsidRPr="00527E32">
        <w:rPr>
          <w:rFonts w:ascii="Arial" w:hAnsi="Arial" w:cs="Arial"/>
        </w:rPr>
        <w:t>is that it</w:t>
      </w:r>
      <w:r w:rsidR="002436B0" w:rsidRPr="00527E32">
        <w:rPr>
          <w:rFonts w:ascii="Arial" w:hAnsi="Arial" w:cs="Arial"/>
        </w:rPr>
        <w:t xml:space="preserve"> provides a framework to attempt to understand each other and how social interaction can affect our behaviour as we learn from each other </w:t>
      </w:r>
      <w:r w:rsidR="00B12472" w:rsidRPr="00527E32">
        <w:rPr>
          <w:rFonts w:ascii="Arial" w:hAnsi="Arial" w:cs="Arial"/>
        </w:rPr>
        <w:t xml:space="preserve">about </w:t>
      </w:r>
      <w:r w:rsidR="002436B0" w:rsidRPr="00527E32">
        <w:rPr>
          <w:rFonts w:ascii="Arial" w:hAnsi="Arial" w:cs="Arial"/>
        </w:rPr>
        <w:t>what is acceptable and what is not</w:t>
      </w:r>
      <w:r w:rsidR="0021377C" w:rsidRPr="00527E32">
        <w:rPr>
          <w:rFonts w:ascii="Arial" w:hAnsi="Arial" w:cs="Arial"/>
        </w:rPr>
        <w:t xml:space="preserve"> </w:t>
      </w:r>
      <w:r w:rsidR="0021377C" w:rsidRPr="00527E32">
        <w:rPr>
          <w:rFonts w:ascii="Arial" w:hAnsi="Arial" w:cs="Arial"/>
          <w:color w:val="000000"/>
        </w:rPr>
        <w:t>(Bandura, 1971)</w:t>
      </w:r>
      <w:r w:rsidR="002436B0" w:rsidRPr="00527E32">
        <w:rPr>
          <w:rFonts w:ascii="Arial" w:hAnsi="Arial" w:cs="Arial"/>
        </w:rPr>
        <w:t>.</w:t>
      </w:r>
      <w:r w:rsidR="00B73B4E" w:rsidRPr="00527E32">
        <w:rPr>
          <w:rFonts w:ascii="Arial" w:hAnsi="Arial" w:cs="Arial"/>
        </w:rPr>
        <w:t xml:space="preserve"> </w:t>
      </w:r>
      <w:r w:rsidR="00147AD0" w:rsidRPr="00527E32">
        <w:rPr>
          <w:rFonts w:ascii="Arial" w:hAnsi="Arial" w:cs="Arial"/>
        </w:rPr>
        <w:t xml:space="preserve">Another advantage </w:t>
      </w:r>
      <w:r w:rsidR="00020970" w:rsidRPr="00527E32">
        <w:rPr>
          <w:rFonts w:ascii="Arial" w:hAnsi="Arial" w:cs="Arial"/>
        </w:rPr>
        <w:t xml:space="preserve">is </w:t>
      </w:r>
      <w:r w:rsidR="00111D08" w:rsidRPr="00527E32">
        <w:rPr>
          <w:rFonts w:ascii="Arial" w:hAnsi="Arial" w:cs="Arial"/>
        </w:rPr>
        <w:t xml:space="preserve">that </w:t>
      </w:r>
      <w:r w:rsidR="00020970" w:rsidRPr="00527E32">
        <w:rPr>
          <w:rFonts w:ascii="Arial" w:hAnsi="Arial" w:cs="Arial"/>
        </w:rPr>
        <w:t>s</w:t>
      </w:r>
      <w:r w:rsidR="003D421F" w:rsidRPr="00527E32">
        <w:rPr>
          <w:rFonts w:ascii="Arial" w:hAnsi="Arial" w:cs="Arial"/>
        </w:rPr>
        <w:t>ocial learning</w:t>
      </w:r>
      <w:r w:rsidR="00AC1736" w:rsidRPr="00527E32">
        <w:rPr>
          <w:rFonts w:ascii="Arial" w:hAnsi="Arial" w:cs="Arial"/>
        </w:rPr>
        <w:t xml:space="preserve"> </w:t>
      </w:r>
      <w:r w:rsidR="003D421F" w:rsidRPr="00527E32">
        <w:rPr>
          <w:rFonts w:ascii="Arial" w:hAnsi="Arial" w:cs="Arial"/>
        </w:rPr>
        <w:t xml:space="preserve">can teach how criminal behaviour and deviance are taught from social groups and </w:t>
      </w:r>
      <w:r w:rsidR="00B12472" w:rsidRPr="00527E32">
        <w:rPr>
          <w:rFonts w:ascii="Arial" w:hAnsi="Arial" w:cs="Arial"/>
        </w:rPr>
        <w:t>the</w:t>
      </w:r>
      <w:r w:rsidR="003D421F" w:rsidRPr="00527E32">
        <w:rPr>
          <w:rFonts w:ascii="Arial" w:hAnsi="Arial" w:cs="Arial"/>
        </w:rPr>
        <w:t xml:space="preserve"> environment</w:t>
      </w:r>
      <w:r w:rsidR="009F0B55" w:rsidRPr="00527E32">
        <w:rPr>
          <w:rFonts w:ascii="Arial" w:hAnsi="Arial" w:cs="Arial"/>
        </w:rPr>
        <w:t xml:space="preserve"> </w:t>
      </w:r>
      <w:r w:rsidR="006031E0" w:rsidRPr="00527E32">
        <w:rPr>
          <w:rFonts w:ascii="Arial" w:hAnsi="Arial" w:cs="Arial"/>
          <w:color w:val="000000"/>
        </w:rPr>
        <w:t>(Krohn, 1999)</w:t>
      </w:r>
      <w:r w:rsidR="003D421F" w:rsidRPr="00527E32">
        <w:rPr>
          <w:rFonts w:ascii="Arial" w:hAnsi="Arial" w:cs="Arial"/>
        </w:rPr>
        <w:t>. You can also see from some studies, such as P</w:t>
      </w:r>
      <w:r w:rsidR="00D34C51" w:rsidRPr="00527E32">
        <w:rPr>
          <w:rFonts w:ascii="Arial" w:hAnsi="Arial" w:cs="Arial"/>
        </w:rPr>
        <w:t>ratt</w:t>
      </w:r>
      <w:r w:rsidR="003D421F" w:rsidRPr="00527E32">
        <w:rPr>
          <w:rFonts w:ascii="Arial" w:hAnsi="Arial" w:cs="Arial"/>
        </w:rPr>
        <w:t>, et al</w:t>
      </w:r>
      <w:r w:rsidR="00D34C51" w:rsidRPr="00527E32">
        <w:rPr>
          <w:rFonts w:ascii="Arial" w:hAnsi="Arial" w:cs="Arial"/>
        </w:rPr>
        <w:t>.</w:t>
      </w:r>
      <w:r w:rsidR="003D421F" w:rsidRPr="00527E32">
        <w:rPr>
          <w:rFonts w:ascii="Arial" w:hAnsi="Arial" w:cs="Arial"/>
        </w:rPr>
        <w:t xml:space="preserve">, </w:t>
      </w:r>
      <w:r w:rsidR="00B12472" w:rsidRPr="00527E32">
        <w:rPr>
          <w:rFonts w:ascii="Arial" w:hAnsi="Arial" w:cs="Arial"/>
        </w:rPr>
        <w:t>(</w:t>
      </w:r>
      <w:r w:rsidR="003D421F" w:rsidRPr="00527E32">
        <w:rPr>
          <w:rFonts w:ascii="Arial" w:hAnsi="Arial" w:cs="Arial"/>
        </w:rPr>
        <w:t>2010), that social learning theory can account for increases in crime and deviance.</w:t>
      </w:r>
      <w:r w:rsidR="00D52181" w:rsidRPr="00527E32">
        <w:rPr>
          <w:rFonts w:ascii="Arial" w:hAnsi="Arial" w:cs="Arial"/>
        </w:rPr>
        <w:t xml:space="preserve"> </w:t>
      </w:r>
      <w:r w:rsidR="00CD407C" w:rsidRPr="00527E32">
        <w:rPr>
          <w:rFonts w:ascii="Arial" w:hAnsi="Arial" w:cs="Arial"/>
        </w:rPr>
        <w:t xml:space="preserve">Another advantage of </w:t>
      </w:r>
      <w:r w:rsidR="00BD358B" w:rsidRPr="00527E32">
        <w:rPr>
          <w:rFonts w:ascii="Arial" w:hAnsi="Arial" w:cs="Arial"/>
        </w:rPr>
        <w:t>t</w:t>
      </w:r>
      <w:r w:rsidR="00D52181" w:rsidRPr="00527E32">
        <w:rPr>
          <w:rFonts w:ascii="Arial" w:hAnsi="Arial" w:cs="Arial"/>
        </w:rPr>
        <w:t>he social learning theory</w:t>
      </w:r>
      <w:r w:rsidR="002A126F" w:rsidRPr="00527E32">
        <w:rPr>
          <w:rFonts w:ascii="Arial" w:hAnsi="Arial" w:cs="Arial"/>
        </w:rPr>
        <w:t xml:space="preserve"> </w:t>
      </w:r>
      <w:r w:rsidR="0040793B" w:rsidRPr="00527E32">
        <w:rPr>
          <w:rFonts w:ascii="Arial" w:hAnsi="Arial" w:cs="Arial"/>
        </w:rPr>
        <w:t>i</w:t>
      </w:r>
      <w:r w:rsidR="000E38B9" w:rsidRPr="00527E32">
        <w:rPr>
          <w:rFonts w:ascii="Arial" w:hAnsi="Arial" w:cs="Arial"/>
        </w:rPr>
        <w:t>s that it allows</w:t>
      </w:r>
      <w:r w:rsidR="0040793B" w:rsidRPr="00527E32">
        <w:rPr>
          <w:rFonts w:ascii="Arial" w:hAnsi="Arial" w:cs="Arial"/>
        </w:rPr>
        <w:t xml:space="preserve"> </w:t>
      </w:r>
      <w:r w:rsidR="00D52181" w:rsidRPr="00527E32">
        <w:rPr>
          <w:rFonts w:ascii="Arial" w:hAnsi="Arial" w:cs="Arial"/>
        </w:rPr>
        <w:t>observable behaviour to be understood alongside cognitive processes</w:t>
      </w:r>
      <w:r w:rsidR="0040793B" w:rsidRPr="00527E32">
        <w:rPr>
          <w:rFonts w:ascii="Arial" w:hAnsi="Arial" w:cs="Arial"/>
        </w:rPr>
        <w:t xml:space="preserve"> </w:t>
      </w:r>
      <w:r w:rsidR="00883D18" w:rsidRPr="00527E32">
        <w:rPr>
          <w:rFonts w:ascii="Arial" w:hAnsi="Arial" w:cs="Arial"/>
          <w:color w:val="000000"/>
        </w:rPr>
        <w:t>(Rumjaun &amp; Narod, 2020)</w:t>
      </w:r>
      <w:r w:rsidR="00D52181" w:rsidRPr="00527E32">
        <w:rPr>
          <w:rFonts w:ascii="Arial" w:hAnsi="Arial" w:cs="Arial"/>
        </w:rPr>
        <w:t>. Therefore, as criminal behaviour can be understood as cognitive and behavioural learning, it is possible that learnt behaviour can be unlearnt. This strengthens the</w:t>
      </w:r>
      <w:r w:rsidR="00B602FA" w:rsidRPr="00527E32">
        <w:rPr>
          <w:rFonts w:ascii="Arial" w:hAnsi="Arial" w:cs="Arial"/>
        </w:rPr>
        <w:t xml:space="preserve"> idea of</w:t>
      </w:r>
      <w:r w:rsidR="00D52181" w:rsidRPr="00527E32">
        <w:rPr>
          <w:rFonts w:ascii="Arial" w:hAnsi="Arial" w:cs="Arial"/>
        </w:rPr>
        <w:t xml:space="preserve"> rehabilitation within the prison system</w:t>
      </w:r>
      <w:r w:rsidR="009E3628" w:rsidRPr="00527E32">
        <w:rPr>
          <w:rFonts w:ascii="Arial" w:hAnsi="Arial" w:cs="Arial"/>
        </w:rPr>
        <w:t xml:space="preserve"> </w:t>
      </w:r>
      <w:r w:rsidR="009E3628" w:rsidRPr="00527E32">
        <w:rPr>
          <w:rFonts w:ascii="Arial" w:hAnsi="Arial" w:cs="Arial"/>
          <w:color w:val="000000"/>
        </w:rPr>
        <w:t>(Castle &amp; Hensley, 2002).</w:t>
      </w:r>
    </w:p>
    <w:p w14:paraId="5B79E7D1" w14:textId="0172D721" w:rsidR="002E2C78" w:rsidRPr="00527E32" w:rsidRDefault="005267C3" w:rsidP="00527E32">
      <w:pPr>
        <w:spacing w:line="360" w:lineRule="auto"/>
        <w:rPr>
          <w:rFonts w:ascii="Arial" w:hAnsi="Arial" w:cs="Arial"/>
        </w:rPr>
      </w:pPr>
      <w:r w:rsidRPr="00527E32">
        <w:rPr>
          <w:rFonts w:ascii="Arial" w:hAnsi="Arial" w:cs="Arial"/>
        </w:rPr>
        <w:t xml:space="preserve">A </w:t>
      </w:r>
      <w:r w:rsidR="00A9705B" w:rsidRPr="00527E32">
        <w:rPr>
          <w:rFonts w:ascii="Arial" w:hAnsi="Arial" w:cs="Arial"/>
        </w:rPr>
        <w:t xml:space="preserve">disadvantage of social learning theory </w:t>
      </w:r>
      <w:r w:rsidRPr="00527E32">
        <w:rPr>
          <w:rFonts w:ascii="Arial" w:hAnsi="Arial" w:cs="Arial"/>
        </w:rPr>
        <w:t xml:space="preserve">is that it </w:t>
      </w:r>
      <w:r w:rsidR="00A9705B" w:rsidRPr="00527E32">
        <w:rPr>
          <w:rFonts w:ascii="Arial" w:hAnsi="Arial" w:cs="Arial"/>
        </w:rPr>
        <w:t>does not account for individual differences or the individual's need to follow social influences</w:t>
      </w:r>
      <w:r w:rsidR="00F22B15" w:rsidRPr="00527E32">
        <w:rPr>
          <w:rFonts w:ascii="Arial" w:hAnsi="Arial" w:cs="Arial"/>
        </w:rPr>
        <w:t xml:space="preserve"> </w:t>
      </w:r>
      <w:r w:rsidR="00F652E3" w:rsidRPr="00527E32">
        <w:rPr>
          <w:rFonts w:ascii="Arial" w:hAnsi="Arial" w:cs="Arial"/>
          <w:color w:val="000000"/>
        </w:rPr>
        <w:t>(</w:t>
      </w:r>
      <w:proofErr w:type="spellStart"/>
      <w:r w:rsidR="00F652E3" w:rsidRPr="00527E32">
        <w:rPr>
          <w:rFonts w:ascii="Arial" w:hAnsi="Arial" w:cs="Arial"/>
        </w:rPr>
        <w:t>Mcleod</w:t>
      </w:r>
      <w:proofErr w:type="spellEnd"/>
      <w:r w:rsidR="00F652E3" w:rsidRPr="00527E32">
        <w:rPr>
          <w:rFonts w:ascii="Arial" w:hAnsi="Arial" w:cs="Arial"/>
        </w:rPr>
        <w:t>, 2024)</w:t>
      </w:r>
      <w:r w:rsidR="00A9705B" w:rsidRPr="00527E32">
        <w:rPr>
          <w:rFonts w:ascii="Arial" w:hAnsi="Arial" w:cs="Arial"/>
        </w:rPr>
        <w:t>.</w:t>
      </w:r>
      <w:r w:rsidR="00DD716B" w:rsidRPr="00527E32">
        <w:rPr>
          <w:rFonts w:ascii="Arial" w:hAnsi="Arial" w:cs="Arial"/>
        </w:rPr>
        <w:t xml:space="preserve"> I</w:t>
      </w:r>
      <w:r w:rsidR="00A9705B" w:rsidRPr="00527E32">
        <w:rPr>
          <w:rFonts w:ascii="Arial" w:hAnsi="Arial" w:cs="Arial"/>
        </w:rPr>
        <w:t xml:space="preserve">t </w:t>
      </w:r>
      <w:r w:rsidR="00DD716B" w:rsidRPr="00527E32">
        <w:rPr>
          <w:rFonts w:ascii="Arial" w:hAnsi="Arial" w:cs="Arial"/>
        </w:rPr>
        <w:t xml:space="preserve">also </w:t>
      </w:r>
      <w:r w:rsidR="00A9705B" w:rsidRPr="00527E32">
        <w:rPr>
          <w:rFonts w:ascii="Arial" w:hAnsi="Arial" w:cs="Arial"/>
        </w:rPr>
        <w:t xml:space="preserve">ignores biology, genetics, and neuroscience, even though studies such as Fox, </w:t>
      </w:r>
      <w:r w:rsidR="00DD716B" w:rsidRPr="00527E32">
        <w:rPr>
          <w:rFonts w:ascii="Arial" w:hAnsi="Arial" w:cs="Arial"/>
        </w:rPr>
        <w:t>(</w:t>
      </w:r>
      <w:r w:rsidR="00A9705B" w:rsidRPr="00527E32">
        <w:rPr>
          <w:rFonts w:ascii="Arial" w:hAnsi="Arial" w:cs="Arial"/>
        </w:rPr>
        <w:t>2017) indicate that these could be extremely influential factors.</w:t>
      </w:r>
      <w:r w:rsidR="003732AA" w:rsidRPr="00527E32">
        <w:rPr>
          <w:rFonts w:ascii="Arial" w:hAnsi="Arial" w:cs="Arial"/>
        </w:rPr>
        <w:t xml:space="preserve"> </w:t>
      </w:r>
      <w:r w:rsidR="00A9705B" w:rsidRPr="00527E32">
        <w:rPr>
          <w:rFonts w:ascii="Arial" w:hAnsi="Arial" w:cs="Arial"/>
        </w:rPr>
        <w:t>P</w:t>
      </w:r>
      <w:r w:rsidR="00B112BB" w:rsidRPr="00527E32">
        <w:rPr>
          <w:rFonts w:ascii="Arial" w:hAnsi="Arial" w:cs="Arial"/>
        </w:rPr>
        <w:t>rat</w:t>
      </w:r>
      <w:r w:rsidR="00A9705B" w:rsidRPr="00527E32">
        <w:rPr>
          <w:rFonts w:ascii="Arial" w:hAnsi="Arial" w:cs="Arial"/>
        </w:rPr>
        <w:t xml:space="preserve">t, et al., </w:t>
      </w:r>
      <w:r w:rsidR="003732AA" w:rsidRPr="00527E32">
        <w:rPr>
          <w:rFonts w:ascii="Arial" w:hAnsi="Arial" w:cs="Arial"/>
        </w:rPr>
        <w:t>(</w:t>
      </w:r>
      <w:r w:rsidR="00A9705B" w:rsidRPr="00527E32">
        <w:rPr>
          <w:rFonts w:ascii="Arial" w:hAnsi="Arial" w:cs="Arial"/>
        </w:rPr>
        <w:t xml:space="preserve">2010) </w:t>
      </w:r>
      <w:r w:rsidR="003A368D" w:rsidRPr="00527E32">
        <w:rPr>
          <w:rFonts w:ascii="Arial" w:hAnsi="Arial" w:cs="Arial"/>
        </w:rPr>
        <w:t>did</w:t>
      </w:r>
      <w:r w:rsidR="00BC4EE7" w:rsidRPr="00527E32">
        <w:rPr>
          <w:rFonts w:ascii="Arial" w:hAnsi="Arial" w:cs="Arial"/>
        </w:rPr>
        <w:t xml:space="preserve"> </w:t>
      </w:r>
      <w:r w:rsidR="00A9705B" w:rsidRPr="00527E32">
        <w:rPr>
          <w:rFonts w:ascii="Arial" w:hAnsi="Arial" w:cs="Arial"/>
        </w:rPr>
        <w:t>f</w:t>
      </w:r>
      <w:r w:rsidR="003A368D" w:rsidRPr="00527E32">
        <w:rPr>
          <w:rFonts w:ascii="Arial" w:hAnsi="Arial" w:cs="Arial"/>
        </w:rPr>
        <w:t>ind</w:t>
      </w:r>
      <w:r w:rsidR="00A9705B" w:rsidRPr="00527E32">
        <w:rPr>
          <w:rFonts w:ascii="Arial" w:hAnsi="Arial" w:cs="Arial"/>
        </w:rPr>
        <w:t xml:space="preserve"> that crime and deviant behaviour were linked to social learning. However, there was less evidence that </w:t>
      </w:r>
      <w:proofErr w:type="gramStart"/>
      <w:r w:rsidR="00D66B90" w:rsidRPr="00527E32">
        <w:rPr>
          <w:rFonts w:ascii="Arial" w:hAnsi="Arial" w:cs="Arial"/>
        </w:rPr>
        <w:t>modelling</w:t>
      </w:r>
      <w:proofErr w:type="gramEnd"/>
      <w:r w:rsidR="00A9705B" w:rsidRPr="00527E32">
        <w:rPr>
          <w:rFonts w:ascii="Arial" w:hAnsi="Arial" w:cs="Arial"/>
        </w:rPr>
        <w:t xml:space="preserve"> an</w:t>
      </w:r>
      <w:r w:rsidR="003B68ED" w:rsidRPr="00527E32">
        <w:rPr>
          <w:rFonts w:ascii="Arial" w:hAnsi="Arial" w:cs="Arial"/>
        </w:rPr>
        <w:t>d</w:t>
      </w:r>
      <w:r w:rsidR="00A9705B" w:rsidRPr="00527E32">
        <w:rPr>
          <w:rFonts w:ascii="Arial" w:hAnsi="Arial" w:cs="Arial"/>
        </w:rPr>
        <w:t xml:space="preserve"> imitation </w:t>
      </w:r>
      <w:r w:rsidR="003B68ED" w:rsidRPr="00527E32">
        <w:rPr>
          <w:rFonts w:ascii="Arial" w:hAnsi="Arial" w:cs="Arial"/>
        </w:rPr>
        <w:t>were</w:t>
      </w:r>
      <w:r w:rsidR="00A9705B" w:rsidRPr="00527E32">
        <w:rPr>
          <w:rFonts w:ascii="Arial" w:hAnsi="Arial" w:cs="Arial"/>
        </w:rPr>
        <w:t xml:space="preserve"> influenced by social learning. </w:t>
      </w:r>
      <w:r w:rsidR="008A5416" w:rsidRPr="00527E32">
        <w:rPr>
          <w:rFonts w:ascii="Arial" w:hAnsi="Arial" w:cs="Arial"/>
        </w:rPr>
        <w:t xml:space="preserve">Therefore, </w:t>
      </w:r>
      <w:r w:rsidR="00A9705B" w:rsidRPr="00527E32">
        <w:rPr>
          <w:rFonts w:ascii="Arial" w:hAnsi="Arial" w:cs="Arial"/>
        </w:rPr>
        <w:t>social learning only accounts for some understanding of social behaviour and does not account for</w:t>
      </w:r>
      <w:r w:rsidR="003B68ED" w:rsidRPr="00527E32">
        <w:rPr>
          <w:rFonts w:ascii="Arial" w:hAnsi="Arial" w:cs="Arial"/>
        </w:rPr>
        <w:t xml:space="preserve"> all</w:t>
      </w:r>
      <w:r w:rsidR="00A9705B" w:rsidRPr="00527E32">
        <w:rPr>
          <w:rFonts w:ascii="Arial" w:hAnsi="Arial" w:cs="Arial"/>
        </w:rPr>
        <w:t xml:space="preserve"> behaviours</w:t>
      </w:r>
      <w:r w:rsidR="00D66B90" w:rsidRPr="00527E32">
        <w:rPr>
          <w:rFonts w:ascii="Arial" w:hAnsi="Arial" w:cs="Arial"/>
        </w:rPr>
        <w:t>. T</w:t>
      </w:r>
      <w:r w:rsidR="00781150" w:rsidRPr="00527E32">
        <w:rPr>
          <w:rFonts w:ascii="Arial" w:hAnsi="Arial" w:cs="Arial"/>
        </w:rPr>
        <w:t xml:space="preserve">his weakens the </w:t>
      </w:r>
      <w:r w:rsidR="004238D0" w:rsidRPr="00527E32">
        <w:rPr>
          <w:rFonts w:ascii="Arial" w:hAnsi="Arial" w:cs="Arial"/>
        </w:rPr>
        <w:t>theory's strength</w:t>
      </w:r>
      <w:r w:rsidR="00F53201" w:rsidRPr="00527E32">
        <w:rPr>
          <w:rFonts w:ascii="Arial" w:hAnsi="Arial" w:cs="Arial"/>
        </w:rPr>
        <w:t xml:space="preserve"> (Pratt, et al., 2010)</w:t>
      </w:r>
      <w:r w:rsidR="00A9705B" w:rsidRPr="00527E32">
        <w:rPr>
          <w:rFonts w:ascii="Arial" w:hAnsi="Arial" w:cs="Arial"/>
        </w:rPr>
        <w:t>.</w:t>
      </w:r>
    </w:p>
    <w:p w14:paraId="73C93F8E" w14:textId="09C7427F" w:rsidR="00425530" w:rsidRPr="00527E32" w:rsidRDefault="00425530" w:rsidP="00527E32">
      <w:pPr>
        <w:spacing w:line="360" w:lineRule="auto"/>
        <w:rPr>
          <w:rFonts w:ascii="Arial" w:hAnsi="Arial" w:cs="Arial"/>
        </w:rPr>
      </w:pPr>
      <w:r w:rsidRPr="00527E32">
        <w:rPr>
          <w:rFonts w:ascii="Arial" w:hAnsi="Arial" w:cs="Arial"/>
        </w:rPr>
        <w:t xml:space="preserve">Edwin Sutherland developed the differential association theory in 1939, explaining when someone does not get enough attention or socialisation. For example, a </w:t>
      </w:r>
      <w:r w:rsidRPr="00527E32">
        <w:rPr>
          <w:rFonts w:ascii="Arial" w:hAnsi="Arial" w:cs="Arial"/>
        </w:rPr>
        <w:lastRenderedPageBreak/>
        <w:t>parent. Other role models, such as another family member or a friend, will then influence that person</w:t>
      </w:r>
      <w:r w:rsidR="00F53201" w:rsidRPr="00527E32">
        <w:rPr>
          <w:rFonts w:ascii="Arial" w:hAnsi="Arial" w:cs="Arial"/>
        </w:rPr>
        <w:t xml:space="preserve"> </w:t>
      </w:r>
      <w:bookmarkStart w:id="2" w:name="_Hlk160103361"/>
      <w:r w:rsidR="00EC0CD1" w:rsidRPr="00527E32">
        <w:rPr>
          <w:rFonts w:ascii="Arial" w:hAnsi="Arial" w:cs="Arial"/>
        </w:rPr>
        <w:t>(Nickerson, 2024)</w:t>
      </w:r>
      <w:bookmarkEnd w:id="2"/>
      <w:r w:rsidRPr="00527E32">
        <w:rPr>
          <w:rFonts w:ascii="Arial" w:hAnsi="Arial" w:cs="Arial"/>
        </w:rPr>
        <w:t>.</w:t>
      </w:r>
    </w:p>
    <w:p w14:paraId="174ECC52" w14:textId="17C4A934" w:rsidR="00CE6FDC" w:rsidRPr="00527E32" w:rsidRDefault="00CE6FDC" w:rsidP="00527E32">
      <w:pPr>
        <w:spacing w:line="360" w:lineRule="auto"/>
        <w:rPr>
          <w:rFonts w:ascii="Arial" w:hAnsi="Arial" w:cs="Arial"/>
        </w:rPr>
      </w:pPr>
      <w:r w:rsidRPr="00527E32">
        <w:rPr>
          <w:rFonts w:ascii="Arial" w:hAnsi="Arial" w:cs="Arial"/>
        </w:rPr>
        <w:t xml:space="preserve">In the case of Ted Bundy, the instability and secrecy from an early age reduced </w:t>
      </w:r>
      <w:r w:rsidR="003D666A" w:rsidRPr="00527E32">
        <w:rPr>
          <w:rFonts w:ascii="Arial" w:hAnsi="Arial" w:cs="Arial"/>
        </w:rPr>
        <w:t>the</w:t>
      </w:r>
      <w:r w:rsidRPr="00527E32">
        <w:rPr>
          <w:rFonts w:ascii="Arial" w:hAnsi="Arial" w:cs="Arial"/>
        </w:rPr>
        <w:t xml:space="preserve"> likelihood of the attention he required and the role models that could have benefited him</w:t>
      </w:r>
      <w:r w:rsidR="00F45497" w:rsidRPr="00527E32">
        <w:rPr>
          <w:rFonts w:ascii="Arial" w:hAnsi="Arial" w:cs="Arial"/>
        </w:rPr>
        <w:t xml:space="preserve"> (Puello, 2021). </w:t>
      </w:r>
      <w:r w:rsidRPr="00527E32">
        <w:rPr>
          <w:rFonts w:ascii="Arial" w:hAnsi="Arial" w:cs="Arial"/>
        </w:rPr>
        <w:t>In this regard, he did not know his biological father</w:t>
      </w:r>
      <w:r w:rsidR="00277199" w:rsidRPr="00527E32">
        <w:rPr>
          <w:rFonts w:ascii="Arial" w:hAnsi="Arial" w:cs="Arial"/>
        </w:rPr>
        <w:t xml:space="preserve"> (Newton, 2006)</w:t>
      </w:r>
      <w:r w:rsidR="0017100B" w:rsidRPr="00527E32">
        <w:rPr>
          <w:rFonts w:ascii="Arial" w:hAnsi="Arial" w:cs="Arial"/>
        </w:rPr>
        <w:t xml:space="preserve"> or</w:t>
      </w:r>
      <w:r w:rsidR="003D666A" w:rsidRPr="00527E32">
        <w:rPr>
          <w:rFonts w:ascii="Arial" w:hAnsi="Arial" w:cs="Arial"/>
        </w:rPr>
        <w:t xml:space="preserve"> that his sister was his birth mother</w:t>
      </w:r>
      <w:r w:rsidR="008F7BBF" w:rsidRPr="00527E32">
        <w:rPr>
          <w:rFonts w:ascii="Arial" w:hAnsi="Arial" w:cs="Arial"/>
        </w:rPr>
        <w:t xml:space="preserve"> (Hourly History, 2017)</w:t>
      </w:r>
      <w:r w:rsidR="003D666A" w:rsidRPr="00527E32">
        <w:rPr>
          <w:rFonts w:ascii="Arial" w:hAnsi="Arial" w:cs="Arial"/>
        </w:rPr>
        <w:t>. Instead, he</w:t>
      </w:r>
      <w:r w:rsidRPr="00527E32">
        <w:rPr>
          <w:rFonts w:ascii="Arial" w:hAnsi="Arial" w:cs="Arial"/>
        </w:rPr>
        <w:t xml:space="preserve"> was raised by his grandparents</w:t>
      </w:r>
      <w:r w:rsidR="00E61079" w:rsidRPr="00527E32">
        <w:rPr>
          <w:rFonts w:ascii="Arial" w:hAnsi="Arial" w:cs="Arial"/>
        </w:rPr>
        <w:t xml:space="preserve"> (Poret, 2019)</w:t>
      </w:r>
      <w:r w:rsidRPr="00527E32">
        <w:rPr>
          <w:rFonts w:ascii="Arial" w:hAnsi="Arial" w:cs="Arial"/>
        </w:rPr>
        <w:t>. Differential association theory provides insight into how the family dynamic</w:t>
      </w:r>
      <w:r w:rsidR="00C3084D">
        <w:rPr>
          <w:rFonts w:ascii="Arial" w:hAnsi="Arial" w:cs="Arial"/>
        </w:rPr>
        <w:t xml:space="preserve"> </w:t>
      </w:r>
      <w:r w:rsidRPr="00527E32">
        <w:rPr>
          <w:rFonts w:ascii="Arial" w:hAnsi="Arial" w:cs="Arial"/>
        </w:rPr>
        <w:t>affected Ted</w:t>
      </w:r>
      <w:r w:rsidR="0017100B" w:rsidRPr="00527E32">
        <w:rPr>
          <w:rFonts w:ascii="Arial" w:hAnsi="Arial" w:cs="Arial"/>
        </w:rPr>
        <w:t xml:space="preserve"> </w:t>
      </w:r>
      <w:r w:rsidR="001C7C9D" w:rsidRPr="00527E32">
        <w:rPr>
          <w:rFonts w:ascii="Arial" w:hAnsi="Arial" w:cs="Arial"/>
        </w:rPr>
        <w:t>(Nickerson, 2024)</w:t>
      </w:r>
      <w:r w:rsidRPr="00527E32">
        <w:rPr>
          <w:rFonts w:ascii="Arial" w:hAnsi="Arial" w:cs="Arial"/>
        </w:rPr>
        <w:t xml:space="preserve">, especially considering his family, including his stepfather, </w:t>
      </w:r>
      <w:r w:rsidR="00AC76B6" w:rsidRPr="00527E32">
        <w:rPr>
          <w:rFonts w:ascii="Arial" w:hAnsi="Arial" w:cs="Arial"/>
        </w:rPr>
        <w:t>was</w:t>
      </w:r>
      <w:r w:rsidRPr="00527E32">
        <w:rPr>
          <w:rFonts w:ascii="Arial" w:hAnsi="Arial" w:cs="Arial"/>
        </w:rPr>
        <w:t xml:space="preserve"> aggressive and dysfunctional towards him</w:t>
      </w:r>
      <w:r w:rsidR="007074B6" w:rsidRPr="00527E32">
        <w:rPr>
          <w:rFonts w:ascii="Arial" w:hAnsi="Arial" w:cs="Arial"/>
        </w:rPr>
        <w:t xml:space="preserve"> (Babu, 2020). </w:t>
      </w:r>
      <w:r w:rsidRPr="00527E32">
        <w:rPr>
          <w:rFonts w:ascii="Arial" w:hAnsi="Arial" w:cs="Arial"/>
        </w:rPr>
        <w:t>This decreased positive attention and limited role models, preventing him from gaining skills for socialisation</w:t>
      </w:r>
      <w:r w:rsidR="001C7C9D" w:rsidRPr="00527E32">
        <w:rPr>
          <w:rFonts w:ascii="Arial" w:hAnsi="Arial" w:cs="Arial"/>
        </w:rPr>
        <w:t xml:space="preserve"> (Nickerson, 2024)</w:t>
      </w:r>
      <w:r w:rsidRPr="00527E32">
        <w:rPr>
          <w:rFonts w:ascii="Arial" w:hAnsi="Arial" w:cs="Arial"/>
        </w:rPr>
        <w:t>.</w:t>
      </w:r>
    </w:p>
    <w:p w14:paraId="1EC14E3B" w14:textId="7A6B7541" w:rsidR="00F61F30" w:rsidRPr="00527E32" w:rsidRDefault="00F61F30" w:rsidP="00527E32">
      <w:pPr>
        <w:spacing w:line="360" w:lineRule="auto"/>
        <w:rPr>
          <w:rFonts w:ascii="Arial" w:hAnsi="Arial" w:cs="Arial"/>
        </w:rPr>
      </w:pPr>
      <w:r w:rsidRPr="00527E32">
        <w:rPr>
          <w:rFonts w:ascii="Arial" w:hAnsi="Arial" w:cs="Arial"/>
        </w:rPr>
        <w:t xml:space="preserve">The </w:t>
      </w:r>
      <w:r w:rsidR="005245D0" w:rsidRPr="00527E32">
        <w:rPr>
          <w:rFonts w:ascii="Arial" w:hAnsi="Arial" w:cs="Arial"/>
        </w:rPr>
        <w:t>advantage of the differential theory is</w:t>
      </w:r>
      <w:r w:rsidRPr="00527E32">
        <w:rPr>
          <w:rFonts w:ascii="Arial" w:hAnsi="Arial" w:cs="Arial"/>
        </w:rPr>
        <w:t xml:space="preserve"> the ability to understand criminal behaviour and how youth deviancy can develop. Studies such as Bruinsma, </w:t>
      </w:r>
      <w:r w:rsidR="00BE16F5">
        <w:rPr>
          <w:rFonts w:ascii="Arial" w:hAnsi="Arial" w:cs="Arial"/>
        </w:rPr>
        <w:t>(</w:t>
      </w:r>
      <w:r w:rsidRPr="00527E32">
        <w:rPr>
          <w:rFonts w:ascii="Arial" w:hAnsi="Arial" w:cs="Arial"/>
        </w:rPr>
        <w:t>1992) indicate that differential association theory can explain up to fifty-one per cent of criminal behaviour.</w:t>
      </w:r>
      <w:r w:rsidR="00F674E7">
        <w:rPr>
          <w:rFonts w:ascii="Arial" w:hAnsi="Arial" w:cs="Arial"/>
        </w:rPr>
        <w:t xml:space="preserve"> S</w:t>
      </w:r>
      <w:r w:rsidRPr="00527E32">
        <w:rPr>
          <w:rFonts w:ascii="Arial" w:hAnsi="Arial" w:cs="Arial"/>
        </w:rPr>
        <w:t xml:space="preserve">tudies, such as Costello &amp; Vowell, </w:t>
      </w:r>
      <w:r w:rsidR="00F674E7">
        <w:rPr>
          <w:rFonts w:ascii="Arial" w:hAnsi="Arial" w:cs="Arial"/>
        </w:rPr>
        <w:t>(</w:t>
      </w:r>
      <w:r w:rsidR="004F4208" w:rsidRPr="00527E32">
        <w:rPr>
          <w:rFonts w:ascii="Arial" w:hAnsi="Arial" w:cs="Arial"/>
        </w:rPr>
        <w:t>2006</w:t>
      </w:r>
      <w:r w:rsidRPr="00527E32">
        <w:rPr>
          <w:rFonts w:ascii="Arial" w:hAnsi="Arial" w:cs="Arial"/>
        </w:rPr>
        <w:t xml:space="preserve">), </w:t>
      </w:r>
      <w:r w:rsidR="003552F0">
        <w:rPr>
          <w:rFonts w:ascii="Arial" w:hAnsi="Arial" w:cs="Arial"/>
        </w:rPr>
        <w:t xml:space="preserve">also </w:t>
      </w:r>
      <w:r w:rsidRPr="00527E32">
        <w:rPr>
          <w:rFonts w:ascii="Arial" w:hAnsi="Arial" w:cs="Arial"/>
        </w:rPr>
        <w:t xml:space="preserve">indicate that differential association theory is robust and </w:t>
      </w:r>
      <w:r w:rsidR="003552F0">
        <w:rPr>
          <w:rFonts w:ascii="Arial" w:hAnsi="Arial" w:cs="Arial"/>
        </w:rPr>
        <w:t>is</w:t>
      </w:r>
      <w:r w:rsidRPr="00527E32">
        <w:rPr>
          <w:rFonts w:ascii="Arial" w:hAnsi="Arial" w:cs="Arial"/>
        </w:rPr>
        <w:t xml:space="preserve"> more accurate than other theories, such as the social control theory</w:t>
      </w:r>
      <w:r w:rsidR="000C6A80" w:rsidRPr="00527E32">
        <w:rPr>
          <w:rFonts w:ascii="Arial" w:hAnsi="Arial" w:cs="Arial"/>
        </w:rPr>
        <w:t xml:space="preserve"> </w:t>
      </w:r>
      <w:r w:rsidR="000C6A80" w:rsidRPr="00527E32">
        <w:rPr>
          <w:rFonts w:ascii="Arial" w:hAnsi="Arial" w:cs="Arial"/>
          <w:color w:val="000000"/>
        </w:rPr>
        <w:t>(McCarthy, 1996)</w:t>
      </w:r>
      <w:r w:rsidRPr="00527E32">
        <w:rPr>
          <w:rFonts w:ascii="Arial" w:hAnsi="Arial" w:cs="Arial"/>
        </w:rPr>
        <w:t>.</w:t>
      </w:r>
      <w:r w:rsidR="005245D0" w:rsidRPr="00527E32">
        <w:rPr>
          <w:rFonts w:ascii="Arial" w:hAnsi="Arial" w:cs="Arial"/>
        </w:rPr>
        <w:t xml:space="preserve"> </w:t>
      </w:r>
      <w:r w:rsidR="00D9602D">
        <w:rPr>
          <w:rFonts w:ascii="Arial" w:hAnsi="Arial" w:cs="Arial"/>
        </w:rPr>
        <w:t>T</w:t>
      </w:r>
      <w:r w:rsidRPr="00527E32">
        <w:rPr>
          <w:rFonts w:ascii="Arial" w:hAnsi="Arial" w:cs="Arial"/>
        </w:rPr>
        <w:t xml:space="preserve">he main </w:t>
      </w:r>
      <w:r w:rsidR="005245D0" w:rsidRPr="00527E32">
        <w:rPr>
          <w:rFonts w:ascii="Arial" w:hAnsi="Arial" w:cs="Arial"/>
        </w:rPr>
        <w:t>advantage</w:t>
      </w:r>
      <w:r w:rsidRPr="00527E32">
        <w:rPr>
          <w:rFonts w:ascii="Arial" w:hAnsi="Arial" w:cs="Arial"/>
        </w:rPr>
        <w:t xml:space="preserve"> of the differential association theory is its understanding of how social groups can influence criminal behaviour</w:t>
      </w:r>
      <w:r w:rsidR="004E2943" w:rsidRPr="00527E32">
        <w:rPr>
          <w:rFonts w:ascii="Arial" w:hAnsi="Arial" w:cs="Arial"/>
        </w:rPr>
        <w:t xml:space="preserve"> </w:t>
      </w:r>
      <w:r w:rsidR="004E2943" w:rsidRPr="00527E32">
        <w:rPr>
          <w:rFonts w:ascii="Arial" w:hAnsi="Arial" w:cs="Arial"/>
          <w:color w:val="000000"/>
        </w:rPr>
        <w:t xml:space="preserve">(Costello &amp; Vowell, </w:t>
      </w:r>
      <w:r w:rsidR="003A5910" w:rsidRPr="00527E32">
        <w:rPr>
          <w:rFonts w:ascii="Arial" w:hAnsi="Arial" w:cs="Arial"/>
          <w:color w:val="000000"/>
        </w:rPr>
        <w:t>2006</w:t>
      </w:r>
      <w:r w:rsidR="004E2943" w:rsidRPr="00527E32">
        <w:rPr>
          <w:rFonts w:ascii="Arial" w:hAnsi="Arial" w:cs="Arial"/>
          <w:color w:val="000000"/>
        </w:rPr>
        <w:t>)</w:t>
      </w:r>
      <w:r w:rsidRPr="00527E32">
        <w:rPr>
          <w:rFonts w:ascii="Arial" w:hAnsi="Arial" w:cs="Arial"/>
        </w:rPr>
        <w:t xml:space="preserve">. </w:t>
      </w:r>
      <w:r w:rsidR="00974025">
        <w:rPr>
          <w:rFonts w:ascii="Arial" w:hAnsi="Arial" w:cs="Arial"/>
        </w:rPr>
        <w:t xml:space="preserve">Criminal </w:t>
      </w:r>
      <w:r w:rsidR="0012435E">
        <w:rPr>
          <w:rFonts w:ascii="Arial" w:hAnsi="Arial" w:cs="Arial"/>
        </w:rPr>
        <w:t>behaviour</w:t>
      </w:r>
      <w:r w:rsidRPr="00527E32">
        <w:rPr>
          <w:rFonts w:ascii="Arial" w:hAnsi="Arial" w:cs="Arial"/>
        </w:rPr>
        <w:t xml:space="preserve"> </w:t>
      </w:r>
      <w:r w:rsidR="0012435E">
        <w:rPr>
          <w:rFonts w:ascii="Arial" w:hAnsi="Arial" w:cs="Arial"/>
        </w:rPr>
        <w:t>then influences</w:t>
      </w:r>
      <w:r w:rsidRPr="00527E32">
        <w:rPr>
          <w:rFonts w:ascii="Arial" w:hAnsi="Arial" w:cs="Arial"/>
        </w:rPr>
        <w:t xml:space="preserve"> the social group, feeding back into criminal attitudes and motivations</w:t>
      </w:r>
      <w:r w:rsidR="004C55B9" w:rsidRPr="00527E32">
        <w:rPr>
          <w:rFonts w:ascii="Arial" w:hAnsi="Arial" w:cs="Arial"/>
        </w:rPr>
        <w:t xml:space="preserve"> </w:t>
      </w:r>
      <w:r w:rsidR="004C55B9" w:rsidRPr="00527E32">
        <w:rPr>
          <w:rFonts w:ascii="Arial" w:hAnsi="Arial" w:cs="Arial"/>
          <w:color w:val="000000"/>
        </w:rPr>
        <w:t>(McCarthy, 1996)</w:t>
      </w:r>
      <w:r w:rsidRPr="00527E32">
        <w:rPr>
          <w:rFonts w:ascii="Arial" w:hAnsi="Arial" w:cs="Arial"/>
        </w:rPr>
        <w:t>.</w:t>
      </w:r>
    </w:p>
    <w:p w14:paraId="78E2F9B5" w14:textId="02C9884A" w:rsidR="00F61F30" w:rsidRPr="00527E32" w:rsidRDefault="00F61F30" w:rsidP="00527E32">
      <w:pPr>
        <w:spacing w:line="360" w:lineRule="auto"/>
        <w:rPr>
          <w:rFonts w:ascii="Arial" w:hAnsi="Arial" w:cs="Arial"/>
        </w:rPr>
      </w:pPr>
      <w:r w:rsidRPr="00527E32">
        <w:rPr>
          <w:rFonts w:ascii="Arial" w:hAnsi="Arial" w:cs="Arial"/>
        </w:rPr>
        <w:t>The main disadvantage of the differential association theory is that it does not consider individual criminality</w:t>
      </w:r>
      <w:r w:rsidR="00FC71EB" w:rsidRPr="00527E32">
        <w:rPr>
          <w:rFonts w:ascii="Arial" w:hAnsi="Arial" w:cs="Arial"/>
        </w:rPr>
        <w:t xml:space="preserve"> </w:t>
      </w:r>
      <w:r w:rsidR="006320FE">
        <w:rPr>
          <w:rFonts w:ascii="Arial" w:hAnsi="Arial" w:cs="Arial"/>
        </w:rPr>
        <w:t>that</w:t>
      </w:r>
      <w:r w:rsidR="00FC71EB" w:rsidRPr="00527E32">
        <w:rPr>
          <w:rFonts w:ascii="Arial" w:hAnsi="Arial" w:cs="Arial"/>
        </w:rPr>
        <w:t xml:space="preserve"> </w:t>
      </w:r>
      <w:r w:rsidRPr="00527E32">
        <w:rPr>
          <w:rFonts w:ascii="Arial" w:hAnsi="Arial" w:cs="Arial"/>
        </w:rPr>
        <w:t>deviates from the social group. It also does not consider individuals resisting social pressure</w:t>
      </w:r>
      <w:r w:rsidR="0032023E" w:rsidRPr="00527E32">
        <w:rPr>
          <w:rFonts w:ascii="Arial" w:hAnsi="Arial" w:cs="Arial"/>
        </w:rPr>
        <w:t xml:space="preserve"> </w:t>
      </w:r>
      <w:r w:rsidR="0032023E" w:rsidRPr="00527E32">
        <w:rPr>
          <w:rFonts w:ascii="Arial" w:hAnsi="Arial" w:cs="Arial"/>
          <w:color w:val="000000"/>
        </w:rPr>
        <w:t>(Akers, 1996)</w:t>
      </w:r>
      <w:r w:rsidRPr="00527E32">
        <w:rPr>
          <w:rFonts w:ascii="Arial" w:hAnsi="Arial" w:cs="Arial"/>
        </w:rPr>
        <w:t>.</w:t>
      </w:r>
    </w:p>
    <w:p w14:paraId="36929183" w14:textId="38277B6A" w:rsidR="00F61F30" w:rsidRPr="00527E32" w:rsidRDefault="00DC71F7" w:rsidP="00527E32">
      <w:pPr>
        <w:pStyle w:val="NormalWeb"/>
        <w:spacing w:line="360" w:lineRule="auto"/>
        <w:rPr>
          <w:rFonts w:ascii="Arial" w:hAnsi="Arial" w:cs="Arial"/>
          <w:color w:val="000000"/>
        </w:rPr>
      </w:pPr>
      <w:r>
        <w:rPr>
          <w:rFonts w:ascii="Arial" w:hAnsi="Arial" w:cs="Arial"/>
        </w:rPr>
        <w:t>D</w:t>
      </w:r>
      <w:r w:rsidR="00F61F30" w:rsidRPr="00527E32">
        <w:rPr>
          <w:rFonts w:ascii="Arial" w:hAnsi="Arial" w:cs="Arial"/>
        </w:rPr>
        <w:t>ifferential association theory does not account for criminal behaviour within the prison system. This is due to criminals not all getting worse whilst in prison</w:t>
      </w:r>
      <w:r w:rsidR="00F67A85" w:rsidRPr="00527E32">
        <w:rPr>
          <w:rFonts w:ascii="Arial" w:hAnsi="Arial" w:cs="Arial"/>
        </w:rPr>
        <w:t>. I</w:t>
      </w:r>
      <w:r w:rsidR="00F61F30" w:rsidRPr="00527E32">
        <w:rPr>
          <w:rFonts w:ascii="Arial" w:hAnsi="Arial" w:cs="Arial"/>
        </w:rPr>
        <w:t>nstead</w:t>
      </w:r>
      <w:r w:rsidR="00F67A85" w:rsidRPr="00527E32">
        <w:rPr>
          <w:rFonts w:ascii="Arial" w:hAnsi="Arial" w:cs="Arial"/>
        </w:rPr>
        <w:t xml:space="preserve">, rehabilitation is the </w:t>
      </w:r>
      <w:r w:rsidR="00D9439E">
        <w:rPr>
          <w:rFonts w:ascii="Arial" w:hAnsi="Arial" w:cs="Arial"/>
        </w:rPr>
        <w:t>aim</w:t>
      </w:r>
      <w:r w:rsidR="00F67A85" w:rsidRPr="00527E32">
        <w:rPr>
          <w:rFonts w:ascii="Arial" w:hAnsi="Arial" w:cs="Arial"/>
        </w:rPr>
        <w:t xml:space="preserve"> of the prison sentence (Harris</w:t>
      </w:r>
      <w:r w:rsidR="00B63EFE" w:rsidRPr="00527E32">
        <w:rPr>
          <w:rFonts w:ascii="Arial" w:hAnsi="Arial" w:cs="Arial"/>
        </w:rPr>
        <w:t>,</w:t>
      </w:r>
      <w:r w:rsidR="00F25CD4" w:rsidRPr="00527E32">
        <w:rPr>
          <w:rFonts w:ascii="Arial" w:hAnsi="Arial" w:cs="Arial"/>
          <w:color w:val="000000"/>
        </w:rPr>
        <w:t xml:space="preserve"> et al., 2017)</w:t>
      </w:r>
      <w:r w:rsidR="00B27749" w:rsidRPr="00527E32">
        <w:rPr>
          <w:rFonts w:ascii="Arial" w:hAnsi="Arial" w:cs="Arial"/>
          <w:color w:val="000000"/>
        </w:rPr>
        <w:t>.</w:t>
      </w:r>
    </w:p>
    <w:p w14:paraId="2DEBB71D" w14:textId="5579F4A6" w:rsidR="009015E0" w:rsidRPr="00527E32" w:rsidRDefault="009015E0" w:rsidP="00527E32">
      <w:pPr>
        <w:spacing w:line="360" w:lineRule="auto"/>
        <w:rPr>
          <w:rFonts w:ascii="Arial" w:hAnsi="Arial" w:cs="Arial"/>
        </w:rPr>
      </w:pPr>
      <w:r w:rsidRPr="00527E32">
        <w:rPr>
          <w:rFonts w:ascii="Arial" w:hAnsi="Arial" w:cs="Arial"/>
        </w:rPr>
        <w:t xml:space="preserve">In conclusion, Ted Bundy had a complex and unstable life, starting from his childhood (Britannica, 2024). Ted’s family dynamic was not like others, which caused confusion for him during his childhood years (Babu, 2020). Understanding the social and </w:t>
      </w:r>
      <w:r w:rsidR="00A21E2E" w:rsidRPr="00527E32">
        <w:rPr>
          <w:rFonts w:ascii="Arial" w:hAnsi="Arial" w:cs="Arial"/>
        </w:rPr>
        <w:t xml:space="preserve">differential association </w:t>
      </w:r>
      <w:r w:rsidRPr="00527E32">
        <w:rPr>
          <w:rFonts w:ascii="Arial" w:hAnsi="Arial" w:cs="Arial"/>
        </w:rPr>
        <w:t xml:space="preserve">theories allows some understanding of the social and </w:t>
      </w:r>
      <w:r w:rsidR="008A4F86">
        <w:rPr>
          <w:rFonts w:ascii="Arial" w:hAnsi="Arial" w:cs="Arial"/>
        </w:rPr>
        <w:t xml:space="preserve">environmental </w:t>
      </w:r>
      <w:r w:rsidRPr="00527E32">
        <w:rPr>
          <w:rFonts w:ascii="Arial" w:hAnsi="Arial" w:cs="Arial"/>
        </w:rPr>
        <w:t xml:space="preserve">factors that have significantly impacted Ted’s childhood years </w:t>
      </w:r>
      <w:r w:rsidRPr="00527E32">
        <w:rPr>
          <w:rFonts w:ascii="Arial" w:hAnsi="Arial" w:cs="Arial"/>
        </w:rPr>
        <w:lastRenderedPageBreak/>
        <w:t xml:space="preserve">(Bandura, 2014; </w:t>
      </w:r>
      <w:proofErr w:type="spellStart"/>
      <w:r w:rsidRPr="00527E32">
        <w:rPr>
          <w:rFonts w:ascii="Arial" w:hAnsi="Arial" w:cs="Arial"/>
        </w:rPr>
        <w:t>Mcleod</w:t>
      </w:r>
      <w:proofErr w:type="spellEnd"/>
      <w:r w:rsidRPr="00527E32">
        <w:rPr>
          <w:rFonts w:ascii="Arial" w:hAnsi="Arial" w:cs="Arial"/>
        </w:rPr>
        <w:t>, 2024</w:t>
      </w:r>
      <w:r w:rsidR="009C561D" w:rsidRPr="00527E32">
        <w:rPr>
          <w:rFonts w:ascii="Arial" w:hAnsi="Arial" w:cs="Arial"/>
        </w:rPr>
        <w:t>; Nickerson, 2024)</w:t>
      </w:r>
      <w:r w:rsidRPr="00527E32">
        <w:rPr>
          <w:rFonts w:ascii="Arial" w:hAnsi="Arial" w:cs="Arial"/>
        </w:rPr>
        <w:t xml:space="preserve">. Ted displays both sociopathic and psychopathic tendencies (Kasireddy, 2023). However, there is no evidence to </w:t>
      </w:r>
      <w:r w:rsidR="005B48C5">
        <w:rPr>
          <w:rFonts w:ascii="Arial" w:hAnsi="Arial" w:cs="Arial"/>
        </w:rPr>
        <w:t xml:space="preserve">indicate </w:t>
      </w:r>
      <w:r w:rsidR="003E4EA1">
        <w:rPr>
          <w:rFonts w:ascii="Arial" w:hAnsi="Arial" w:cs="Arial"/>
        </w:rPr>
        <w:t>which</w:t>
      </w:r>
      <w:r w:rsidR="003867CC">
        <w:rPr>
          <w:rFonts w:ascii="Arial" w:hAnsi="Arial" w:cs="Arial"/>
        </w:rPr>
        <w:t xml:space="preserve"> he may be</w:t>
      </w:r>
      <w:r w:rsidRPr="00527E32">
        <w:rPr>
          <w:rFonts w:ascii="Arial" w:hAnsi="Arial" w:cs="Arial"/>
        </w:rPr>
        <w:t xml:space="preserve"> (Kasi</w:t>
      </w:r>
      <w:r w:rsidR="00EE308E" w:rsidRPr="00527E32">
        <w:rPr>
          <w:rFonts w:ascii="Arial" w:hAnsi="Arial" w:cs="Arial"/>
        </w:rPr>
        <w:t>r</w:t>
      </w:r>
      <w:r w:rsidRPr="00527E32">
        <w:rPr>
          <w:rFonts w:ascii="Arial" w:hAnsi="Arial" w:cs="Arial"/>
        </w:rPr>
        <w:t>e</w:t>
      </w:r>
      <w:r w:rsidR="00EE308E" w:rsidRPr="00527E32">
        <w:rPr>
          <w:rFonts w:ascii="Arial" w:hAnsi="Arial" w:cs="Arial"/>
        </w:rPr>
        <w:t>dd</w:t>
      </w:r>
      <w:r w:rsidRPr="00527E32">
        <w:rPr>
          <w:rFonts w:ascii="Arial" w:hAnsi="Arial" w:cs="Arial"/>
        </w:rPr>
        <w:t>y, 2023) because when he was alive, he was never diagnosed (Cimino, 2019)</w:t>
      </w:r>
      <w:r w:rsidR="00F37DBF">
        <w:rPr>
          <w:rFonts w:ascii="Arial" w:hAnsi="Arial" w:cs="Arial"/>
        </w:rPr>
        <w:t>.</w:t>
      </w:r>
      <w:r w:rsidRPr="00527E32">
        <w:rPr>
          <w:rFonts w:ascii="Arial" w:hAnsi="Arial" w:cs="Arial"/>
        </w:rPr>
        <w:t xml:space="preserve"> </w:t>
      </w:r>
    </w:p>
    <w:p w14:paraId="03B42149" w14:textId="352115D7" w:rsidR="006C0750" w:rsidRPr="006C0750" w:rsidRDefault="006C0750" w:rsidP="006C0750">
      <w:pPr>
        <w:pStyle w:val="NormalWeb"/>
        <w:spacing w:line="360" w:lineRule="auto"/>
        <w:rPr>
          <w:rFonts w:ascii="Arial" w:hAnsi="Arial" w:cs="Arial"/>
          <w:color w:val="FF0000"/>
        </w:rPr>
      </w:pPr>
    </w:p>
    <w:p w14:paraId="79B7350E" w14:textId="77777777" w:rsidR="007074B6" w:rsidRPr="007074B6" w:rsidRDefault="007074B6" w:rsidP="007074B6">
      <w:pPr>
        <w:spacing w:line="360" w:lineRule="auto"/>
        <w:rPr>
          <w:rFonts w:ascii="Arial" w:hAnsi="Arial" w:cs="Arial"/>
        </w:rPr>
      </w:pPr>
    </w:p>
    <w:p w14:paraId="42BA234D" w14:textId="77777777" w:rsidR="00CE6FDC" w:rsidRDefault="00CE6FDC" w:rsidP="00425530">
      <w:pPr>
        <w:spacing w:line="360" w:lineRule="auto"/>
        <w:rPr>
          <w:rFonts w:ascii="Arial" w:hAnsi="Arial" w:cs="Arial"/>
        </w:rPr>
      </w:pPr>
    </w:p>
    <w:p w14:paraId="524828EE" w14:textId="77777777" w:rsidR="00EC0CD1" w:rsidRDefault="00EC0CD1" w:rsidP="00425530">
      <w:pPr>
        <w:spacing w:line="360" w:lineRule="auto"/>
        <w:rPr>
          <w:rFonts w:ascii="Arial" w:hAnsi="Arial" w:cs="Arial"/>
        </w:rPr>
      </w:pPr>
    </w:p>
    <w:p w14:paraId="1EEFA2E8" w14:textId="77777777" w:rsidR="00425530" w:rsidRDefault="00425530" w:rsidP="002E2C78">
      <w:pPr>
        <w:spacing w:line="360" w:lineRule="auto"/>
        <w:rPr>
          <w:rFonts w:ascii="Arial" w:hAnsi="Arial" w:cs="Arial"/>
        </w:rPr>
      </w:pPr>
    </w:p>
    <w:p w14:paraId="6884DC35" w14:textId="77777777" w:rsidR="002E2C78" w:rsidRDefault="002E2C78" w:rsidP="00A9705B">
      <w:pPr>
        <w:spacing w:line="360" w:lineRule="auto"/>
        <w:rPr>
          <w:rFonts w:ascii="Arial" w:hAnsi="Arial" w:cs="Arial"/>
        </w:rPr>
      </w:pPr>
    </w:p>
    <w:p w14:paraId="5808E581" w14:textId="77777777" w:rsidR="002E2C78" w:rsidRDefault="002E2C78" w:rsidP="00A9705B">
      <w:pPr>
        <w:spacing w:line="360" w:lineRule="auto"/>
        <w:rPr>
          <w:rFonts w:ascii="Arial" w:hAnsi="Arial" w:cs="Arial"/>
        </w:rPr>
      </w:pPr>
    </w:p>
    <w:p w14:paraId="4D7757BC" w14:textId="5E7AEFA0" w:rsidR="00323301" w:rsidRDefault="00323301" w:rsidP="005B2F81">
      <w:pPr>
        <w:spacing w:line="360" w:lineRule="auto"/>
        <w:rPr>
          <w:rFonts w:ascii="Arial" w:hAnsi="Arial" w:cs="Arial"/>
        </w:rPr>
      </w:pPr>
    </w:p>
    <w:p w14:paraId="70FF46A9" w14:textId="77777777" w:rsidR="005B2F81" w:rsidRDefault="005B2F81" w:rsidP="005B2F81">
      <w:pPr>
        <w:spacing w:line="360" w:lineRule="auto"/>
        <w:rPr>
          <w:rFonts w:ascii="Arial" w:hAnsi="Arial" w:cs="Arial"/>
        </w:rPr>
      </w:pPr>
    </w:p>
    <w:p w14:paraId="11B479F3" w14:textId="77777777" w:rsidR="005B2F81" w:rsidRDefault="005B2F81" w:rsidP="005B2F81">
      <w:pPr>
        <w:spacing w:line="360" w:lineRule="auto"/>
        <w:rPr>
          <w:rFonts w:ascii="Arial" w:hAnsi="Arial" w:cs="Arial"/>
        </w:rPr>
      </w:pPr>
    </w:p>
    <w:p w14:paraId="33205339" w14:textId="77777777" w:rsidR="005B2F81" w:rsidRDefault="005B2F81" w:rsidP="005B2F81">
      <w:pPr>
        <w:spacing w:line="360" w:lineRule="auto"/>
        <w:rPr>
          <w:rFonts w:ascii="Arial" w:hAnsi="Arial" w:cs="Arial"/>
        </w:rPr>
      </w:pPr>
    </w:p>
    <w:p w14:paraId="0CE0319D" w14:textId="77777777" w:rsidR="005B2F81" w:rsidRDefault="005B2F81" w:rsidP="005B2F81">
      <w:pPr>
        <w:spacing w:line="360" w:lineRule="auto"/>
        <w:rPr>
          <w:rFonts w:ascii="Arial" w:hAnsi="Arial" w:cs="Arial"/>
        </w:rPr>
      </w:pPr>
    </w:p>
    <w:p w14:paraId="3CA81283" w14:textId="77777777" w:rsidR="00FD1348" w:rsidRDefault="00FD1348">
      <w:pPr>
        <w:rPr>
          <w:rFonts w:ascii="Arial" w:hAnsi="Arial" w:cs="Arial"/>
        </w:rPr>
      </w:pPr>
    </w:p>
    <w:p w14:paraId="2F5B1A4C" w14:textId="77777777" w:rsidR="00527E32" w:rsidRDefault="00527E32">
      <w:pPr>
        <w:rPr>
          <w:rFonts w:ascii="Arial" w:hAnsi="Arial" w:cs="Arial"/>
        </w:rPr>
      </w:pPr>
    </w:p>
    <w:p w14:paraId="73A13426" w14:textId="77777777" w:rsidR="005B6A44" w:rsidRDefault="005B6A44">
      <w:pPr>
        <w:rPr>
          <w:rFonts w:ascii="Arial" w:hAnsi="Arial" w:cs="Arial"/>
        </w:rPr>
      </w:pPr>
    </w:p>
    <w:p w14:paraId="0F055AB4" w14:textId="77777777" w:rsidR="00BC15D0" w:rsidRDefault="00BC15D0">
      <w:pPr>
        <w:rPr>
          <w:rFonts w:ascii="Arial" w:hAnsi="Arial" w:cs="Arial"/>
        </w:rPr>
      </w:pPr>
    </w:p>
    <w:p w14:paraId="43EFD7DA" w14:textId="77777777" w:rsidR="00BC15D0" w:rsidRDefault="00BC15D0">
      <w:pPr>
        <w:rPr>
          <w:rFonts w:ascii="Arial" w:hAnsi="Arial" w:cs="Arial"/>
        </w:rPr>
      </w:pPr>
    </w:p>
    <w:p w14:paraId="0C9FDF1F" w14:textId="77777777" w:rsidR="00BC15D0" w:rsidRDefault="00BC15D0">
      <w:pPr>
        <w:rPr>
          <w:rFonts w:ascii="Arial" w:hAnsi="Arial" w:cs="Arial"/>
        </w:rPr>
      </w:pPr>
    </w:p>
    <w:p w14:paraId="54398425" w14:textId="77777777" w:rsidR="00BC15D0" w:rsidRDefault="00BC15D0">
      <w:pPr>
        <w:rPr>
          <w:rFonts w:ascii="Arial" w:hAnsi="Arial" w:cs="Arial"/>
        </w:rPr>
      </w:pPr>
    </w:p>
    <w:p w14:paraId="4BF82D6A" w14:textId="77777777" w:rsidR="005B6A44" w:rsidRDefault="005B6A44">
      <w:pPr>
        <w:rPr>
          <w:rFonts w:ascii="Arial" w:hAnsi="Arial" w:cs="Arial"/>
        </w:rPr>
      </w:pPr>
    </w:p>
    <w:p w14:paraId="66D98B82" w14:textId="4F6074EF" w:rsidR="003F7814" w:rsidRDefault="00E81083" w:rsidP="00E73825">
      <w:pPr>
        <w:pStyle w:val="Heading1"/>
      </w:pPr>
      <w:r>
        <w:lastRenderedPageBreak/>
        <w:t>References</w:t>
      </w:r>
    </w:p>
    <w:sdt>
      <w:sdtPr>
        <w:id w:val="-573587230"/>
        <w:bibliography/>
      </w:sdtPr>
      <w:sdtEndPr/>
      <w:sdtContent>
        <w:p w14:paraId="74ABF033" w14:textId="77777777" w:rsidR="00E81083" w:rsidRDefault="00E81083" w:rsidP="00E81083">
          <w:pPr>
            <w:pStyle w:val="Bibliography"/>
            <w:rPr>
              <w:noProof/>
              <w:kern w:val="0"/>
              <w14:ligatures w14:val="none"/>
            </w:rPr>
          </w:pPr>
          <w:r>
            <w:fldChar w:fldCharType="begin"/>
          </w:r>
          <w:r>
            <w:instrText xml:space="preserve"> BIBLIOGRAPHY </w:instrText>
          </w:r>
          <w:r>
            <w:fldChar w:fldCharType="separate"/>
          </w:r>
          <w:r>
            <w:rPr>
              <w:noProof/>
            </w:rPr>
            <w:t xml:space="preserve">Akers, R. L., (1996). Is Differential Association/Social Learning Cultural Deviance Theory?*. </w:t>
          </w:r>
          <w:r>
            <w:rPr>
              <w:i/>
              <w:iCs/>
              <w:noProof/>
            </w:rPr>
            <w:t xml:space="preserve">Criminology, </w:t>
          </w:r>
          <w:r>
            <w:rPr>
              <w:noProof/>
            </w:rPr>
            <w:t>34(2), pp. 229-247.</w:t>
          </w:r>
        </w:p>
        <w:p w14:paraId="032ABC4F" w14:textId="77777777" w:rsidR="00E81083" w:rsidRDefault="00E81083" w:rsidP="00E81083">
          <w:pPr>
            <w:pStyle w:val="Bibliography"/>
            <w:rPr>
              <w:noProof/>
            </w:rPr>
          </w:pPr>
          <w:r>
            <w:rPr>
              <w:noProof/>
            </w:rPr>
            <w:t xml:space="preserve">Babu, J., (2020). The Abominable Killer: An Introspection of the Bundy Murders; The Bundy Murders: A Comprehensive History. </w:t>
          </w:r>
          <w:r>
            <w:rPr>
              <w:i/>
              <w:iCs/>
              <w:noProof/>
            </w:rPr>
            <w:t xml:space="preserve">International Journal of English Literature and Social Sciences (IJELS), </w:t>
          </w:r>
          <w:r>
            <w:rPr>
              <w:noProof/>
            </w:rPr>
            <w:t>27th December, 5(6), pp. 1-4.</w:t>
          </w:r>
        </w:p>
        <w:p w14:paraId="1986C5D8" w14:textId="77777777" w:rsidR="00E81083" w:rsidRDefault="00E81083" w:rsidP="00E81083">
          <w:pPr>
            <w:pStyle w:val="Bibliography"/>
            <w:rPr>
              <w:noProof/>
            </w:rPr>
          </w:pPr>
          <w:r>
            <w:rPr>
              <w:noProof/>
            </w:rPr>
            <w:t xml:space="preserve">Bandura, A., (1971). </w:t>
          </w:r>
          <w:r>
            <w:rPr>
              <w:i/>
              <w:iCs/>
              <w:noProof/>
            </w:rPr>
            <w:t xml:space="preserve">Social learning theory. </w:t>
          </w:r>
          <w:r>
            <w:rPr>
              <w:noProof/>
            </w:rPr>
            <w:t xml:space="preserve">[Online] </w:t>
          </w:r>
          <w:r>
            <w:rPr>
              <w:noProof/>
            </w:rPr>
            <w:br/>
            <w:t xml:space="preserve">Available at: </w:t>
          </w:r>
          <w:r>
            <w:rPr>
              <w:noProof/>
              <w:u w:val="single"/>
            </w:rPr>
            <w:t>https://ocd.lcwu.edu.pk/cfiles/Gender%20&amp;%20Development%20Studies/MIN/GDS%20%E2%80%93%20101/Bandura_SocialLearningTheory.pdf</w:t>
          </w:r>
          <w:r>
            <w:rPr>
              <w:noProof/>
            </w:rPr>
            <w:br/>
            <w:t>[Accessed 22nd February 2024].</w:t>
          </w:r>
        </w:p>
        <w:p w14:paraId="6260AA37" w14:textId="3726681F" w:rsidR="00E81083" w:rsidRDefault="00E81083" w:rsidP="00E81083">
          <w:pPr>
            <w:pStyle w:val="Bibliography"/>
            <w:rPr>
              <w:noProof/>
            </w:rPr>
          </w:pPr>
          <w:r>
            <w:rPr>
              <w:noProof/>
            </w:rPr>
            <w:t xml:space="preserve">Bandura, A., (2014). Bandura, Albert. In: J. A. Fadul, ed. </w:t>
          </w:r>
          <w:r>
            <w:rPr>
              <w:i/>
              <w:iCs/>
              <w:noProof/>
            </w:rPr>
            <w:t xml:space="preserve">Encyclopedia of Theory &amp; Practice in Psychotherapy &amp; Counselling. </w:t>
          </w:r>
          <w:r>
            <w:rPr>
              <w:noProof/>
            </w:rPr>
            <w:t>Encyclopedia of Theory &amp; Practice in Psychotherapy &amp; Counselling, p. 98.</w:t>
          </w:r>
        </w:p>
        <w:p w14:paraId="316EDA0C" w14:textId="77777777" w:rsidR="00E81083" w:rsidRDefault="00E81083" w:rsidP="00E81083">
          <w:pPr>
            <w:pStyle w:val="Bibliography"/>
            <w:rPr>
              <w:noProof/>
            </w:rPr>
          </w:pPr>
          <w:r>
            <w:rPr>
              <w:noProof/>
            </w:rPr>
            <w:t xml:space="preserve">Britannica, (2024). </w:t>
          </w:r>
          <w:r>
            <w:rPr>
              <w:i/>
              <w:iCs/>
              <w:noProof/>
            </w:rPr>
            <w:t xml:space="preserve">Ted Bundy: American Serial Killer. </w:t>
          </w:r>
          <w:r>
            <w:rPr>
              <w:noProof/>
            </w:rPr>
            <w:t xml:space="preserve">[Online] </w:t>
          </w:r>
          <w:r>
            <w:rPr>
              <w:noProof/>
            </w:rPr>
            <w:br/>
            <w:t xml:space="preserve">Available at: </w:t>
          </w:r>
          <w:r>
            <w:rPr>
              <w:noProof/>
              <w:u w:val="single"/>
            </w:rPr>
            <w:t>https://www.britannica.com/biography/Ted-Bundy</w:t>
          </w:r>
          <w:r>
            <w:rPr>
              <w:noProof/>
            </w:rPr>
            <w:br/>
            <w:t>[Accessed 8th February 2024].</w:t>
          </w:r>
        </w:p>
        <w:p w14:paraId="04AFBE94" w14:textId="77777777" w:rsidR="00E81083" w:rsidRDefault="00E81083" w:rsidP="00E81083">
          <w:pPr>
            <w:pStyle w:val="Bibliography"/>
            <w:rPr>
              <w:noProof/>
            </w:rPr>
          </w:pPr>
          <w:r>
            <w:rPr>
              <w:noProof/>
            </w:rPr>
            <w:t xml:space="preserve">Bruinsma, G. J. N., (1992). Differential association theory reconsidered: An extension and its empirical test. </w:t>
          </w:r>
          <w:r>
            <w:rPr>
              <w:i/>
              <w:iCs/>
              <w:noProof/>
            </w:rPr>
            <w:t xml:space="preserve">Journal of Quantitative Criminology, </w:t>
          </w:r>
          <w:r>
            <w:rPr>
              <w:noProof/>
            </w:rPr>
            <w:t>Volume 8, pp. 29-49.</w:t>
          </w:r>
        </w:p>
        <w:p w14:paraId="652EDA6D" w14:textId="77777777" w:rsidR="00E81083" w:rsidRDefault="00E81083" w:rsidP="00E81083">
          <w:pPr>
            <w:pStyle w:val="Bibliography"/>
            <w:rPr>
              <w:noProof/>
            </w:rPr>
          </w:pPr>
          <w:r>
            <w:rPr>
              <w:noProof/>
            </w:rPr>
            <w:t xml:space="preserve">Castle, T. &amp; Hensley, C., (2002). Serial Killers with Military Experience: Applying Learning Theory to Serial Murder. </w:t>
          </w:r>
          <w:r>
            <w:rPr>
              <w:i/>
              <w:iCs/>
              <w:noProof/>
            </w:rPr>
            <w:t xml:space="preserve">International Journal of Offender Therapy and Comparative Criminology, </w:t>
          </w:r>
          <w:r>
            <w:rPr>
              <w:noProof/>
            </w:rPr>
            <w:t>46(4), pp. 453-465.</w:t>
          </w:r>
        </w:p>
        <w:p w14:paraId="517E7D4F" w14:textId="6D3D7271" w:rsidR="00E81083" w:rsidRDefault="00E81083" w:rsidP="00E81083">
          <w:pPr>
            <w:pStyle w:val="Bibliography"/>
            <w:rPr>
              <w:noProof/>
            </w:rPr>
          </w:pPr>
          <w:r>
            <w:rPr>
              <w:noProof/>
            </w:rPr>
            <w:t xml:space="preserve">Cimino, A., (2019). Ted Bundy: America's Most Evil Serial Killer. In: </w:t>
          </w:r>
          <w:r>
            <w:rPr>
              <w:i/>
              <w:iCs/>
              <w:noProof/>
            </w:rPr>
            <w:t xml:space="preserve">All-American Boy. </w:t>
          </w:r>
          <w:r>
            <w:rPr>
              <w:noProof/>
            </w:rPr>
            <w:t>Arcturus Publishing.</w:t>
          </w:r>
        </w:p>
        <w:p w14:paraId="7C9A273F" w14:textId="77777777" w:rsidR="00E81083" w:rsidRDefault="00E81083" w:rsidP="00E81083">
          <w:pPr>
            <w:pStyle w:val="Bibliography"/>
            <w:rPr>
              <w:noProof/>
            </w:rPr>
          </w:pPr>
          <w:r>
            <w:rPr>
              <w:noProof/>
            </w:rPr>
            <w:t xml:space="preserve">Costello, B. J. &amp; Vowell, P. R., (2006). Testing Control Theory and Differential Association: A Reanalysis of The Richmond Youth Project Data. </w:t>
          </w:r>
          <w:r>
            <w:rPr>
              <w:i/>
              <w:iCs/>
              <w:noProof/>
            </w:rPr>
            <w:t xml:space="preserve">Criminology, </w:t>
          </w:r>
          <w:r>
            <w:rPr>
              <w:noProof/>
            </w:rPr>
            <w:t>37(4), pp. 815-842.</w:t>
          </w:r>
        </w:p>
        <w:p w14:paraId="40E09D23" w14:textId="77777777" w:rsidR="00E81083" w:rsidRDefault="00E81083" w:rsidP="00E81083">
          <w:pPr>
            <w:pStyle w:val="Bibliography"/>
            <w:rPr>
              <w:noProof/>
            </w:rPr>
          </w:pPr>
          <w:r>
            <w:rPr>
              <w:noProof/>
            </w:rPr>
            <w:t xml:space="preserve">Fox, B., (2017). It's nature and nurture: Integrating biology and genetics into the social learning theory of criminal behavior. </w:t>
          </w:r>
          <w:r>
            <w:rPr>
              <w:i/>
              <w:iCs/>
              <w:noProof/>
            </w:rPr>
            <w:t xml:space="preserve">Journal of Criminal Justice, </w:t>
          </w:r>
          <w:r>
            <w:rPr>
              <w:noProof/>
            </w:rPr>
            <w:t>Volume 49, pp. 22-31.</w:t>
          </w:r>
        </w:p>
        <w:p w14:paraId="03F92E4C" w14:textId="77777777" w:rsidR="00E81083" w:rsidRDefault="00E81083" w:rsidP="00E81083">
          <w:pPr>
            <w:pStyle w:val="Bibliography"/>
            <w:rPr>
              <w:noProof/>
            </w:rPr>
          </w:pPr>
          <w:r>
            <w:rPr>
              <w:noProof/>
            </w:rPr>
            <w:t xml:space="preserve">Harris, H. M., Nakamura, K. &amp; Bucklen, K. B., (2017). Do Cellmates Matter? A Casual test of The Schools of Crime Hypothesis With Implications For Differential Association and Deterrence Theories. </w:t>
          </w:r>
          <w:r>
            <w:rPr>
              <w:i/>
              <w:iCs/>
              <w:noProof/>
            </w:rPr>
            <w:t xml:space="preserve">Criminology, </w:t>
          </w:r>
          <w:r>
            <w:rPr>
              <w:noProof/>
            </w:rPr>
            <w:t>56(1), pp. 87-122.</w:t>
          </w:r>
        </w:p>
        <w:p w14:paraId="0971C047" w14:textId="51342E75" w:rsidR="00E81083" w:rsidRDefault="00E81083" w:rsidP="00E81083">
          <w:pPr>
            <w:pStyle w:val="Bibliography"/>
            <w:rPr>
              <w:noProof/>
            </w:rPr>
          </w:pPr>
          <w:r>
            <w:rPr>
              <w:noProof/>
            </w:rPr>
            <w:t xml:space="preserve">Hourly History, (2017). </w:t>
          </w:r>
          <w:r>
            <w:rPr>
              <w:i/>
              <w:iCs/>
              <w:noProof/>
            </w:rPr>
            <w:t xml:space="preserve">Ted Bundy: A Life From Beginning to End. </w:t>
          </w:r>
          <w:r>
            <w:rPr>
              <w:noProof/>
            </w:rPr>
            <w:t>CreateSpace Independent Publishing Platform.</w:t>
          </w:r>
        </w:p>
        <w:p w14:paraId="6BEA0CC7" w14:textId="77777777" w:rsidR="00E81083" w:rsidRDefault="00E81083" w:rsidP="00E81083">
          <w:pPr>
            <w:pStyle w:val="Bibliography"/>
            <w:rPr>
              <w:noProof/>
            </w:rPr>
          </w:pPr>
          <w:r>
            <w:rPr>
              <w:noProof/>
            </w:rPr>
            <w:lastRenderedPageBreak/>
            <w:t xml:space="preserve">Kasireddy, R., (2023). What Leads to" Serial Killer" Behaviour?. </w:t>
          </w:r>
          <w:r>
            <w:rPr>
              <w:i/>
              <w:iCs/>
              <w:noProof/>
            </w:rPr>
            <w:t xml:space="preserve">Journal of Student Research, </w:t>
          </w:r>
          <w:r>
            <w:rPr>
              <w:noProof/>
            </w:rPr>
            <w:t>12(1).</w:t>
          </w:r>
        </w:p>
        <w:p w14:paraId="0CF915D9" w14:textId="77777777" w:rsidR="00E81083" w:rsidRDefault="00E81083" w:rsidP="00E81083">
          <w:pPr>
            <w:pStyle w:val="Bibliography"/>
            <w:rPr>
              <w:noProof/>
            </w:rPr>
          </w:pPr>
          <w:r>
            <w:rPr>
              <w:noProof/>
            </w:rPr>
            <w:t xml:space="preserve">Krohn, M. D., (1999). Social Learning Theory: The Continuing Development of a Perspective. </w:t>
          </w:r>
          <w:r>
            <w:rPr>
              <w:i/>
              <w:iCs/>
              <w:noProof/>
            </w:rPr>
            <w:t xml:space="preserve">Theoretical Criminology, </w:t>
          </w:r>
          <w:r>
            <w:rPr>
              <w:noProof/>
            </w:rPr>
            <w:t>3(4), pp. 462-476.</w:t>
          </w:r>
        </w:p>
        <w:p w14:paraId="4AC7DA82" w14:textId="77777777" w:rsidR="00E81083" w:rsidRDefault="00E81083" w:rsidP="00E81083">
          <w:pPr>
            <w:pStyle w:val="Bibliography"/>
            <w:rPr>
              <w:noProof/>
            </w:rPr>
          </w:pPr>
          <w:r>
            <w:rPr>
              <w:noProof/>
            </w:rPr>
            <w:t xml:space="preserve">McCarthy, B., (1996). The Attitudes and Actions of Others: Tutelage and Sutherland's Theory of Differential Association. </w:t>
          </w:r>
          <w:r>
            <w:rPr>
              <w:i/>
              <w:iCs/>
              <w:noProof/>
            </w:rPr>
            <w:t xml:space="preserve">The British Journal of Criminology, </w:t>
          </w:r>
          <w:r>
            <w:rPr>
              <w:noProof/>
            </w:rPr>
            <w:t>36(1), pp. 135-147.</w:t>
          </w:r>
        </w:p>
        <w:p w14:paraId="70167B4D" w14:textId="77777777" w:rsidR="00E81083" w:rsidRDefault="00E81083" w:rsidP="00E81083">
          <w:pPr>
            <w:pStyle w:val="Bibliography"/>
            <w:rPr>
              <w:noProof/>
            </w:rPr>
          </w:pPr>
          <w:r>
            <w:rPr>
              <w:noProof/>
            </w:rPr>
            <w:t xml:space="preserve">Mcleod, S., (2024). </w:t>
          </w:r>
          <w:r>
            <w:rPr>
              <w:i/>
              <w:iCs/>
              <w:noProof/>
            </w:rPr>
            <w:t xml:space="preserve">Albert Bandura's Social Learning Theory. </w:t>
          </w:r>
          <w:r>
            <w:rPr>
              <w:noProof/>
            </w:rPr>
            <w:t xml:space="preserve">[Online] </w:t>
          </w:r>
          <w:r>
            <w:rPr>
              <w:noProof/>
            </w:rPr>
            <w:br/>
            <w:t xml:space="preserve">Available at: </w:t>
          </w:r>
          <w:r>
            <w:rPr>
              <w:noProof/>
              <w:u w:val="single"/>
            </w:rPr>
            <w:t>https://www.simplypsychology.org/bandura.html</w:t>
          </w:r>
          <w:r>
            <w:rPr>
              <w:noProof/>
            </w:rPr>
            <w:br/>
            <w:t>[Accessed 17th February 2024].</w:t>
          </w:r>
        </w:p>
        <w:p w14:paraId="29851D27" w14:textId="6C1AAA74" w:rsidR="00E81083" w:rsidRDefault="00E81083" w:rsidP="00E81083">
          <w:pPr>
            <w:pStyle w:val="Bibliography"/>
            <w:rPr>
              <w:noProof/>
            </w:rPr>
          </w:pPr>
          <w:r>
            <w:rPr>
              <w:noProof/>
            </w:rPr>
            <w:t xml:space="preserve">Michaud, S. G. &amp; Aynesworth, H., (2019). </w:t>
          </w:r>
          <w:r>
            <w:rPr>
              <w:i/>
              <w:iCs/>
              <w:noProof/>
            </w:rPr>
            <w:t xml:space="preserve">Ted Bundy: Conversations Witha Killer: The Death Row Interviews. </w:t>
          </w:r>
          <w:r>
            <w:rPr>
              <w:noProof/>
            </w:rPr>
            <w:t>Union Square &amp; Company.</w:t>
          </w:r>
        </w:p>
        <w:p w14:paraId="72BC3576" w14:textId="2D7DCCA9" w:rsidR="00E81083" w:rsidRDefault="00E81083" w:rsidP="00E81083">
          <w:pPr>
            <w:pStyle w:val="Bibliography"/>
            <w:rPr>
              <w:noProof/>
            </w:rPr>
          </w:pPr>
          <w:r>
            <w:rPr>
              <w:noProof/>
            </w:rPr>
            <w:t xml:space="preserve">Newton, M., (2006). </w:t>
          </w:r>
          <w:r>
            <w:rPr>
              <w:i/>
              <w:iCs/>
              <w:noProof/>
            </w:rPr>
            <w:t xml:space="preserve">The Encyclopedia of Serial Killers. </w:t>
          </w:r>
          <w:r>
            <w:rPr>
              <w:noProof/>
            </w:rPr>
            <w:t>Facts On File, Incorporated.</w:t>
          </w:r>
        </w:p>
        <w:p w14:paraId="395BD6F8" w14:textId="4E213C7F" w:rsidR="00E81083" w:rsidRDefault="00E81083" w:rsidP="00E81083">
          <w:pPr>
            <w:pStyle w:val="Bibliography"/>
            <w:rPr>
              <w:noProof/>
            </w:rPr>
          </w:pPr>
          <w:r>
            <w:rPr>
              <w:noProof/>
            </w:rPr>
            <w:t xml:space="preserve">Nickerson, C., (2024. </w:t>
          </w:r>
          <w:r>
            <w:rPr>
              <w:i/>
              <w:iCs/>
              <w:noProof/>
            </w:rPr>
            <w:t xml:space="preserve">Edwin Sutherland's Differential Association Theory. </w:t>
          </w:r>
          <w:r>
            <w:rPr>
              <w:noProof/>
            </w:rPr>
            <w:t xml:space="preserve">[Online] </w:t>
          </w:r>
          <w:r>
            <w:rPr>
              <w:noProof/>
            </w:rPr>
            <w:br/>
            <w:t xml:space="preserve">Available at: </w:t>
          </w:r>
          <w:r>
            <w:rPr>
              <w:noProof/>
              <w:u w:val="single"/>
            </w:rPr>
            <w:t>https://www.simplypsychology.org/differential-association-theory.html</w:t>
          </w:r>
          <w:r>
            <w:rPr>
              <w:noProof/>
            </w:rPr>
            <w:br/>
            <w:t>[Accessed 21 February 2024]</w:t>
          </w:r>
        </w:p>
        <w:p w14:paraId="1352BF8A" w14:textId="77777777" w:rsidR="00E81083" w:rsidRDefault="00E81083" w:rsidP="00E81083">
          <w:pPr>
            <w:pStyle w:val="Bibliography"/>
            <w:rPr>
              <w:noProof/>
            </w:rPr>
          </w:pPr>
          <w:r>
            <w:rPr>
              <w:noProof/>
            </w:rPr>
            <w:t xml:space="preserve">Paredes, A. J. &amp; Purdum, E. D., (1990). 'Bye-bye Ted...': Community Response in Florida to the Execution of Theodore Bundy. </w:t>
          </w:r>
          <w:r>
            <w:rPr>
              <w:i/>
              <w:iCs/>
              <w:noProof/>
            </w:rPr>
            <w:t xml:space="preserve">Anthropology Today, </w:t>
          </w:r>
          <w:r>
            <w:rPr>
              <w:noProof/>
            </w:rPr>
            <w:t>6(2), pp. 9-11.</w:t>
          </w:r>
        </w:p>
        <w:p w14:paraId="688AC3A2" w14:textId="77777777" w:rsidR="00E81083" w:rsidRDefault="00E81083" w:rsidP="00E81083">
          <w:pPr>
            <w:pStyle w:val="Bibliography"/>
            <w:rPr>
              <w:noProof/>
            </w:rPr>
          </w:pPr>
          <w:r>
            <w:rPr>
              <w:noProof/>
            </w:rPr>
            <w:t xml:space="preserve">Pedneault, A., (2002). </w:t>
          </w:r>
          <w:r>
            <w:rPr>
              <w:i/>
              <w:iCs/>
              <w:noProof/>
            </w:rPr>
            <w:t xml:space="preserve">Ted Bundy on the "malignant being": An analysis of the justificatory discourse of a serial killer. </w:t>
          </w:r>
          <w:r>
            <w:rPr>
              <w:noProof/>
            </w:rPr>
            <w:t xml:space="preserve">[Online] </w:t>
          </w:r>
          <w:r>
            <w:rPr>
              <w:noProof/>
            </w:rPr>
            <w:br/>
            <w:t xml:space="preserve">Available at: </w:t>
          </w:r>
          <w:r>
            <w:rPr>
              <w:noProof/>
              <w:u w:val="single"/>
            </w:rPr>
            <w:t>https://www.sfu.ca/~palys/crim862-Pedneault-TedBundyJustificatoryDiscourse.pdf</w:t>
          </w:r>
          <w:r>
            <w:rPr>
              <w:noProof/>
            </w:rPr>
            <w:br/>
            <w:t>[Accessed 7th February 2024].</w:t>
          </w:r>
        </w:p>
        <w:p w14:paraId="2E800807" w14:textId="5DA057EF" w:rsidR="00E81083" w:rsidRDefault="00E81083" w:rsidP="00E81083">
          <w:pPr>
            <w:pStyle w:val="Bibliography"/>
            <w:rPr>
              <w:noProof/>
            </w:rPr>
          </w:pPr>
          <w:r>
            <w:rPr>
              <w:noProof/>
            </w:rPr>
            <w:t xml:space="preserve">Poret, L., (2019). </w:t>
          </w:r>
          <w:r>
            <w:rPr>
              <w:i/>
              <w:iCs/>
              <w:noProof/>
            </w:rPr>
            <w:t xml:space="preserve">Ted Bundy: Absolute Horror. </w:t>
          </w:r>
          <w:r>
            <w:rPr>
              <w:noProof/>
            </w:rPr>
            <w:t>Laurent Poret.</w:t>
          </w:r>
        </w:p>
        <w:p w14:paraId="00C0B6C9" w14:textId="77777777" w:rsidR="00E81083" w:rsidRDefault="00E81083" w:rsidP="00E81083">
          <w:pPr>
            <w:pStyle w:val="Bibliography"/>
            <w:rPr>
              <w:noProof/>
            </w:rPr>
          </w:pPr>
          <w:r>
            <w:rPr>
              <w:noProof/>
            </w:rPr>
            <w:t xml:space="preserve">Pratt, T. C. et al., (2010). The Empirical Status of Social Learning Theory: A Meta-Analysis. </w:t>
          </w:r>
          <w:r>
            <w:rPr>
              <w:i/>
              <w:iCs/>
              <w:noProof/>
            </w:rPr>
            <w:t xml:space="preserve">Justice Quarterly, </w:t>
          </w:r>
          <w:r>
            <w:rPr>
              <w:noProof/>
            </w:rPr>
            <w:t>27(6), pp. 765-802.</w:t>
          </w:r>
        </w:p>
        <w:p w14:paraId="7C30E002" w14:textId="106895A3" w:rsidR="00E81083" w:rsidRDefault="00E81083" w:rsidP="00E81083">
          <w:pPr>
            <w:pStyle w:val="Bibliography"/>
            <w:rPr>
              <w:noProof/>
            </w:rPr>
          </w:pPr>
          <w:r>
            <w:rPr>
              <w:noProof/>
            </w:rPr>
            <w:t xml:space="preserve">Puello, E. D., (2021). </w:t>
          </w:r>
          <w:r>
            <w:rPr>
              <w:i/>
              <w:iCs/>
              <w:noProof/>
            </w:rPr>
            <w:t xml:space="preserve">"If I wasn't So Blinded by Love, I Would have Seen the Secrets Right in Front of MeWaiting to Be Uncovered." The Defining, Excusing, and </w:t>
          </w:r>
          <w:r w:rsidR="007D7422">
            <w:rPr>
              <w:i/>
              <w:iCs/>
              <w:noProof/>
            </w:rPr>
            <w:t>Justification of</w:t>
          </w:r>
          <w:r>
            <w:rPr>
              <w:i/>
              <w:iCs/>
              <w:noProof/>
            </w:rPr>
            <w:t xml:space="preserve"> Deviance.. </w:t>
          </w:r>
          <w:r>
            <w:rPr>
              <w:noProof/>
            </w:rPr>
            <w:t xml:space="preserve">[Online] </w:t>
          </w:r>
          <w:r>
            <w:rPr>
              <w:noProof/>
            </w:rPr>
            <w:br/>
            <w:t xml:space="preserve">Available at: </w:t>
          </w:r>
          <w:r>
            <w:rPr>
              <w:noProof/>
              <w:u w:val="single"/>
            </w:rPr>
            <w:t>https://soar.suny.edu/bitstream/handle/20.500.12648/11435/1413_Eredis_Puello.pdf?sequence=1&amp;isAllowed=y</w:t>
          </w:r>
          <w:r>
            <w:rPr>
              <w:noProof/>
            </w:rPr>
            <w:br/>
            <w:t>[Accessed 8th February 2024].</w:t>
          </w:r>
        </w:p>
        <w:p w14:paraId="7A0EA642" w14:textId="77777777" w:rsidR="00E81083" w:rsidRDefault="00E81083" w:rsidP="00E81083">
          <w:pPr>
            <w:pStyle w:val="Bibliography"/>
            <w:rPr>
              <w:noProof/>
            </w:rPr>
          </w:pPr>
          <w:r>
            <w:rPr>
              <w:noProof/>
            </w:rPr>
            <w:t xml:space="preserve">Rasool, A., Majid, S., Rasool, A. &amp; Mehmood, N., (2022). A man with no fear "Necrophilia" "I did like you to give my love to my family and friends." Ted Bundy "A Qualitative Analysis". </w:t>
          </w:r>
          <w:r>
            <w:rPr>
              <w:i/>
              <w:iCs/>
              <w:noProof/>
            </w:rPr>
            <w:t xml:space="preserve">Superior Law Review, </w:t>
          </w:r>
          <w:r>
            <w:rPr>
              <w:noProof/>
            </w:rPr>
            <w:t>2(1).</w:t>
          </w:r>
        </w:p>
        <w:p w14:paraId="1F0D2F2F" w14:textId="7FA7886B" w:rsidR="00E81083" w:rsidRDefault="00E81083" w:rsidP="00E81083">
          <w:pPr>
            <w:pStyle w:val="Bibliography"/>
            <w:rPr>
              <w:noProof/>
            </w:rPr>
          </w:pPr>
          <w:r>
            <w:rPr>
              <w:noProof/>
            </w:rPr>
            <w:lastRenderedPageBreak/>
            <w:t xml:space="preserve">Rockefeller, J. D., (2016). </w:t>
          </w:r>
          <w:r>
            <w:rPr>
              <w:i/>
              <w:iCs/>
              <w:noProof/>
            </w:rPr>
            <w:t xml:space="preserve">Ted Bundy: The Worst and Most Popular Serial Killer in America's History. </w:t>
          </w:r>
          <w:r>
            <w:rPr>
              <w:noProof/>
            </w:rPr>
            <w:t>J. D. Rockefeller.</w:t>
          </w:r>
        </w:p>
        <w:p w14:paraId="57D7E5A1" w14:textId="5B5F3305" w:rsidR="00E81083" w:rsidRDefault="00E81083" w:rsidP="00E81083">
          <w:pPr>
            <w:pStyle w:val="Bibliography"/>
            <w:rPr>
              <w:noProof/>
            </w:rPr>
          </w:pPr>
          <w:r>
            <w:rPr>
              <w:noProof/>
            </w:rPr>
            <w:t xml:space="preserve">Rumjaun, A. &amp; Narod, F., (2020). Social Learning Theory - Albert Bandura. In: </w:t>
          </w:r>
          <w:r>
            <w:rPr>
              <w:i/>
              <w:iCs/>
              <w:noProof/>
            </w:rPr>
            <w:t xml:space="preserve">Science Education in Theory and Practice: An Introductory Guide To Learning Theory. </w:t>
          </w:r>
          <w:r>
            <w:rPr>
              <w:noProof/>
            </w:rPr>
            <w:t>Springer Texts in education, pp. 85-99.</w:t>
          </w:r>
        </w:p>
        <w:p w14:paraId="10913D3D" w14:textId="77777777" w:rsidR="00E81083" w:rsidRDefault="00E81083" w:rsidP="00E81083">
          <w:pPr>
            <w:pStyle w:val="Bibliography"/>
            <w:rPr>
              <w:noProof/>
            </w:rPr>
          </w:pPr>
          <w:r>
            <w:rPr>
              <w:noProof/>
            </w:rPr>
            <w:t xml:space="preserve">Terranova, N., (2020). </w:t>
          </w:r>
          <w:r>
            <w:rPr>
              <w:i/>
              <w:iCs/>
              <w:noProof/>
            </w:rPr>
            <w:t xml:space="preserve">Impacts of a Serial Killer: Looking at the Case of Ted Bundy Then and Now. </w:t>
          </w:r>
          <w:r>
            <w:rPr>
              <w:noProof/>
            </w:rPr>
            <w:t xml:space="preserve">[Online] </w:t>
          </w:r>
          <w:r>
            <w:rPr>
              <w:noProof/>
            </w:rPr>
            <w:br/>
            <w:t xml:space="preserve">Available at: </w:t>
          </w:r>
          <w:r>
            <w:rPr>
              <w:noProof/>
              <w:u w:val="single"/>
            </w:rPr>
            <w:t>https://digitalcommons.bryant.edu/honors_history/44/</w:t>
          </w:r>
          <w:r>
            <w:rPr>
              <w:noProof/>
            </w:rPr>
            <w:br/>
            <w:t>[Accessed 7th February 2024].</w:t>
          </w:r>
        </w:p>
        <w:p w14:paraId="2EE70848" w14:textId="19E7C144" w:rsidR="00E81083" w:rsidRDefault="00E81083" w:rsidP="00E81083">
          <w:pPr>
            <w:pStyle w:val="Bibliography"/>
            <w:rPr>
              <w:noProof/>
            </w:rPr>
          </w:pPr>
          <w:r>
            <w:rPr>
              <w:noProof/>
            </w:rPr>
            <w:t xml:space="preserve">Veague, H. B. &amp; Collins, C. E., (2007). </w:t>
          </w:r>
          <w:r>
            <w:rPr>
              <w:i/>
              <w:iCs/>
              <w:noProof/>
            </w:rPr>
            <w:t xml:space="preserve">Personality Disorders. </w:t>
          </w:r>
          <w:r>
            <w:rPr>
              <w:noProof/>
            </w:rPr>
            <w:t>Chelsea House.</w:t>
          </w:r>
        </w:p>
        <w:p w14:paraId="703571B1" w14:textId="77777777" w:rsidR="00E81083" w:rsidRDefault="00E81083" w:rsidP="00E81083">
          <w:r>
            <w:rPr>
              <w:b/>
              <w:bCs/>
              <w:noProof/>
            </w:rPr>
            <w:fldChar w:fldCharType="end"/>
          </w:r>
        </w:p>
      </w:sdtContent>
    </w:sdt>
    <w:p w14:paraId="4A3B383F" w14:textId="77777777" w:rsidR="00E81083" w:rsidRPr="00E81083" w:rsidRDefault="00E81083" w:rsidP="00E81083"/>
    <w:p w14:paraId="42C9E154" w14:textId="77777777" w:rsidR="003F7814" w:rsidRPr="0067089B" w:rsidRDefault="003F7814" w:rsidP="003F7814">
      <w:pPr>
        <w:rPr>
          <w:rFonts w:ascii="Arial" w:hAnsi="Arial" w:cs="Arial"/>
        </w:rPr>
      </w:pPr>
    </w:p>
    <w:p w14:paraId="162A60EA" w14:textId="77777777" w:rsidR="003F7814" w:rsidRPr="003F7814" w:rsidRDefault="003F7814">
      <w:pPr>
        <w:rPr>
          <w:rFonts w:ascii="Arial" w:hAnsi="Arial" w:cs="Arial"/>
        </w:rPr>
      </w:pPr>
    </w:p>
    <w:sectPr w:rsidR="003F7814" w:rsidRPr="003F7814" w:rsidSect="004E22D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75D6B"/>
    <w:multiLevelType w:val="hybridMultilevel"/>
    <w:tmpl w:val="2B20E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9D2A75"/>
    <w:multiLevelType w:val="hybridMultilevel"/>
    <w:tmpl w:val="F2649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B93D64"/>
    <w:multiLevelType w:val="multilevel"/>
    <w:tmpl w:val="D4DCB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CE384D"/>
    <w:multiLevelType w:val="multilevel"/>
    <w:tmpl w:val="5100F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853941"/>
    <w:multiLevelType w:val="hybridMultilevel"/>
    <w:tmpl w:val="791EE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0C17AE"/>
    <w:multiLevelType w:val="hybridMultilevel"/>
    <w:tmpl w:val="2398D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7E0C11"/>
    <w:multiLevelType w:val="hybridMultilevel"/>
    <w:tmpl w:val="40708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E459F0"/>
    <w:multiLevelType w:val="multilevel"/>
    <w:tmpl w:val="33F6B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FA06437"/>
    <w:multiLevelType w:val="hybridMultilevel"/>
    <w:tmpl w:val="B6BE1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82562856">
    <w:abstractNumId w:val="3"/>
  </w:num>
  <w:num w:numId="2" w16cid:durableId="2022510362">
    <w:abstractNumId w:val="7"/>
  </w:num>
  <w:num w:numId="3" w16cid:durableId="922763112">
    <w:abstractNumId w:val="2"/>
  </w:num>
  <w:num w:numId="4" w16cid:durableId="1674381512">
    <w:abstractNumId w:val="8"/>
  </w:num>
  <w:num w:numId="5" w16cid:durableId="1977563953">
    <w:abstractNumId w:val="0"/>
  </w:num>
  <w:num w:numId="6" w16cid:durableId="579145964">
    <w:abstractNumId w:val="6"/>
  </w:num>
  <w:num w:numId="7" w16cid:durableId="1892811576">
    <w:abstractNumId w:val="4"/>
  </w:num>
  <w:num w:numId="8" w16cid:durableId="1582837380">
    <w:abstractNumId w:val="5"/>
  </w:num>
  <w:num w:numId="9" w16cid:durableId="18849737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5A11"/>
    <w:rsid w:val="000027FB"/>
    <w:rsid w:val="00013A64"/>
    <w:rsid w:val="00020970"/>
    <w:rsid w:val="000211CD"/>
    <w:rsid w:val="00023BC9"/>
    <w:rsid w:val="000240F1"/>
    <w:rsid w:val="00027E0B"/>
    <w:rsid w:val="00034872"/>
    <w:rsid w:val="00035761"/>
    <w:rsid w:val="00035B8C"/>
    <w:rsid w:val="00036926"/>
    <w:rsid w:val="000409EE"/>
    <w:rsid w:val="00040CFC"/>
    <w:rsid w:val="000433F3"/>
    <w:rsid w:val="00046ADD"/>
    <w:rsid w:val="00052F63"/>
    <w:rsid w:val="0005422D"/>
    <w:rsid w:val="0005428A"/>
    <w:rsid w:val="00055E27"/>
    <w:rsid w:val="00057124"/>
    <w:rsid w:val="000608FD"/>
    <w:rsid w:val="0006473F"/>
    <w:rsid w:val="000678AC"/>
    <w:rsid w:val="00070A4F"/>
    <w:rsid w:val="00072D82"/>
    <w:rsid w:val="000750D9"/>
    <w:rsid w:val="00076AB1"/>
    <w:rsid w:val="00076BA1"/>
    <w:rsid w:val="00080733"/>
    <w:rsid w:val="000902FD"/>
    <w:rsid w:val="00092131"/>
    <w:rsid w:val="000A1A8A"/>
    <w:rsid w:val="000A76AD"/>
    <w:rsid w:val="000C17BC"/>
    <w:rsid w:val="000C302B"/>
    <w:rsid w:val="000C3DB7"/>
    <w:rsid w:val="000C48D1"/>
    <w:rsid w:val="000C4F75"/>
    <w:rsid w:val="000C543C"/>
    <w:rsid w:val="000C6A80"/>
    <w:rsid w:val="000C6D68"/>
    <w:rsid w:val="000D04C3"/>
    <w:rsid w:val="000D1AAF"/>
    <w:rsid w:val="000D2348"/>
    <w:rsid w:val="000D5AAA"/>
    <w:rsid w:val="000D5EFC"/>
    <w:rsid w:val="000D73BE"/>
    <w:rsid w:val="000E106A"/>
    <w:rsid w:val="000E15E9"/>
    <w:rsid w:val="000E38B9"/>
    <w:rsid w:val="000F695A"/>
    <w:rsid w:val="000F7BD0"/>
    <w:rsid w:val="001012B9"/>
    <w:rsid w:val="00101C6D"/>
    <w:rsid w:val="001059F4"/>
    <w:rsid w:val="001102A2"/>
    <w:rsid w:val="00111AE9"/>
    <w:rsid w:val="00111D08"/>
    <w:rsid w:val="00114399"/>
    <w:rsid w:val="001178E6"/>
    <w:rsid w:val="00124035"/>
    <w:rsid w:val="0012435E"/>
    <w:rsid w:val="00125003"/>
    <w:rsid w:val="001252E1"/>
    <w:rsid w:val="00126A38"/>
    <w:rsid w:val="00134E47"/>
    <w:rsid w:val="00136295"/>
    <w:rsid w:val="00143FAD"/>
    <w:rsid w:val="00145857"/>
    <w:rsid w:val="00147AD0"/>
    <w:rsid w:val="00151378"/>
    <w:rsid w:val="00151565"/>
    <w:rsid w:val="0016303D"/>
    <w:rsid w:val="00170FE8"/>
    <w:rsid w:val="0017100B"/>
    <w:rsid w:val="001716BA"/>
    <w:rsid w:val="00171B10"/>
    <w:rsid w:val="00173419"/>
    <w:rsid w:val="00176457"/>
    <w:rsid w:val="00177236"/>
    <w:rsid w:val="001851BD"/>
    <w:rsid w:val="00191B60"/>
    <w:rsid w:val="0019610E"/>
    <w:rsid w:val="001A2358"/>
    <w:rsid w:val="001A4C1E"/>
    <w:rsid w:val="001A74B3"/>
    <w:rsid w:val="001B64C7"/>
    <w:rsid w:val="001B7CD1"/>
    <w:rsid w:val="001C0012"/>
    <w:rsid w:val="001C12EA"/>
    <w:rsid w:val="001C229E"/>
    <w:rsid w:val="001C3911"/>
    <w:rsid w:val="001C3F50"/>
    <w:rsid w:val="001C7C9D"/>
    <w:rsid w:val="001D1BCF"/>
    <w:rsid w:val="001D676B"/>
    <w:rsid w:val="001D67AF"/>
    <w:rsid w:val="001E3E4E"/>
    <w:rsid w:val="001F0A69"/>
    <w:rsid w:val="001F41C3"/>
    <w:rsid w:val="00203006"/>
    <w:rsid w:val="0020647F"/>
    <w:rsid w:val="002071B0"/>
    <w:rsid w:val="00211699"/>
    <w:rsid w:val="0021377C"/>
    <w:rsid w:val="00214B4E"/>
    <w:rsid w:val="00217052"/>
    <w:rsid w:val="00227243"/>
    <w:rsid w:val="0022734C"/>
    <w:rsid w:val="002431CC"/>
    <w:rsid w:val="002436B0"/>
    <w:rsid w:val="00244577"/>
    <w:rsid w:val="0025283F"/>
    <w:rsid w:val="002626FE"/>
    <w:rsid w:val="00263370"/>
    <w:rsid w:val="00267F13"/>
    <w:rsid w:val="00277199"/>
    <w:rsid w:val="002775DC"/>
    <w:rsid w:val="00277FC4"/>
    <w:rsid w:val="00282FB0"/>
    <w:rsid w:val="00285174"/>
    <w:rsid w:val="00285E28"/>
    <w:rsid w:val="0029084E"/>
    <w:rsid w:val="002A126F"/>
    <w:rsid w:val="002A3B26"/>
    <w:rsid w:val="002A5E65"/>
    <w:rsid w:val="002B2423"/>
    <w:rsid w:val="002C2198"/>
    <w:rsid w:val="002D257F"/>
    <w:rsid w:val="002D3B13"/>
    <w:rsid w:val="002D3F09"/>
    <w:rsid w:val="002D5C96"/>
    <w:rsid w:val="002E0A84"/>
    <w:rsid w:val="002E2C78"/>
    <w:rsid w:val="002E603C"/>
    <w:rsid w:val="002F5F16"/>
    <w:rsid w:val="0030010C"/>
    <w:rsid w:val="00302314"/>
    <w:rsid w:val="00304C8D"/>
    <w:rsid w:val="00314C35"/>
    <w:rsid w:val="00316E7F"/>
    <w:rsid w:val="00317785"/>
    <w:rsid w:val="00317CAD"/>
    <w:rsid w:val="0032023E"/>
    <w:rsid w:val="00323117"/>
    <w:rsid w:val="00323301"/>
    <w:rsid w:val="00323379"/>
    <w:rsid w:val="00327C0E"/>
    <w:rsid w:val="00332342"/>
    <w:rsid w:val="003342A8"/>
    <w:rsid w:val="00336B4D"/>
    <w:rsid w:val="00336E12"/>
    <w:rsid w:val="00344011"/>
    <w:rsid w:val="003473BE"/>
    <w:rsid w:val="003513F9"/>
    <w:rsid w:val="00352B10"/>
    <w:rsid w:val="003552F0"/>
    <w:rsid w:val="0035608D"/>
    <w:rsid w:val="00362222"/>
    <w:rsid w:val="003632BA"/>
    <w:rsid w:val="00371653"/>
    <w:rsid w:val="003732AA"/>
    <w:rsid w:val="00373524"/>
    <w:rsid w:val="00383A56"/>
    <w:rsid w:val="00384034"/>
    <w:rsid w:val="003867CC"/>
    <w:rsid w:val="00386B56"/>
    <w:rsid w:val="003871F2"/>
    <w:rsid w:val="003921EF"/>
    <w:rsid w:val="00392495"/>
    <w:rsid w:val="00397857"/>
    <w:rsid w:val="003A0D99"/>
    <w:rsid w:val="003A368D"/>
    <w:rsid w:val="003A5910"/>
    <w:rsid w:val="003A70F5"/>
    <w:rsid w:val="003A7FBD"/>
    <w:rsid w:val="003B68ED"/>
    <w:rsid w:val="003D421F"/>
    <w:rsid w:val="003D4937"/>
    <w:rsid w:val="003D4A8D"/>
    <w:rsid w:val="003D666A"/>
    <w:rsid w:val="003E20EF"/>
    <w:rsid w:val="003E4EA1"/>
    <w:rsid w:val="003F459F"/>
    <w:rsid w:val="003F479D"/>
    <w:rsid w:val="003F7814"/>
    <w:rsid w:val="003F78F2"/>
    <w:rsid w:val="0040793B"/>
    <w:rsid w:val="00416046"/>
    <w:rsid w:val="004205FE"/>
    <w:rsid w:val="00420D7F"/>
    <w:rsid w:val="004233E7"/>
    <w:rsid w:val="004238D0"/>
    <w:rsid w:val="00425530"/>
    <w:rsid w:val="00430761"/>
    <w:rsid w:val="00431149"/>
    <w:rsid w:val="00437A20"/>
    <w:rsid w:val="004414C5"/>
    <w:rsid w:val="004435AA"/>
    <w:rsid w:val="00450A29"/>
    <w:rsid w:val="00450F34"/>
    <w:rsid w:val="00457212"/>
    <w:rsid w:val="00461F9D"/>
    <w:rsid w:val="00462A84"/>
    <w:rsid w:val="004701E6"/>
    <w:rsid w:val="0047396E"/>
    <w:rsid w:val="00475516"/>
    <w:rsid w:val="0048464D"/>
    <w:rsid w:val="00485341"/>
    <w:rsid w:val="004A27CA"/>
    <w:rsid w:val="004A4D40"/>
    <w:rsid w:val="004A7552"/>
    <w:rsid w:val="004B04D6"/>
    <w:rsid w:val="004B0723"/>
    <w:rsid w:val="004B099A"/>
    <w:rsid w:val="004B2379"/>
    <w:rsid w:val="004C02A6"/>
    <w:rsid w:val="004C1CA1"/>
    <w:rsid w:val="004C55B9"/>
    <w:rsid w:val="004C5F6B"/>
    <w:rsid w:val="004D403D"/>
    <w:rsid w:val="004E22D6"/>
    <w:rsid w:val="004E2943"/>
    <w:rsid w:val="004E738B"/>
    <w:rsid w:val="004F4208"/>
    <w:rsid w:val="00501D81"/>
    <w:rsid w:val="00515FC2"/>
    <w:rsid w:val="00522836"/>
    <w:rsid w:val="005245D0"/>
    <w:rsid w:val="00524EFC"/>
    <w:rsid w:val="00526647"/>
    <w:rsid w:val="005267C3"/>
    <w:rsid w:val="00527E32"/>
    <w:rsid w:val="005318BF"/>
    <w:rsid w:val="005354BB"/>
    <w:rsid w:val="00536B9F"/>
    <w:rsid w:val="00540528"/>
    <w:rsid w:val="00541FB5"/>
    <w:rsid w:val="005421F8"/>
    <w:rsid w:val="00545DA2"/>
    <w:rsid w:val="005522CA"/>
    <w:rsid w:val="00552A77"/>
    <w:rsid w:val="00555223"/>
    <w:rsid w:val="0056670B"/>
    <w:rsid w:val="00573C69"/>
    <w:rsid w:val="00582510"/>
    <w:rsid w:val="00590179"/>
    <w:rsid w:val="00593509"/>
    <w:rsid w:val="005A0764"/>
    <w:rsid w:val="005A15DB"/>
    <w:rsid w:val="005A5011"/>
    <w:rsid w:val="005A69D8"/>
    <w:rsid w:val="005B2F81"/>
    <w:rsid w:val="005B30CE"/>
    <w:rsid w:val="005B3A08"/>
    <w:rsid w:val="005B48C5"/>
    <w:rsid w:val="005B6A44"/>
    <w:rsid w:val="005B6D84"/>
    <w:rsid w:val="005C0DE3"/>
    <w:rsid w:val="005C2C62"/>
    <w:rsid w:val="005C333D"/>
    <w:rsid w:val="005C5FD1"/>
    <w:rsid w:val="005D01E0"/>
    <w:rsid w:val="005D462A"/>
    <w:rsid w:val="005D4E71"/>
    <w:rsid w:val="005E1EF0"/>
    <w:rsid w:val="005E5DD9"/>
    <w:rsid w:val="005F0CE8"/>
    <w:rsid w:val="006031E0"/>
    <w:rsid w:val="00603E23"/>
    <w:rsid w:val="00607D81"/>
    <w:rsid w:val="006320FE"/>
    <w:rsid w:val="006330A9"/>
    <w:rsid w:val="00635C08"/>
    <w:rsid w:val="00635DBA"/>
    <w:rsid w:val="00636D0E"/>
    <w:rsid w:val="00650B0E"/>
    <w:rsid w:val="00667F0C"/>
    <w:rsid w:val="00672DA8"/>
    <w:rsid w:val="006774A7"/>
    <w:rsid w:val="00691359"/>
    <w:rsid w:val="00691CDC"/>
    <w:rsid w:val="00691EEA"/>
    <w:rsid w:val="006935A5"/>
    <w:rsid w:val="00696D47"/>
    <w:rsid w:val="00696D50"/>
    <w:rsid w:val="0069782E"/>
    <w:rsid w:val="006A4F28"/>
    <w:rsid w:val="006A7B36"/>
    <w:rsid w:val="006B1601"/>
    <w:rsid w:val="006B44E7"/>
    <w:rsid w:val="006C0750"/>
    <w:rsid w:val="006D0637"/>
    <w:rsid w:val="006E1365"/>
    <w:rsid w:val="006E2E98"/>
    <w:rsid w:val="006F132B"/>
    <w:rsid w:val="006F2674"/>
    <w:rsid w:val="006F75EE"/>
    <w:rsid w:val="00703640"/>
    <w:rsid w:val="00703E0A"/>
    <w:rsid w:val="007074B6"/>
    <w:rsid w:val="0072436D"/>
    <w:rsid w:val="00726513"/>
    <w:rsid w:val="00733A1F"/>
    <w:rsid w:val="00734480"/>
    <w:rsid w:val="00734B45"/>
    <w:rsid w:val="00746C3E"/>
    <w:rsid w:val="00750AA3"/>
    <w:rsid w:val="007527AE"/>
    <w:rsid w:val="00753696"/>
    <w:rsid w:val="00763A0C"/>
    <w:rsid w:val="00781150"/>
    <w:rsid w:val="00782687"/>
    <w:rsid w:val="007828CE"/>
    <w:rsid w:val="00783632"/>
    <w:rsid w:val="0078437E"/>
    <w:rsid w:val="00786CC8"/>
    <w:rsid w:val="00795C28"/>
    <w:rsid w:val="007B0846"/>
    <w:rsid w:val="007B7D2B"/>
    <w:rsid w:val="007C391B"/>
    <w:rsid w:val="007C4087"/>
    <w:rsid w:val="007C7E3C"/>
    <w:rsid w:val="007D0AB5"/>
    <w:rsid w:val="007D7422"/>
    <w:rsid w:val="007F61C5"/>
    <w:rsid w:val="00800305"/>
    <w:rsid w:val="00801DB9"/>
    <w:rsid w:val="00803A41"/>
    <w:rsid w:val="008040DB"/>
    <w:rsid w:val="00814C4B"/>
    <w:rsid w:val="00822215"/>
    <w:rsid w:val="008230E8"/>
    <w:rsid w:val="00830792"/>
    <w:rsid w:val="00833007"/>
    <w:rsid w:val="00844B1D"/>
    <w:rsid w:val="00865609"/>
    <w:rsid w:val="0087053A"/>
    <w:rsid w:val="00876252"/>
    <w:rsid w:val="008838E4"/>
    <w:rsid w:val="00883D18"/>
    <w:rsid w:val="008A4F86"/>
    <w:rsid w:val="008A5416"/>
    <w:rsid w:val="008B4745"/>
    <w:rsid w:val="008B4B7E"/>
    <w:rsid w:val="008B58C2"/>
    <w:rsid w:val="008B7A68"/>
    <w:rsid w:val="008D15B6"/>
    <w:rsid w:val="008D5A11"/>
    <w:rsid w:val="008E22D1"/>
    <w:rsid w:val="008E275F"/>
    <w:rsid w:val="008F0FF8"/>
    <w:rsid w:val="008F28EE"/>
    <w:rsid w:val="008F325B"/>
    <w:rsid w:val="008F7BBF"/>
    <w:rsid w:val="009015E0"/>
    <w:rsid w:val="009035E3"/>
    <w:rsid w:val="00903D8F"/>
    <w:rsid w:val="00905D24"/>
    <w:rsid w:val="00911B1D"/>
    <w:rsid w:val="00916AA1"/>
    <w:rsid w:val="009215DC"/>
    <w:rsid w:val="00922957"/>
    <w:rsid w:val="00951369"/>
    <w:rsid w:val="009601B0"/>
    <w:rsid w:val="00961A5B"/>
    <w:rsid w:val="00967D24"/>
    <w:rsid w:val="00974025"/>
    <w:rsid w:val="00974AFF"/>
    <w:rsid w:val="00976FA7"/>
    <w:rsid w:val="00982B7B"/>
    <w:rsid w:val="0098523A"/>
    <w:rsid w:val="00987B4F"/>
    <w:rsid w:val="0099420C"/>
    <w:rsid w:val="009A7A54"/>
    <w:rsid w:val="009B2D0F"/>
    <w:rsid w:val="009B36B6"/>
    <w:rsid w:val="009B534E"/>
    <w:rsid w:val="009B7A72"/>
    <w:rsid w:val="009C561D"/>
    <w:rsid w:val="009D1450"/>
    <w:rsid w:val="009D17EF"/>
    <w:rsid w:val="009D2177"/>
    <w:rsid w:val="009E18AB"/>
    <w:rsid w:val="009E31BE"/>
    <w:rsid w:val="009E3628"/>
    <w:rsid w:val="009E474C"/>
    <w:rsid w:val="009E66D3"/>
    <w:rsid w:val="009E688E"/>
    <w:rsid w:val="009F0B55"/>
    <w:rsid w:val="009F1825"/>
    <w:rsid w:val="00A0089D"/>
    <w:rsid w:val="00A1327E"/>
    <w:rsid w:val="00A171A0"/>
    <w:rsid w:val="00A21E2E"/>
    <w:rsid w:val="00A24354"/>
    <w:rsid w:val="00A24D20"/>
    <w:rsid w:val="00A26720"/>
    <w:rsid w:val="00A3562E"/>
    <w:rsid w:val="00A4127A"/>
    <w:rsid w:val="00A461B5"/>
    <w:rsid w:val="00A54F88"/>
    <w:rsid w:val="00A56D25"/>
    <w:rsid w:val="00A62508"/>
    <w:rsid w:val="00A6584F"/>
    <w:rsid w:val="00A66131"/>
    <w:rsid w:val="00A67033"/>
    <w:rsid w:val="00A8753C"/>
    <w:rsid w:val="00A90075"/>
    <w:rsid w:val="00A9182C"/>
    <w:rsid w:val="00A9335E"/>
    <w:rsid w:val="00A96EC9"/>
    <w:rsid w:val="00A9705B"/>
    <w:rsid w:val="00A9770D"/>
    <w:rsid w:val="00AA0686"/>
    <w:rsid w:val="00AA1149"/>
    <w:rsid w:val="00AA7134"/>
    <w:rsid w:val="00AB1386"/>
    <w:rsid w:val="00AB1E1D"/>
    <w:rsid w:val="00AB4260"/>
    <w:rsid w:val="00AC1736"/>
    <w:rsid w:val="00AC30AC"/>
    <w:rsid w:val="00AC37E1"/>
    <w:rsid w:val="00AC76B6"/>
    <w:rsid w:val="00AD105D"/>
    <w:rsid w:val="00AE46D6"/>
    <w:rsid w:val="00AE56E4"/>
    <w:rsid w:val="00AE6C06"/>
    <w:rsid w:val="00AF38CC"/>
    <w:rsid w:val="00AF3EA5"/>
    <w:rsid w:val="00B10511"/>
    <w:rsid w:val="00B112BB"/>
    <w:rsid w:val="00B11F69"/>
    <w:rsid w:val="00B12472"/>
    <w:rsid w:val="00B2570C"/>
    <w:rsid w:val="00B275C1"/>
    <w:rsid w:val="00B27749"/>
    <w:rsid w:val="00B31E1E"/>
    <w:rsid w:val="00B442C6"/>
    <w:rsid w:val="00B454C5"/>
    <w:rsid w:val="00B45D28"/>
    <w:rsid w:val="00B50A30"/>
    <w:rsid w:val="00B51664"/>
    <w:rsid w:val="00B53503"/>
    <w:rsid w:val="00B54B84"/>
    <w:rsid w:val="00B55037"/>
    <w:rsid w:val="00B57FEF"/>
    <w:rsid w:val="00B602FA"/>
    <w:rsid w:val="00B63EFE"/>
    <w:rsid w:val="00B66438"/>
    <w:rsid w:val="00B70564"/>
    <w:rsid w:val="00B70F09"/>
    <w:rsid w:val="00B7247B"/>
    <w:rsid w:val="00B73B4E"/>
    <w:rsid w:val="00B74EAB"/>
    <w:rsid w:val="00B8770A"/>
    <w:rsid w:val="00B904CF"/>
    <w:rsid w:val="00B96B30"/>
    <w:rsid w:val="00BB1C20"/>
    <w:rsid w:val="00BB3F28"/>
    <w:rsid w:val="00BC15D0"/>
    <w:rsid w:val="00BC4988"/>
    <w:rsid w:val="00BC4EE7"/>
    <w:rsid w:val="00BC67D8"/>
    <w:rsid w:val="00BD1BDA"/>
    <w:rsid w:val="00BD33B2"/>
    <w:rsid w:val="00BD358B"/>
    <w:rsid w:val="00BE0E82"/>
    <w:rsid w:val="00BE16F5"/>
    <w:rsid w:val="00BE4563"/>
    <w:rsid w:val="00BE5ABD"/>
    <w:rsid w:val="00BE6F63"/>
    <w:rsid w:val="00BF2E67"/>
    <w:rsid w:val="00C02D4D"/>
    <w:rsid w:val="00C03CD5"/>
    <w:rsid w:val="00C134AA"/>
    <w:rsid w:val="00C21987"/>
    <w:rsid w:val="00C23598"/>
    <w:rsid w:val="00C24319"/>
    <w:rsid w:val="00C3084D"/>
    <w:rsid w:val="00C339E6"/>
    <w:rsid w:val="00C35FF5"/>
    <w:rsid w:val="00C40433"/>
    <w:rsid w:val="00C41697"/>
    <w:rsid w:val="00C43923"/>
    <w:rsid w:val="00C43D98"/>
    <w:rsid w:val="00C45B29"/>
    <w:rsid w:val="00C46F45"/>
    <w:rsid w:val="00C52D13"/>
    <w:rsid w:val="00C56ED2"/>
    <w:rsid w:val="00C63327"/>
    <w:rsid w:val="00C65535"/>
    <w:rsid w:val="00C67033"/>
    <w:rsid w:val="00C70225"/>
    <w:rsid w:val="00C85CCB"/>
    <w:rsid w:val="00CA20DE"/>
    <w:rsid w:val="00CA497F"/>
    <w:rsid w:val="00CA5265"/>
    <w:rsid w:val="00CB000E"/>
    <w:rsid w:val="00CB4C47"/>
    <w:rsid w:val="00CB739D"/>
    <w:rsid w:val="00CB7A9C"/>
    <w:rsid w:val="00CC791D"/>
    <w:rsid w:val="00CD026C"/>
    <w:rsid w:val="00CD407C"/>
    <w:rsid w:val="00CD64C4"/>
    <w:rsid w:val="00CD7395"/>
    <w:rsid w:val="00CE5451"/>
    <w:rsid w:val="00CE5777"/>
    <w:rsid w:val="00CE638C"/>
    <w:rsid w:val="00CE6FDC"/>
    <w:rsid w:val="00CF190B"/>
    <w:rsid w:val="00CF65CD"/>
    <w:rsid w:val="00D05388"/>
    <w:rsid w:val="00D241D5"/>
    <w:rsid w:val="00D245C6"/>
    <w:rsid w:val="00D27DBC"/>
    <w:rsid w:val="00D32E1A"/>
    <w:rsid w:val="00D34C51"/>
    <w:rsid w:val="00D37B72"/>
    <w:rsid w:val="00D468FC"/>
    <w:rsid w:val="00D47940"/>
    <w:rsid w:val="00D47B48"/>
    <w:rsid w:val="00D52181"/>
    <w:rsid w:val="00D5345E"/>
    <w:rsid w:val="00D560D4"/>
    <w:rsid w:val="00D56515"/>
    <w:rsid w:val="00D57455"/>
    <w:rsid w:val="00D57A77"/>
    <w:rsid w:val="00D66B90"/>
    <w:rsid w:val="00D9439E"/>
    <w:rsid w:val="00D9573A"/>
    <w:rsid w:val="00D9602D"/>
    <w:rsid w:val="00DA4891"/>
    <w:rsid w:val="00DA5583"/>
    <w:rsid w:val="00DA72F7"/>
    <w:rsid w:val="00DB189E"/>
    <w:rsid w:val="00DB56A1"/>
    <w:rsid w:val="00DB5814"/>
    <w:rsid w:val="00DB62A5"/>
    <w:rsid w:val="00DB7684"/>
    <w:rsid w:val="00DC71F7"/>
    <w:rsid w:val="00DD032E"/>
    <w:rsid w:val="00DD63EE"/>
    <w:rsid w:val="00DD716B"/>
    <w:rsid w:val="00DE002C"/>
    <w:rsid w:val="00DE2291"/>
    <w:rsid w:val="00DE385C"/>
    <w:rsid w:val="00DE76B4"/>
    <w:rsid w:val="00DE7CD1"/>
    <w:rsid w:val="00DF2984"/>
    <w:rsid w:val="00DF58F2"/>
    <w:rsid w:val="00E002C3"/>
    <w:rsid w:val="00E015CE"/>
    <w:rsid w:val="00E0163A"/>
    <w:rsid w:val="00E0269E"/>
    <w:rsid w:val="00E06393"/>
    <w:rsid w:val="00E13043"/>
    <w:rsid w:val="00E13EA2"/>
    <w:rsid w:val="00E275B0"/>
    <w:rsid w:val="00E40DE6"/>
    <w:rsid w:val="00E424DA"/>
    <w:rsid w:val="00E43738"/>
    <w:rsid w:val="00E5106B"/>
    <w:rsid w:val="00E51738"/>
    <w:rsid w:val="00E51F1F"/>
    <w:rsid w:val="00E52C75"/>
    <w:rsid w:val="00E61079"/>
    <w:rsid w:val="00E73825"/>
    <w:rsid w:val="00E76FEE"/>
    <w:rsid w:val="00E8009A"/>
    <w:rsid w:val="00E81083"/>
    <w:rsid w:val="00E81C23"/>
    <w:rsid w:val="00E87A1C"/>
    <w:rsid w:val="00E87B90"/>
    <w:rsid w:val="00E93B94"/>
    <w:rsid w:val="00EA0D1A"/>
    <w:rsid w:val="00EB230F"/>
    <w:rsid w:val="00EB692F"/>
    <w:rsid w:val="00EB6C90"/>
    <w:rsid w:val="00EC0CD1"/>
    <w:rsid w:val="00EC45AE"/>
    <w:rsid w:val="00EC4DC5"/>
    <w:rsid w:val="00EC6EAA"/>
    <w:rsid w:val="00ED1DDF"/>
    <w:rsid w:val="00ED4A2D"/>
    <w:rsid w:val="00ED68AC"/>
    <w:rsid w:val="00EE292E"/>
    <w:rsid w:val="00EE308E"/>
    <w:rsid w:val="00EE7B02"/>
    <w:rsid w:val="00EF21A4"/>
    <w:rsid w:val="00EF51C2"/>
    <w:rsid w:val="00EF7806"/>
    <w:rsid w:val="00F01411"/>
    <w:rsid w:val="00F027AC"/>
    <w:rsid w:val="00F05702"/>
    <w:rsid w:val="00F20195"/>
    <w:rsid w:val="00F22B15"/>
    <w:rsid w:val="00F25CD4"/>
    <w:rsid w:val="00F26324"/>
    <w:rsid w:val="00F33642"/>
    <w:rsid w:val="00F3558B"/>
    <w:rsid w:val="00F3762B"/>
    <w:rsid w:val="00F37DBF"/>
    <w:rsid w:val="00F41D88"/>
    <w:rsid w:val="00F45497"/>
    <w:rsid w:val="00F53201"/>
    <w:rsid w:val="00F5794C"/>
    <w:rsid w:val="00F61552"/>
    <w:rsid w:val="00F61F30"/>
    <w:rsid w:val="00F62201"/>
    <w:rsid w:val="00F652E3"/>
    <w:rsid w:val="00F674E7"/>
    <w:rsid w:val="00F67A85"/>
    <w:rsid w:val="00F77912"/>
    <w:rsid w:val="00F809D6"/>
    <w:rsid w:val="00F842B8"/>
    <w:rsid w:val="00F84FF2"/>
    <w:rsid w:val="00F86C5D"/>
    <w:rsid w:val="00F913DC"/>
    <w:rsid w:val="00F933F0"/>
    <w:rsid w:val="00F9510D"/>
    <w:rsid w:val="00F97D73"/>
    <w:rsid w:val="00FA031B"/>
    <w:rsid w:val="00FA1B46"/>
    <w:rsid w:val="00FA3C2C"/>
    <w:rsid w:val="00FA4DC2"/>
    <w:rsid w:val="00FA5300"/>
    <w:rsid w:val="00FB5473"/>
    <w:rsid w:val="00FB5683"/>
    <w:rsid w:val="00FC3E59"/>
    <w:rsid w:val="00FC71EB"/>
    <w:rsid w:val="00FD00D3"/>
    <w:rsid w:val="00FD1348"/>
    <w:rsid w:val="00FE7231"/>
    <w:rsid w:val="00FF07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3CE47E"/>
  <w15:chartTrackingRefBased/>
  <w15:docId w15:val="{653348C5-00F9-4F1A-9935-D29B0EBE11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5A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5A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5A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5A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5A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5A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5A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5A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5A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5A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5A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5A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5A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5A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5A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5A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5A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5A11"/>
    <w:rPr>
      <w:rFonts w:eastAsiaTheme="majorEastAsia" w:cstheme="majorBidi"/>
      <w:color w:val="272727" w:themeColor="text1" w:themeTint="D8"/>
    </w:rPr>
  </w:style>
  <w:style w:type="paragraph" w:styleId="Title">
    <w:name w:val="Title"/>
    <w:basedOn w:val="Normal"/>
    <w:next w:val="Normal"/>
    <w:link w:val="TitleChar"/>
    <w:uiPriority w:val="10"/>
    <w:qFormat/>
    <w:rsid w:val="008D5A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5A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5A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5A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5A11"/>
    <w:pPr>
      <w:spacing w:before="160"/>
      <w:jc w:val="center"/>
    </w:pPr>
    <w:rPr>
      <w:i/>
      <w:iCs/>
      <w:color w:val="404040" w:themeColor="text1" w:themeTint="BF"/>
    </w:rPr>
  </w:style>
  <w:style w:type="character" w:customStyle="1" w:styleId="QuoteChar">
    <w:name w:val="Quote Char"/>
    <w:basedOn w:val="DefaultParagraphFont"/>
    <w:link w:val="Quote"/>
    <w:uiPriority w:val="29"/>
    <w:rsid w:val="008D5A11"/>
    <w:rPr>
      <w:i/>
      <w:iCs/>
      <w:color w:val="404040" w:themeColor="text1" w:themeTint="BF"/>
    </w:rPr>
  </w:style>
  <w:style w:type="paragraph" w:styleId="ListParagraph">
    <w:name w:val="List Paragraph"/>
    <w:basedOn w:val="Normal"/>
    <w:uiPriority w:val="34"/>
    <w:qFormat/>
    <w:rsid w:val="008D5A11"/>
    <w:pPr>
      <w:ind w:left="720"/>
      <w:contextualSpacing/>
    </w:pPr>
  </w:style>
  <w:style w:type="character" w:styleId="IntenseEmphasis">
    <w:name w:val="Intense Emphasis"/>
    <w:basedOn w:val="DefaultParagraphFont"/>
    <w:uiPriority w:val="21"/>
    <w:qFormat/>
    <w:rsid w:val="008D5A11"/>
    <w:rPr>
      <w:i/>
      <w:iCs/>
      <w:color w:val="0F4761" w:themeColor="accent1" w:themeShade="BF"/>
    </w:rPr>
  </w:style>
  <w:style w:type="paragraph" w:styleId="IntenseQuote">
    <w:name w:val="Intense Quote"/>
    <w:basedOn w:val="Normal"/>
    <w:next w:val="Normal"/>
    <w:link w:val="IntenseQuoteChar"/>
    <w:uiPriority w:val="30"/>
    <w:qFormat/>
    <w:rsid w:val="008D5A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5A11"/>
    <w:rPr>
      <w:i/>
      <w:iCs/>
      <w:color w:val="0F4761" w:themeColor="accent1" w:themeShade="BF"/>
    </w:rPr>
  </w:style>
  <w:style w:type="character" w:styleId="IntenseReference">
    <w:name w:val="Intense Reference"/>
    <w:basedOn w:val="DefaultParagraphFont"/>
    <w:uiPriority w:val="32"/>
    <w:qFormat/>
    <w:rsid w:val="008D5A11"/>
    <w:rPr>
      <w:b/>
      <w:bCs/>
      <w:smallCaps/>
      <w:color w:val="0F4761" w:themeColor="accent1" w:themeShade="BF"/>
      <w:spacing w:val="5"/>
    </w:rPr>
  </w:style>
  <w:style w:type="paragraph" w:styleId="NormalWeb">
    <w:name w:val="Normal (Web)"/>
    <w:basedOn w:val="Normal"/>
    <w:uiPriority w:val="99"/>
    <w:unhideWhenUsed/>
    <w:rsid w:val="00F933F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F26324"/>
    <w:rPr>
      <w:b/>
      <w:bCs/>
    </w:rPr>
  </w:style>
  <w:style w:type="paragraph" w:styleId="NoSpacing">
    <w:name w:val="No Spacing"/>
    <w:link w:val="NoSpacingChar"/>
    <w:uiPriority w:val="1"/>
    <w:qFormat/>
    <w:rsid w:val="00BE5AB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BE5ABD"/>
    <w:rPr>
      <w:rFonts w:eastAsiaTheme="minorEastAsia"/>
      <w:kern w:val="0"/>
      <w:sz w:val="22"/>
      <w:szCs w:val="22"/>
      <w:lang w:val="en-US"/>
      <w14:ligatures w14:val="none"/>
    </w:rPr>
  </w:style>
  <w:style w:type="paragraph" w:styleId="Bibliography">
    <w:name w:val="Bibliography"/>
    <w:basedOn w:val="Normal"/>
    <w:next w:val="Normal"/>
    <w:uiPriority w:val="37"/>
    <w:unhideWhenUsed/>
    <w:rsid w:val="003F78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969403">
      <w:bodyDiv w:val="1"/>
      <w:marLeft w:val="0"/>
      <w:marRight w:val="0"/>
      <w:marTop w:val="0"/>
      <w:marBottom w:val="0"/>
      <w:divBdr>
        <w:top w:val="none" w:sz="0" w:space="0" w:color="auto"/>
        <w:left w:val="none" w:sz="0" w:space="0" w:color="auto"/>
        <w:bottom w:val="none" w:sz="0" w:space="0" w:color="auto"/>
        <w:right w:val="none" w:sz="0" w:space="0" w:color="auto"/>
      </w:divBdr>
    </w:div>
    <w:div w:id="115569957">
      <w:bodyDiv w:val="1"/>
      <w:marLeft w:val="0"/>
      <w:marRight w:val="0"/>
      <w:marTop w:val="0"/>
      <w:marBottom w:val="0"/>
      <w:divBdr>
        <w:top w:val="none" w:sz="0" w:space="0" w:color="auto"/>
        <w:left w:val="none" w:sz="0" w:space="0" w:color="auto"/>
        <w:bottom w:val="none" w:sz="0" w:space="0" w:color="auto"/>
        <w:right w:val="none" w:sz="0" w:space="0" w:color="auto"/>
      </w:divBdr>
    </w:div>
    <w:div w:id="161550224">
      <w:bodyDiv w:val="1"/>
      <w:marLeft w:val="0"/>
      <w:marRight w:val="0"/>
      <w:marTop w:val="0"/>
      <w:marBottom w:val="0"/>
      <w:divBdr>
        <w:top w:val="none" w:sz="0" w:space="0" w:color="auto"/>
        <w:left w:val="none" w:sz="0" w:space="0" w:color="auto"/>
        <w:bottom w:val="none" w:sz="0" w:space="0" w:color="auto"/>
        <w:right w:val="none" w:sz="0" w:space="0" w:color="auto"/>
      </w:divBdr>
    </w:div>
    <w:div w:id="628047712">
      <w:bodyDiv w:val="1"/>
      <w:marLeft w:val="0"/>
      <w:marRight w:val="0"/>
      <w:marTop w:val="0"/>
      <w:marBottom w:val="0"/>
      <w:divBdr>
        <w:top w:val="none" w:sz="0" w:space="0" w:color="auto"/>
        <w:left w:val="none" w:sz="0" w:space="0" w:color="auto"/>
        <w:bottom w:val="none" w:sz="0" w:space="0" w:color="auto"/>
        <w:right w:val="none" w:sz="0" w:space="0" w:color="auto"/>
      </w:divBdr>
    </w:div>
    <w:div w:id="643462012">
      <w:bodyDiv w:val="1"/>
      <w:marLeft w:val="0"/>
      <w:marRight w:val="0"/>
      <w:marTop w:val="0"/>
      <w:marBottom w:val="0"/>
      <w:divBdr>
        <w:top w:val="none" w:sz="0" w:space="0" w:color="auto"/>
        <w:left w:val="none" w:sz="0" w:space="0" w:color="auto"/>
        <w:bottom w:val="none" w:sz="0" w:space="0" w:color="auto"/>
        <w:right w:val="none" w:sz="0" w:space="0" w:color="auto"/>
      </w:divBdr>
    </w:div>
    <w:div w:id="713583437">
      <w:bodyDiv w:val="1"/>
      <w:marLeft w:val="0"/>
      <w:marRight w:val="0"/>
      <w:marTop w:val="0"/>
      <w:marBottom w:val="0"/>
      <w:divBdr>
        <w:top w:val="none" w:sz="0" w:space="0" w:color="auto"/>
        <w:left w:val="none" w:sz="0" w:space="0" w:color="auto"/>
        <w:bottom w:val="none" w:sz="0" w:space="0" w:color="auto"/>
        <w:right w:val="none" w:sz="0" w:space="0" w:color="auto"/>
      </w:divBdr>
    </w:div>
    <w:div w:id="761797644">
      <w:bodyDiv w:val="1"/>
      <w:marLeft w:val="0"/>
      <w:marRight w:val="0"/>
      <w:marTop w:val="0"/>
      <w:marBottom w:val="0"/>
      <w:divBdr>
        <w:top w:val="none" w:sz="0" w:space="0" w:color="auto"/>
        <w:left w:val="none" w:sz="0" w:space="0" w:color="auto"/>
        <w:bottom w:val="none" w:sz="0" w:space="0" w:color="auto"/>
        <w:right w:val="none" w:sz="0" w:space="0" w:color="auto"/>
      </w:divBdr>
    </w:div>
    <w:div w:id="783573861">
      <w:bodyDiv w:val="1"/>
      <w:marLeft w:val="0"/>
      <w:marRight w:val="0"/>
      <w:marTop w:val="0"/>
      <w:marBottom w:val="0"/>
      <w:divBdr>
        <w:top w:val="none" w:sz="0" w:space="0" w:color="auto"/>
        <w:left w:val="none" w:sz="0" w:space="0" w:color="auto"/>
        <w:bottom w:val="none" w:sz="0" w:space="0" w:color="auto"/>
        <w:right w:val="none" w:sz="0" w:space="0" w:color="auto"/>
      </w:divBdr>
    </w:div>
    <w:div w:id="804201015">
      <w:bodyDiv w:val="1"/>
      <w:marLeft w:val="0"/>
      <w:marRight w:val="0"/>
      <w:marTop w:val="0"/>
      <w:marBottom w:val="0"/>
      <w:divBdr>
        <w:top w:val="none" w:sz="0" w:space="0" w:color="auto"/>
        <w:left w:val="none" w:sz="0" w:space="0" w:color="auto"/>
        <w:bottom w:val="none" w:sz="0" w:space="0" w:color="auto"/>
        <w:right w:val="none" w:sz="0" w:space="0" w:color="auto"/>
      </w:divBdr>
    </w:div>
    <w:div w:id="878593997">
      <w:bodyDiv w:val="1"/>
      <w:marLeft w:val="0"/>
      <w:marRight w:val="0"/>
      <w:marTop w:val="0"/>
      <w:marBottom w:val="0"/>
      <w:divBdr>
        <w:top w:val="none" w:sz="0" w:space="0" w:color="auto"/>
        <w:left w:val="none" w:sz="0" w:space="0" w:color="auto"/>
        <w:bottom w:val="none" w:sz="0" w:space="0" w:color="auto"/>
        <w:right w:val="none" w:sz="0" w:space="0" w:color="auto"/>
      </w:divBdr>
    </w:div>
    <w:div w:id="918565632">
      <w:bodyDiv w:val="1"/>
      <w:marLeft w:val="0"/>
      <w:marRight w:val="0"/>
      <w:marTop w:val="0"/>
      <w:marBottom w:val="0"/>
      <w:divBdr>
        <w:top w:val="none" w:sz="0" w:space="0" w:color="auto"/>
        <w:left w:val="none" w:sz="0" w:space="0" w:color="auto"/>
        <w:bottom w:val="none" w:sz="0" w:space="0" w:color="auto"/>
        <w:right w:val="none" w:sz="0" w:space="0" w:color="auto"/>
      </w:divBdr>
    </w:div>
    <w:div w:id="972251807">
      <w:bodyDiv w:val="1"/>
      <w:marLeft w:val="0"/>
      <w:marRight w:val="0"/>
      <w:marTop w:val="0"/>
      <w:marBottom w:val="0"/>
      <w:divBdr>
        <w:top w:val="none" w:sz="0" w:space="0" w:color="auto"/>
        <w:left w:val="none" w:sz="0" w:space="0" w:color="auto"/>
        <w:bottom w:val="none" w:sz="0" w:space="0" w:color="auto"/>
        <w:right w:val="none" w:sz="0" w:space="0" w:color="auto"/>
      </w:divBdr>
    </w:div>
    <w:div w:id="1155872473">
      <w:bodyDiv w:val="1"/>
      <w:marLeft w:val="0"/>
      <w:marRight w:val="0"/>
      <w:marTop w:val="0"/>
      <w:marBottom w:val="0"/>
      <w:divBdr>
        <w:top w:val="none" w:sz="0" w:space="0" w:color="auto"/>
        <w:left w:val="none" w:sz="0" w:space="0" w:color="auto"/>
        <w:bottom w:val="none" w:sz="0" w:space="0" w:color="auto"/>
        <w:right w:val="none" w:sz="0" w:space="0" w:color="auto"/>
      </w:divBdr>
    </w:div>
    <w:div w:id="1550678357">
      <w:bodyDiv w:val="1"/>
      <w:marLeft w:val="0"/>
      <w:marRight w:val="0"/>
      <w:marTop w:val="0"/>
      <w:marBottom w:val="0"/>
      <w:divBdr>
        <w:top w:val="none" w:sz="0" w:space="0" w:color="auto"/>
        <w:left w:val="none" w:sz="0" w:space="0" w:color="auto"/>
        <w:bottom w:val="none" w:sz="0" w:space="0" w:color="auto"/>
        <w:right w:val="none" w:sz="0" w:space="0" w:color="auto"/>
      </w:divBdr>
    </w:div>
    <w:div w:id="1559979380">
      <w:bodyDiv w:val="1"/>
      <w:marLeft w:val="0"/>
      <w:marRight w:val="0"/>
      <w:marTop w:val="0"/>
      <w:marBottom w:val="0"/>
      <w:divBdr>
        <w:top w:val="none" w:sz="0" w:space="0" w:color="auto"/>
        <w:left w:val="none" w:sz="0" w:space="0" w:color="auto"/>
        <w:bottom w:val="none" w:sz="0" w:space="0" w:color="auto"/>
        <w:right w:val="none" w:sz="0" w:space="0" w:color="auto"/>
      </w:divBdr>
    </w:div>
    <w:div w:id="1610311952">
      <w:bodyDiv w:val="1"/>
      <w:marLeft w:val="0"/>
      <w:marRight w:val="0"/>
      <w:marTop w:val="0"/>
      <w:marBottom w:val="0"/>
      <w:divBdr>
        <w:top w:val="none" w:sz="0" w:space="0" w:color="auto"/>
        <w:left w:val="none" w:sz="0" w:space="0" w:color="auto"/>
        <w:bottom w:val="none" w:sz="0" w:space="0" w:color="auto"/>
        <w:right w:val="none" w:sz="0" w:space="0" w:color="auto"/>
      </w:divBdr>
    </w:div>
    <w:div w:id="1622763505">
      <w:bodyDiv w:val="1"/>
      <w:marLeft w:val="0"/>
      <w:marRight w:val="0"/>
      <w:marTop w:val="0"/>
      <w:marBottom w:val="0"/>
      <w:divBdr>
        <w:top w:val="none" w:sz="0" w:space="0" w:color="auto"/>
        <w:left w:val="none" w:sz="0" w:space="0" w:color="auto"/>
        <w:bottom w:val="none" w:sz="0" w:space="0" w:color="auto"/>
        <w:right w:val="none" w:sz="0" w:space="0" w:color="auto"/>
      </w:divBdr>
    </w:div>
    <w:div w:id="1677994713">
      <w:bodyDiv w:val="1"/>
      <w:marLeft w:val="0"/>
      <w:marRight w:val="0"/>
      <w:marTop w:val="0"/>
      <w:marBottom w:val="0"/>
      <w:divBdr>
        <w:top w:val="none" w:sz="0" w:space="0" w:color="auto"/>
        <w:left w:val="none" w:sz="0" w:space="0" w:color="auto"/>
        <w:bottom w:val="none" w:sz="0" w:space="0" w:color="auto"/>
        <w:right w:val="none" w:sz="0" w:space="0" w:color="auto"/>
      </w:divBdr>
    </w:div>
    <w:div w:id="1684043695">
      <w:bodyDiv w:val="1"/>
      <w:marLeft w:val="0"/>
      <w:marRight w:val="0"/>
      <w:marTop w:val="0"/>
      <w:marBottom w:val="0"/>
      <w:divBdr>
        <w:top w:val="none" w:sz="0" w:space="0" w:color="auto"/>
        <w:left w:val="none" w:sz="0" w:space="0" w:color="auto"/>
        <w:bottom w:val="none" w:sz="0" w:space="0" w:color="auto"/>
        <w:right w:val="none" w:sz="0" w:space="0" w:color="auto"/>
      </w:divBdr>
    </w:div>
    <w:div w:id="1701860752">
      <w:bodyDiv w:val="1"/>
      <w:marLeft w:val="0"/>
      <w:marRight w:val="0"/>
      <w:marTop w:val="0"/>
      <w:marBottom w:val="0"/>
      <w:divBdr>
        <w:top w:val="none" w:sz="0" w:space="0" w:color="auto"/>
        <w:left w:val="none" w:sz="0" w:space="0" w:color="auto"/>
        <w:bottom w:val="none" w:sz="0" w:space="0" w:color="auto"/>
        <w:right w:val="none" w:sz="0" w:space="0" w:color="auto"/>
      </w:divBdr>
    </w:div>
    <w:div w:id="1802989553">
      <w:bodyDiv w:val="1"/>
      <w:marLeft w:val="0"/>
      <w:marRight w:val="0"/>
      <w:marTop w:val="0"/>
      <w:marBottom w:val="0"/>
      <w:divBdr>
        <w:top w:val="none" w:sz="0" w:space="0" w:color="auto"/>
        <w:left w:val="none" w:sz="0" w:space="0" w:color="auto"/>
        <w:bottom w:val="none" w:sz="0" w:space="0" w:color="auto"/>
        <w:right w:val="none" w:sz="0" w:space="0" w:color="auto"/>
      </w:divBdr>
    </w:div>
    <w:div w:id="2014531961">
      <w:bodyDiv w:val="1"/>
      <w:marLeft w:val="0"/>
      <w:marRight w:val="0"/>
      <w:marTop w:val="0"/>
      <w:marBottom w:val="0"/>
      <w:divBdr>
        <w:top w:val="none" w:sz="0" w:space="0" w:color="auto"/>
        <w:left w:val="none" w:sz="0" w:space="0" w:color="auto"/>
        <w:bottom w:val="none" w:sz="0" w:space="0" w:color="auto"/>
        <w:right w:val="none" w:sz="0" w:space="0" w:color="auto"/>
      </w:divBdr>
    </w:div>
    <w:div w:id="2054036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0" ma:contentTypeDescription="Create a new document." ma:contentTypeScope="" ma:versionID="a85ecf238623d6ed8a401648ed9668fe">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f4f48de3c5f0d9b6a6c1dd67e668a19e"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Cim19</b:Tag>
    <b:SourceType>BookSection</b:SourceType>
    <b:Guid>{0E835737-C876-4A37-B6DB-807749D4313C}</b:Guid>
    <b:Title>Ted Bundy: America's Most Evil Serial Killer</b:Title>
    <b:Year>(2019)</b:Year>
    <b:BookTitle>All-American Boy</b:BookTitle>
    <b:Publisher>Arcturus Publishing</b:Publisher>
    <b:Author>
      <b:Author>
        <b:NameList>
          <b:Person>
            <b:Last>Cimino</b:Last>
            <b:First>Al</b:First>
          </b:Person>
        </b:NameList>
      </b:Author>
    </b:Author>
    <b:RefOrder>1</b:RefOrder>
  </b:Source>
  <b:Source>
    <b:Tag>Ped02</b:Tag>
    <b:SourceType>InternetSite</b:SourceType>
    <b:Guid>{121DF820-2D25-43AB-BF28-399059081F58}</b:Guid>
    <b:Title>Ted Bundy on the "malignant being": An analysis of the justificatory discourse of a serial killer</b:Title>
    <b:Year>(2002)</b:Year>
    <b:Author>
      <b:Author>
        <b:NameList>
          <b:Person>
            <b:Last>Pedneault</b:Last>
            <b:First>Amelie</b:First>
          </b:Person>
        </b:NameList>
      </b:Author>
    </b:Author>
    <b:YearAccessed>2024</b:YearAccessed>
    <b:MonthAccessed>February</b:MonthAccessed>
    <b:DayAccessed>7th</b:DayAccessed>
    <b:URL>https://www.sfu.ca/~palys/crim862-Pedneault-TedBundyJustificatoryDiscourse.pdf</b:URL>
    <b:RefOrder>2</b:RefOrder>
  </b:Source>
  <b:Source>
    <b:Tag>Ter20</b:Tag>
    <b:SourceType>DocumentFromInternetSite</b:SourceType>
    <b:Guid>{C107E357-0BC3-42F0-8CB1-D8964802E903}</b:Guid>
    <b:Title>Impacts of a Serial Killer: Looking at the Case of Ted Bundy Then and Now</b:Title>
    <b:Year>(2020)</b:Year>
    <b:Author>
      <b:Author>
        <b:NameList>
          <b:Person>
            <b:Last>Terranova</b:Last>
            <b:First>Natalie</b:First>
          </b:Person>
        </b:NameList>
      </b:Author>
    </b:Author>
    <b:YearAccessed>2024</b:YearAccessed>
    <b:MonthAccessed>February</b:MonthAccessed>
    <b:DayAccessed>7th</b:DayAccessed>
    <b:URL>https://digitalcommons.bryant.edu/honors_history/44/</b:URL>
    <b:RefOrder>3</b:RefOrder>
  </b:Source>
  <b:Source>
    <b:Tag>Roc16</b:Tag>
    <b:SourceType>Book</b:SourceType>
    <b:Guid>{4255DAA9-F066-4D9E-BE8C-67543A6AD39F}</b:Guid>
    <b:Title>Ted Bundy: The Worst and Most Popular Serial Killer in America's History</b:Title>
    <b:Year>(2016)</b:Year>
    <b:Publisher>J. D. Rockefeller</b:Publisher>
    <b:Author>
      <b:Author>
        <b:NameList>
          <b:Person>
            <b:Last>Rockefeller</b:Last>
            <b:Middle>D</b:Middle>
            <b:First>J</b:First>
          </b:Person>
        </b:NameList>
      </b:Author>
    </b:Author>
    <b:RefOrder>4</b:RefOrder>
  </b:Source>
  <b:Source>
    <b:Tag>Hou17</b:Tag>
    <b:SourceType>Book</b:SourceType>
    <b:Guid>{6999BC77-CFD7-4163-82BA-F1F1582C9500}</b:Guid>
    <b:Title>Ted Bundy: A Life From Beginning to End</b:Title>
    <b:Year>(2017)</b:Year>
    <b:Publisher>CreateSpace Independent Publishing Platform</b:Publisher>
    <b:Author>
      <b:Author>
        <b:Corporate>Hourly History</b:Corporate>
      </b:Author>
    </b:Author>
    <b:RefOrder>5</b:RefOrder>
  </b:Source>
  <b:Source>
    <b:Tag>Por19</b:Tag>
    <b:SourceType>Book</b:SourceType>
    <b:Guid>{515CD561-3C95-4B67-A89B-617BE4ABFF5F}</b:Guid>
    <b:Title>Ted Bundy: Absolute Horror</b:Title>
    <b:Year>(2019)</b:Year>
    <b:Publisher>Laurent Poret</b:Publisher>
    <b:Author>
      <b:Author>
        <b:NameList>
          <b:Person>
            <b:Last>Poret</b:Last>
            <b:First>Laurent </b:First>
          </b:Person>
        </b:NameList>
      </b:Author>
    </b:Author>
    <b:RefOrder>6</b:RefOrder>
  </b:Source>
  <b:Source>
    <b:Tag>Bri24</b:Tag>
    <b:SourceType>InternetSite</b:SourceType>
    <b:Guid>{797B963D-D1D7-4D5F-B19C-F8DD4E56C543}</b:Guid>
    <b:Title>Ted Bundy: American Serial Killer</b:Title>
    <b:Year>(2024)</b:Year>
    <b:Author>
      <b:Author>
        <b:Corporate>Britannica</b:Corporate>
      </b:Author>
    </b:Author>
    <b:YearAccessed>2024</b:YearAccessed>
    <b:MonthAccessed>February</b:MonthAccessed>
    <b:DayAccessed>8th</b:DayAccessed>
    <b:URL>https://www.britannica.com/biography/Ted-Bundy</b:URL>
    <b:RefOrder>7</b:RefOrder>
  </b:Source>
  <b:Source>
    <b:Tag>Ras22</b:Tag>
    <b:SourceType>JournalArticle</b:SourceType>
    <b:Guid>{0991B47A-ADB8-40A5-BA18-46D038E893AD}</b:Guid>
    <b:Title>A man with no fear "Necrophilia" "I did like you to give my love to my family and friends." Ted Bundy "A Qualitative Analysis"</b:Title>
    <b:Year>(2022)</b:Year>
    <b:JournalName>Superior Law Review</b:JournalName>
    <b:Volume>2</b:Volume>
    <b:Issue>1</b:Issue>
    <b:Author>
      <b:Author>
        <b:NameList>
          <b:Person>
            <b:Last>Rasool</b:Last>
            <b:First>Atif </b:First>
          </b:Person>
          <b:Person>
            <b:Last>Majid</b:Last>
            <b:First>Saira</b:First>
          </b:Person>
          <b:Person>
            <b:Last>Rasool</b:Last>
            <b:First>Amjad</b:First>
          </b:Person>
          <b:Person>
            <b:Last>Mehmood</b:Last>
            <b:First>Nasir</b:First>
          </b:Person>
        </b:NameList>
      </b:Author>
    </b:Author>
    <b:RefOrder>8</b:RefOrder>
  </b:Source>
  <b:Source>
    <b:Tag>Vea07</b:Tag>
    <b:SourceType>Book</b:SourceType>
    <b:Guid>{D9CAC6E3-FE6A-432B-A945-B95FF0833A0E}</b:Guid>
    <b:Title>Personality Disorders</b:Title>
    <b:Year>(2007)</b:Year>
    <b:Publisher>Chelsea House</b:Publisher>
    <b:Author>
      <b:Author>
        <b:NameList>
          <b:Person>
            <b:Last>Veague</b:Last>
            <b:Middle>Barnett</b:Middle>
            <b:First>Heather</b:First>
          </b:Person>
          <b:Person>
            <b:Last>Collins</b:Last>
            <b:Middle>Elaine</b:Middle>
            <b:First>Christine</b:First>
          </b:Person>
        </b:NameList>
      </b:Author>
    </b:Author>
    <b:RefOrder>9</b:RefOrder>
  </b:Source>
  <b:Source>
    <b:Tag>New06</b:Tag>
    <b:SourceType>Book</b:SourceType>
    <b:Guid>{9474CE88-1165-426A-9F92-8E78AEC1510C}</b:Guid>
    <b:Title>The Encyclopedia of Serial Killers</b:Title>
    <b:Year>(2006)</b:Year>
    <b:Publisher>Facts On File, Incorporated</b:Publisher>
    <b:Author>
      <b:Author>
        <b:NameList>
          <b:Person>
            <b:Last>Newton</b:Last>
            <b:First>Michael</b:First>
          </b:Person>
        </b:NameList>
      </b:Author>
    </b:Author>
    <b:RefOrder>10</b:RefOrder>
  </b:Source>
  <b:Source>
    <b:Tag>Pue21</b:Tag>
    <b:SourceType>DocumentFromInternetSite</b:SourceType>
    <b:Guid>{77E15C96-ACAF-44EA-B56A-36BE564BD320}</b:Guid>
    <b:Title>"If I wasn't So Blinded by Love, I Would have Seen the Secrets Right in Front of MeWaiting to Be Uncovered." The Defining , Excusing, and Justificationof Deviance.</b:Title>
    <b:Year>(2021)</b:Year>
    <b:Author>
      <b:Author>
        <b:NameList>
          <b:Person>
            <b:Last>Puello</b:Last>
            <b:Middle>D</b:Middle>
            <b:First>Eredis</b:First>
          </b:Person>
        </b:NameList>
      </b:Author>
    </b:Author>
    <b:Month>April</b:Month>
    <b:Day>29th</b:Day>
    <b:YearAccessed>2024</b:YearAccessed>
    <b:MonthAccessed>February</b:MonthAccessed>
    <b:DayAccessed>8th</b:DayAccessed>
    <b:URL>https://soar.suny.edu/bitstream/handle/20.500.12648/11435/1413_Eredis_Puello.pdf?sequence=1&amp;isAllowed=y</b:URL>
    <b:RefOrder>11</b:RefOrder>
  </b:Source>
  <b:Source>
    <b:Tag>Bab20</b:Tag>
    <b:SourceType>JournalArticle</b:SourceType>
    <b:Guid>{BE9A8A8B-1E22-40F4-9AA4-28C3DDE03D56}</b:Guid>
    <b:Title>The Abominable Killer: An Introspection of the Bundy Murders; The Bundy Murders: A Comprehensive History</b:Title>
    <b:Year>(2020)</b:Year>
    <b:Month>December</b:Month>
    <b:Day>27th</b:Day>
    <b:YearAccessed>2024</b:YearAccessed>
    <b:MonthAccessed>Fbruary</b:MonthAccessed>
    <b:DayAccessed>8th</b:DayAccessed>
    <b:URL>https://ijels.com/upload_document/issue_files/57IJELS-111202014-TheAbominable.pdf</b:URL>
    <b:Author>
      <b:Author>
        <b:NameList>
          <b:Person>
            <b:Last>Babu</b:Last>
            <b:First>Jereena</b:First>
          </b:Person>
        </b:NameList>
      </b:Author>
    </b:Author>
    <b:JournalName>International Journal of English Literature and Social Sciences (IJELS)</b:JournalName>
    <b:Pages>1-4</b:Pages>
    <b:Volume>5</b:Volume>
    <b:Issue>6</b:Issue>
    <b:RefOrder>12</b:RefOrder>
  </b:Source>
  <b:Source>
    <b:Tag>Kas23</b:Tag>
    <b:SourceType>JournalArticle</b:SourceType>
    <b:Guid>{E7B85E38-B86B-420D-87F6-24D84CC8BC8D}</b:Guid>
    <b:Title>What Leads to" Serial Killer" Behaviour?</b:Title>
    <b:JournalName>Journal of Student Research</b:JournalName>
    <b:Year>(2023)</b:Year>
    <b:Volume>12</b:Volume>
    <b:Issue>1</b:Issue>
    <b:Author>
      <b:Author>
        <b:NameList>
          <b:Person>
            <b:Last>Kasireddy</b:Last>
            <b:First>R</b:First>
          </b:Person>
        </b:NameList>
      </b:Author>
    </b:Author>
    <b:RefOrder>13</b:RefOrder>
  </b:Source>
  <b:Source>
    <b:Tag>Mic19</b:Tag>
    <b:SourceType>Book</b:SourceType>
    <b:Guid>{8AE969BA-8766-4DF7-9BAE-57A7AF57EAAA}</b:Guid>
    <b:Title>Ted Bundy: Conversations Witha Killer: The Death Row Interviews</b:Title>
    <b:Year>(2019)</b:Year>
    <b:Publisher>Union Square &amp; Company </b:Publisher>
    <b:Author>
      <b:Author>
        <b:NameList>
          <b:Person>
            <b:Last>Michaud</b:Last>
            <b:Middle>G</b:Middle>
            <b:First>Stephen</b:First>
          </b:Person>
          <b:Person>
            <b:Last>Aynesworth</b:Last>
            <b:First>Hugh</b:First>
          </b:Person>
        </b:NameList>
      </b:Author>
    </b:Author>
    <b:RefOrder>14</b:RefOrder>
  </b:Source>
  <b:Source>
    <b:Tag>Ban14</b:Tag>
    <b:SourceType>BookSection</b:SourceType>
    <b:Guid>{A1076B20-6FC7-4AF1-90D7-B11217A830C1}</b:Guid>
    <b:Title>Bandura, Albert</b:Title>
    <b:Year>(2014)</b:Year>
    <b:Pages>98</b:Pages>
    <b:Publisher>Encyclopedia of Theory &amp; Practice in Psychotherapy &amp; Counselling</b:Publisher>
    <b:Author>
      <b:Author>
        <b:NameList>
          <b:Person>
            <b:Last>Bandura</b:Last>
            <b:First>Albert </b:First>
          </b:Person>
        </b:NameList>
      </b:Author>
      <b:Editor>
        <b:NameList>
          <b:Person>
            <b:Last>Fadul</b:Last>
            <b:First>Jose</b:First>
            <b:Middle>A.</b:Middle>
          </b:Person>
        </b:NameList>
      </b:Editor>
    </b:Author>
    <b:BookTitle>Encyclopedia of Theory &amp; Practice in Psychotherapy &amp; Counselling</b:BookTitle>
    <b:RefOrder>15</b:RefOrder>
  </b:Source>
  <b:Source>
    <b:Tag>Mcl24</b:Tag>
    <b:SourceType>InternetSite</b:SourceType>
    <b:Guid>{DA2590CC-276E-4689-8C0E-2C358E3DD566}</b:Guid>
    <b:Title>Albert Bandura's Social Learning Theory</b:Title>
    <b:Year>(2024)</b:Year>
    <b:YearAccessed>2024</b:YearAccessed>
    <b:MonthAccessed>February</b:MonthAccessed>
    <b:DayAccessed>17th</b:DayAccessed>
    <b:URL>https://www.simplypsychology.org/bandura.html</b:URL>
    <b:Author>
      <b:Author>
        <b:NameList>
          <b:Person>
            <b:Last>Mcleod</b:Last>
            <b:First>Saul</b:First>
          </b:Person>
        </b:NameList>
      </b:Author>
    </b:Author>
    <b:RefOrder>16</b:RefOrder>
  </b:Source>
  <b:Source>
    <b:Tag>Nic24</b:Tag>
    <b:SourceType>InternetSite</b:SourceType>
    <b:Guid>{AE787A3A-8094-4020-B559-203518513EDF}</b:Guid>
    <b:Title>Edwin Sutherland's Differential Association Theory</b:Title>
    <b:Year>(2024</b:Year>
    <b:YearAccessed>2024</b:YearAccessed>
    <b:MonthAccessed>February</b:MonthAccessed>
    <b:DayAccessed>21</b:DayAccessed>
    <b:URL>https://www.simplypsychology.org/differential-association-theory.html</b:URL>
    <b:Author>
      <b:Author>
        <b:NameList>
          <b:Person>
            <b:Last>Nickerson</b:Last>
            <b:First>Charlotte</b:First>
          </b:Person>
        </b:NameList>
      </b:Author>
    </b:Author>
    <b:RefOrder>17</b:RefOrder>
  </b:Source>
  <b:Source>
    <b:Tag>Ban71</b:Tag>
    <b:SourceType>DocumentFromInternetSite</b:SourceType>
    <b:Guid>{174C97A6-776D-4AD4-A439-55D100B3A677}</b:Guid>
    <b:Title>Social learning theory</b:Title>
    <b:Year>(1971)</b:Year>
    <b:Pages>1-46</b:Pages>
    <b:JournalName>General Learning Press</b:JournalName>
    <b:YearAccessed>2024</b:YearAccessed>
    <b:MonthAccessed>February</b:MonthAccessed>
    <b:DayAccessed>22nd</b:DayAccessed>
    <b:URL>https://ocd.lcwu.edu.pk/cfiles/Gender%20&amp;%20Development%20Studies/MIN/GDS%20%E2%80%93%20101/Bandura_SocialLearningTheory.pdf</b:URL>
    <b:Author>
      <b:Author>
        <b:NameList>
          <b:Person>
            <b:Last>Bandura</b:Last>
            <b:First>Albert</b:First>
          </b:Person>
        </b:NameList>
      </b:Author>
    </b:Author>
    <b:RefOrder>18</b:RefOrder>
  </b:Source>
  <b:Source>
    <b:Tag>Cas02</b:Tag>
    <b:SourceType>JournalArticle</b:SourceType>
    <b:Guid>{9954B870-D8B7-4BE9-B7DE-6092169D1E63}</b:Guid>
    <b:Title>Serial Killers with Military Experience: Applying Learning Theory to Serial Murder</b:Title>
    <b:Year>(2002)</b:Year>
    <b:JournalName>International Journal of Offender Therapy and Comparative Criminology</b:JournalName>
    <b:Pages>453-465</b:Pages>
    <b:Volume>46</b:Volume>
    <b:Issue>4</b:Issue>
    <b:Author>
      <b:Author>
        <b:NameList>
          <b:Person>
            <b:Last>Castle</b:Last>
            <b:First>Tammy</b:First>
          </b:Person>
          <b:Person>
            <b:Last>Hensley</b:Last>
            <b:First>Christopher</b:First>
          </b:Person>
        </b:NameList>
      </b:Author>
    </b:Author>
    <b:RefOrder>19</b:RefOrder>
  </b:Source>
  <b:Source>
    <b:Tag>Kro99</b:Tag>
    <b:SourceType>JournalArticle</b:SourceType>
    <b:Guid>{5734B905-C1D2-4C62-867E-B82556BF0497}</b:Guid>
    <b:Title>Social Learning Theory: The Continuing Development of a Perspective</b:Title>
    <b:JournalName>Theoretical Criminology</b:JournalName>
    <b:Year>(1999)</b:Year>
    <b:Pages>462-476</b:Pages>
    <b:Volume>3</b:Volume>
    <b:Issue>4</b:Issue>
    <b:Author>
      <b:Author>
        <b:NameList>
          <b:Person>
            <b:Last>Krohn</b:Last>
            <b:Middle>D</b:Middle>
            <b:First>Marvin</b:First>
          </b:Person>
        </b:NameList>
      </b:Author>
    </b:Author>
    <b:RefOrder>20</b:RefOrder>
  </b:Source>
  <b:Source>
    <b:Tag>Pra10</b:Tag>
    <b:SourceType>JournalArticle</b:SourceType>
    <b:Guid>{F6BDA846-23E7-4603-B632-55EEBCF90B45}</b:Guid>
    <b:Title>The Empirical Status of Social Learning Theory: A Meta-Analysis</b:Title>
    <b:JournalName>Justice Quarterly</b:JournalName>
    <b:Year>(2010)</b:Year>
    <b:Pages>765-802</b:Pages>
    <b:Volume>27</b:Volume>
    <b:Issue>6</b:Issue>
    <b:Author>
      <b:Author>
        <b:NameList>
          <b:Person>
            <b:Last>Pratt</b:Last>
            <b:Middle>C</b:Middle>
            <b:First>Travis</b:First>
          </b:Person>
          <b:Person>
            <b:Last>Cullen</b:Last>
            <b:Middle>T</b:Middle>
            <b:First>Francis</b:First>
          </b:Person>
          <b:Person>
            <b:Last>Sellers</b:Last>
            <b:Middle>S</b:Middle>
            <b:First>Christine</b:First>
          </b:Person>
          <b:Person>
            <b:Last>Jr</b:Last>
            <b:Middle>L</b:Middle>
            <b:First>Thomas Winfree</b:First>
          </b:Person>
          <b:Person>
            <b:Last>Madensen</b:Last>
            <b:Middle>D</b:Middle>
            <b:First>Tamara</b:First>
          </b:Person>
          <b:Person>
            <b:Last>Daigle</b:Last>
            <b:Middle>E</b:Middle>
            <b:First>Leah</b:First>
          </b:Person>
          <b:Person>
            <b:Last>Fearn</b:Last>
            <b:Middle>E</b:Middle>
            <b:First>Noelle</b:First>
          </b:Person>
          <b:Person>
            <b:Last>Gau</b:Last>
            <b:Middle>M</b:Middle>
            <b:First>Jacinta</b:First>
          </b:Person>
        </b:NameList>
      </b:Author>
    </b:Author>
    <b:RefOrder>21</b:RefOrder>
  </b:Source>
  <b:Source>
    <b:Tag>Rum20</b:Tag>
    <b:SourceType>BookSection</b:SourceType>
    <b:Guid>{56B7AEAC-D6A0-4C76-AF5D-E195A537F922}</b:Guid>
    <b:Title>Social Learning Theory - Albert Bandura</b:Title>
    <b:Year>(2020)</b:Year>
    <b:Pages>85-99</b:Pages>
    <b:Author>
      <b:Author>
        <b:NameList>
          <b:Person>
            <b:Last>Rumjaun</b:Last>
            <b:First>Anwar</b:First>
          </b:Person>
          <b:Person>
            <b:Last>Narod</b:Last>
            <b:First>Fawzia</b:First>
          </b:Person>
        </b:NameList>
      </b:Author>
    </b:Author>
    <b:Publisher>Springer Texts in education</b:Publisher>
    <b:BookTitle>Science Education in Theory and Practice: An Introductory Guide To Learning Theory</b:BookTitle>
    <b:RefOrder>22</b:RefOrder>
  </b:Source>
  <b:Source>
    <b:Tag>Bru92</b:Tag>
    <b:SourceType>JournalArticle</b:SourceType>
    <b:Guid>{1CB66428-0108-45F8-A4DD-5E3450BCCC7E}</b:Guid>
    <b:Title>Differential association theory reconsidered: An extension and its empirical test</b:Title>
    <b:Year>(1992)</b:Year>
    <b:JournalName>Journal of Quantitative Criminology</b:JournalName>
    <b:Pages>29-49</b:Pages>
    <b:Volume>8</b:Volume>
    <b:Author>
      <b:Author>
        <b:NameList>
          <b:Person>
            <b:Last>Bruinsma</b:Last>
            <b:Middle>J. N.</b:Middle>
            <b:First>Garben</b:First>
          </b:Person>
        </b:NameList>
      </b:Author>
    </b:Author>
    <b:RefOrder>23</b:RefOrder>
  </b:Source>
  <b:Source>
    <b:Tag>Fox17</b:Tag>
    <b:SourceType>JournalArticle</b:SourceType>
    <b:Guid>{9C65C873-EA0C-4449-8080-2C2FB768CE7C}</b:Guid>
    <b:Title>It's nature and nurture: Integrating biology and genetics into the social learning theory of criminal behavior</b:Title>
    <b:Year>(2017)</b:Year>
    <b:Pages>22-31</b:Pages>
    <b:JournalName>Journal of Criminal Justice</b:JournalName>
    <b:Volume>49</b:Volume>
    <b:Author>
      <b:Author>
        <b:NameList>
          <b:Person>
            <b:Last>Fox</b:Last>
            <b:First>Bryanna</b:First>
          </b:Person>
        </b:NameList>
      </b:Author>
    </b:Author>
    <b:RefOrder>24</b:RefOrder>
  </b:Source>
  <b:Source>
    <b:Tag>Cos06</b:Tag>
    <b:SourceType>JournalArticle</b:SourceType>
    <b:Guid>{F5F60C68-CE55-48E2-981A-5630D140DF32}</b:Guid>
    <b:Title>Testing Control Theory and Differential Association: A Reanalysis of The Richmond Youth Project Data</b:Title>
    <b:JournalName>Criminology</b:JournalName>
    <b:Year>(2006)</b:Year>
    <b:Pages>815-842</b:Pages>
    <b:Volume>37</b:Volume>
    <b:Issue>4</b:Issue>
    <b:Author>
      <b:Author>
        <b:NameList>
          <b:Person>
            <b:Last>Costello</b:Last>
            <b:Middle>J</b:Middle>
            <b:First>Barbara</b:First>
          </b:Person>
          <b:Person>
            <b:Last>Vowell</b:Last>
            <b:Middle>R</b:Middle>
            <b:First>Paul</b:First>
          </b:Person>
        </b:NameList>
      </b:Author>
    </b:Author>
    <b:RefOrder>25</b:RefOrder>
  </b:Source>
  <b:Source>
    <b:Tag>McC96</b:Tag>
    <b:SourceType>JournalArticle</b:SourceType>
    <b:Guid>{A741B7A2-510E-4FFA-A40A-6416E400277B}</b:Guid>
    <b:Title>The Attitudes and Actions of Others: Tutelage and Sutherland's Theory of Differential Association</b:Title>
    <b:JournalName>The British Journal of Criminology</b:JournalName>
    <b:Year>(1996)</b:Year>
    <b:Pages>135-147</b:Pages>
    <b:Volume>36</b:Volume>
    <b:Issue>1</b:Issue>
    <b:Author>
      <b:Author>
        <b:NameList>
          <b:Person>
            <b:Last>McCarthy</b:Last>
            <b:First>Bill</b:First>
          </b:Person>
        </b:NameList>
      </b:Author>
    </b:Author>
    <b:RefOrder>26</b:RefOrder>
  </b:Source>
  <b:Source>
    <b:Tag>Ake</b:Tag>
    <b:SourceType>JournalArticle</b:SourceType>
    <b:Guid>{1D5266D3-3FA0-4BD8-A60F-3788BACA1124}</b:Guid>
    <b:Title>Is Differential Association/Social Learning Cultural Deviance Theory?*</b:Title>
    <b:Author>
      <b:Author>
        <b:NameList>
          <b:Person>
            <b:Last>Akers</b:Last>
            <b:Middle>L</b:Middle>
            <b:First>Ronald</b:First>
          </b:Person>
        </b:NameList>
      </b:Author>
    </b:Author>
    <b:JournalName>Criminology</b:JournalName>
    <b:Year>(1996)</b:Year>
    <b:Pages>229-247</b:Pages>
    <b:Volume>34</b:Volume>
    <b:Issue>2</b:Issue>
    <b:RefOrder>27</b:RefOrder>
  </b:Source>
  <b:Source>
    <b:Tag>Har17</b:Tag>
    <b:SourceType>JournalArticle</b:SourceType>
    <b:Guid>{D10B0C20-4D1D-496F-934E-C1A9D425B541}</b:Guid>
    <b:Title>Do Cellmates Matter? A Casual test of The Schools of Crime Hypothesis With Implications For Differential Association and Deterrence Theories</b:Title>
    <b:JournalName>Criminology</b:JournalName>
    <b:Year>(2017)</b:Year>
    <b:Pages>87-122</b:Pages>
    <b:Volume>56</b:Volume>
    <b:Issue>1</b:Issue>
    <b:Author>
      <b:Author>
        <b:NameList>
          <b:Person>
            <b:Last>Harris</b:Last>
            <b:Middle>M</b:Middle>
            <b:First>Heather</b:First>
          </b:Person>
          <b:Person>
            <b:Last>Nakamura</b:Last>
            <b:First>Kiminori</b:First>
          </b:Person>
          <b:Person>
            <b:Last>Bucklen</b:Last>
            <b:Middle>Bret</b:Middle>
            <b:First>Kristofer</b:First>
          </b:Person>
        </b:NameList>
      </b:Author>
    </b:Author>
    <b:RefOrder>28</b:RefOrder>
  </b:Source>
  <b:Source>
    <b:Tag>Par90</b:Tag>
    <b:SourceType>JournalArticle</b:SourceType>
    <b:Guid>{81BA1248-13DC-4403-A30B-D4C226C357D9}</b:Guid>
    <b:Title>'Bye-bye Ted...': Community Response in Florida to the Execution of Theodore Bundy</b:Title>
    <b:Year>(1990)</b:Year>
    <b:JournalName>Anthropology Today</b:JournalName>
    <b:Pages>9-11</b:Pages>
    <b:Volume>6</b:Volume>
    <b:Issue>2</b:Issue>
    <b:Author>
      <b:Author>
        <b:NameList>
          <b:Person>
            <b:Last>Paredes</b:Last>
            <b:Middle>J</b:Middle>
            <b:First>Anthony</b:First>
          </b:Person>
          <b:Person>
            <b:Last>Purdum</b:Last>
            <b:Middle>D</b:Middle>
            <b:First>Elizabeth </b:First>
          </b:Person>
        </b:NameList>
      </b:Author>
    </b:Author>
    <b:RefOrder>29</b:RefOrder>
  </b:Source>
</b:Sources>
</file>

<file path=customXml/itemProps1.xml><?xml version="1.0" encoding="utf-8"?>
<ds:datastoreItem xmlns:ds="http://schemas.openxmlformats.org/officeDocument/2006/customXml" ds:itemID="{09DB9F02-7872-46E9-B504-CB65EEBFD2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2B7EBFD-EE54-4CE1-8728-C2BBA9573ED5}">
  <ds:schemaRefs>
    <ds:schemaRef ds:uri="http://schemas.microsoft.com/office/2006/metadata/properties"/>
    <ds:schemaRef ds:uri="http://schemas.microsoft.com/office/infopath/2007/PartnerControls"/>
    <ds:schemaRef ds:uri="da3f2772-8f1e-4acb-bd98-3a0ee892f48a"/>
  </ds:schemaRefs>
</ds:datastoreItem>
</file>

<file path=customXml/itemProps3.xml><?xml version="1.0" encoding="utf-8"?>
<ds:datastoreItem xmlns:ds="http://schemas.openxmlformats.org/officeDocument/2006/customXml" ds:itemID="{ED33F1A3-6EF5-4A74-95E3-F0A270980E6E}">
  <ds:schemaRefs>
    <ds:schemaRef ds:uri="http://schemas.microsoft.com/sharepoint/v3/contenttype/forms"/>
  </ds:schemaRefs>
</ds:datastoreItem>
</file>

<file path=customXml/itemProps4.xml><?xml version="1.0" encoding="utf-8"?>
<ds:datastoreItem xmlns:ds="http://schemas.openxmlformats.org/officeDocument/2006/customXml" ds:itemID="{6B77EC35-4E64-45B6-89FE-6C9F86C2A9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858</TotalTime>
  <Pages>8</Pages>
  <Words>1756</Words>
  <Characters>10548</Characters>
  <Application>Microsoft Office Word</Application>
  <DocSecurity>0</DocSecurity>
  <Lines>199</Lines>
  <Paragraphs>52</Paragraphs>
  <ScaleCrop>false</ScaleCrop>
  <Company>Name: Christina Mikayla Davies</Company>
  <LinksUpToDate>false</LinksUpToDate>
  <CharactersWithSpaces>12252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Review of case studies</dc:title>
  <dc:subject>Evaluate whether the offender (Ted Bundy) was born or made a criminal, using criminological theory.</dc:subject>
  <dc:creator>Christina Davies</dc:creator>
  <cp:keywords/>
  <dc:description/>
  <cp:lastModifiedBy>Christina Davies (2204423)</cp:lastModifiedBy>
  <cp:revision>627</cp:revision>
  <dcterms:created xsi:type="dcterms:W3CDTF">2024-02-02T15:06:00Z</dcterms:created>
  <dcterms:modified xsi:type="dcterms:W3CDTF">2024-03-07T18:26:00Z</dcterms:modified>
  <cp:category>Student Number: 2204423</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78db143d-d65e-44ae-8195-d67c3dcf4a83</vt:lpwstr>
  </property>
  <property fmtid="{D5CDD505-2E9C-101B-9397-08002B2CF9AE}" pid="3" name="ContentTypeId">
    <vt:lpwstr>0x01010060EEA2F366178047808FA03462A57F61</vt:lpwstr>
  </property>
</Properties>
</file>