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483" w:rsidRDefault="00713483" w:rsidP="00FD0309">
      <w:pPr>
        <w:spacing w:line="360" w:lineRule="auto"/>
        <w:rPr>
          <w:rFonts w:ascii="Arial" w:hAnsi="Arial" w:cs="Arial"/>
          <w:b/>
          <w:bCs/>
          <w:sz w:val="32"/>
          <w:szCs w:val="32"/>
        </w:rPr>
      </w:pPr>
      <w:r>
        <w:rPr>
          <w:rFonts w:ascii="Arial" w:hAnsi="Arial" w:cs="Arial"/>
          <w:b/>
          <w:bCs/>
          <w:noProof/>
          <w:sz w:val="32"/>
          <w:szCs w:val="32"/>
          <w:lang w:eastAsia="en-GB"/>
        </w:rPr>
        <w:drawing>
          <wp:anchor distT="0" distB="0" distL="114300" distR="114300" simplePos="0" relativeHeight="251658240" behindDoc="0" locked="0" layoutInCell="1" allowOverlap="1">
            <wp:simplePos x="0" y="0"/>
            <wp:positionH relativeFrom="column">
              <wp:posOffset>-377190</wp:posOffset>
            </wp:positionH>
            <wp:positionV relativeFrom="paragraph">
              <wp:posOffset>-478155</wp:posOffset>
            </wp:positionV>
            <wp:extent cx="1881505" cy="798195"/>
            <wp:effectExtent l="19050" t="0" r="4445" b="0"/>
            <wp:wrapSquare wrapText="bothSides"/>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81505" cy="798195"/>
                    </a:xfrm>
                    <a:prstGeom prst="rect">
                      <a:avLst/>
                    </a:prstGeom>
                    <a:noFill/>
                    <a:ln>
                      <a:noFill/>
                    </a:ln>
                  </pic:spPr>
                </pic:pic>
              </a:graphicData>
            </a:graphic>
          </wp:anchor>
        </w:drawing>
      </w:r>
      <w:r w:rsidR="005C28E8" w:rsidRPr="00FD0309">
        <w:rPr>
          <w:rFonts w:ascii="Arial" w:hAnsi="Arial" w:cs="Arial"/>
          <w:b/>
          <w:bCs/>
          <w:sz w:val="32"/>
          <w:szCs w:val="32"/>
        </w:rPr>
        <w:t xml:space="preserve">      </w:t>
      </w:r>
    </w:p>
    <w:p w:rsidR="00114199" w:rsidRPr="00FD0309" w:rsidRDefault="00114199" w:rsidP="00FD0309">
      <w:pPr>
        <w:spacing w:line="360" w:lineRule="auto"/>
        <w:rPr>
          <w:rFonts w:ascii="Arial" w:hAnsi="Arial" w:cs="Arial"/>
          <w:b/>
          <w:bCs/>
          <w:sz w:val="32"/>
          <w:szCs w:val="32"/>
        </w:rPr>
      </w:pPr>
      <w:r w:rsidRPr="00FD0309">
        <w:rPr>
          <w:rFonts w:ascii="Arial" w:hAnsi="Arial" w:cs="Arial"/>
          <w:b/>
          <w:bCs/>
          <w:sz w:val="32"/>
          <w:szCs w:val="32"/>
        </w:rPr>
        <w:t>Questions and Guidelines for Assessment Component 1</w:t>
      </w:r>
    </w:p>
    <w:p w:rsidR="00D46920" w:rsidRPr="00FD0309" w:rsidRDefault="00D46920" w:rsidP="00713483">
      <w:pPr>
        <w:spacing w:line="360" w:lineRule="auto"/>
        <w:jc w:val="center"/>
        <w:rPr>
          <w:rStyle w:val="Strong"/>
          <w:rFonts w:ascii="Arial" w:hAnsi="Arial" w:cs="Arial"/>
          <w:color w:val="1D2125"/>
          <w:sz w:val="36"/>
          <w:szCs w:val="36"/>
        </w:rPr>
      </w:pPr>
      <w:proofErr w:type="spellStart"/>
      <w:r w:rsidRPr="00FD0309">
        <w:rPr>
          <w:rStyle w:val="Strong"/>
          <w:rFonts w:ascii="Arial" w:hAnsi="Arial" w:cs="Arial"/>
          <w:color w:val="1D2125"/>
          <w:sz w:val="36"/>
          <w:szCs w:val="36"/>
          <w:shd w:val="clear" w:color="auto" w:fill="FFFFFF"/>
        </w:rPr>
        <w:t>Changemakers</w:t>
      </w:r>
      <w:proofErr w:type="spellEnd"/>
      <w:r w:rsidRPr="00FD0309">
        <w:rPr>
          <w:rStyle w:val="Strong"/>
          <w:rFonts w:ascii="Arial" w:hAnsi="Arial" w:cs="Arial"/>
          <w:color w:val="1D2125"/>
          <w:sz w:val="36"/>
          <w:szCs w:val="36"/>
          <w:shd w:val="clear" w:color="auto" w:fill="FFFFFF"/>
        </w:rPr>
        <w:t>: Creativity and Value Creation</w:t>
      </w:r>
    </w:p>
    <w:p w:rsidR="00D46920" w:rsidRPr="00FD0309" w:rsidRDefault="00D46920" w:rsidP="00713483">
      <w:pPr>
        <w:spacing w:line="360" w:lineRule="auto"/>
        <w:jc w:val="center"/>
        <w:rPr>
          <w:rStyle w:val="Strong"/>
          <w:rFonts w:ascii="Arial" w:hAnsi="Arial" w:cs="Arial"/>
          <w:color w:val="1D2125"/>
          <w:sz w:val="36"/>
          <w:szCs w:val="36"/>
        </w:rPr>
      </w:pPr>
      <w:r w:rsidRPr="00FD0309">
        <w:rPr>
          <w:rStyle w:val="Strong"/>
          <w:rFonts w:ascii="Arial" w:hAnsi="Arial" w:cs="Arial"/>
          <w:color w:val="1D2125"/>
          <w:sz w:val="36"/>
          <w:szCs w:val="36"/>
        </w:rPr>
        <w:t>Professions (BMHP5014)</w:t>
      </w:r>
    </w:p>
    <w:p w:rsidR="00D46920" w:rsidRPr="00FD0309" w:rsidRDefault="00D46920" w:rsidP="00713483">
      <w:pPr>
        <w:spacing w:line="360" w:lineRule="auto"/>
        <w:jc w:val="center"/>
        <w:rPr>
          <w:rStyle w:val="Strong"/>
          <w:rFonts w:ascii="Arial" w:hAnsi="Arial" w:cs="Arial"/>
          <w:b w:val="0"/>
          <w:bCs w:val="0"/>
          <w:color w:val="1D2125"/>
          <w:sz w:val="32"/>
          <w:szCs w:val="32"/>
        </w:rPr>
      </w:pPr>
      <w:r w:rsidRPr="00FD0309">
        <w:rPr>
          <w:rFonts w:ascii="Arial" w:hAnsi="Arial" w:cs="Arial"/>
          <w:b/>
          <w:bCs/>
          <w:color w:val="000000"/>
          <w:sz w:val="32"/>
          <w:szCs w:val="32"/>
        </w:rPr>
        <w:t>Component 1:</w:t>
      </w:r>
      <w:r w:rsidRPr="00FD0309">
        <w:rPr>
          <w:rFonts w:ascii="Arial" w:hAnsi="Arial" w:cs="Arial"/>
        </w:rPr>
        <w:t xml:space="preserve"> </w:t>
      </w:r>
      <w:r w:rsidRPr="00FD0309">
        <w:rPr>
          <w:rFonts w:ascii="Arial" w:hAnsi="Arial" w:cs="Arial"/>
          <w:b/>
          <w:bCs/>
          <w:color w:val="000000"/>
          <w:sz w:val="32"/>
          <w:szCs w:val="32"/>
        </w:rPr>
        <w:t>Online portfolio of set exercises</w:t>
      </w:r>
    </w:p>
    <w:p w:rsidR="00D46920" w:rsidRPr="00FD0309" w:rsidRDefault="00D46920" w:rsidP="00713483">
      <w:pPr>
        <w:spacing w:line="360" w:lineRule="auto"/>
        <w:jc w:val="center"/>
        <w:rPr>
          <w:rStyle w:val="Strong"/>
          <w:rFonts w:ascii="Arial" w:hAnsi="Arial" w:cs="Arial"/>
          <w:color w:val="1D2125"/>
          <w:sz w:val="32"/>
          <w:szCs w:val="32"/>
        </w:rPr>
      </w:pPr>
      <w:r w:rsidRPr="00FD0309">
        <w:rPr>
          <w:rStyle w:val="Strong"/>
          <w:rFonts w:ascii="Arial" w:hAnsi="Arial" w:cs="Arial"/>
          <w:color w:val="1D2125"/>
          <w:sz w:val="32"/>
          <w:szCs w:val="32"/>
        </w:rPr>
        <w:t>Student name:</w:t>
      </w:r>
      <w:r w:rsidR="00713483">
        <w:rPr>
          <w:rStyle w:val="Strong"/>
          <w:rFonts w:ascii="Arial" w:hAnsi="Arial" w:cs="Arial"/>
          <w:color w:val="1D2125"/>
          <w:sz w:val="32"/>
          <w:szCs w:val="32"/>
        </w:rPr>
        <w:t xml:space="preserve"> </w:t>
      </w:r>
      <w:proofErr w:type="spellStart"/>
      <w:r w:rsidR="00713483">
        <w:rPr>
          <w:rStyle w:val="Strong"/>
          <w:rFonts w:ascii="Arial" w:hAnsi="Arial" w:cs="Arial"/>
          <w:color w:val="1D2125"/>
          <w:sz w:val="32"/>
          <w:szCs w:val="32"/>
        </w:rPr>
        <w:t>Romana</w:t>
      </w:r>
      <w:proofErr w:type="spellEnd"/>
      <w:r w:rsidR="00713483">
        <w:rPr>
          <w:rStyle w:val="Strong"/>
          <w:rFonts w:ascii="Arial" w:hAnsi="Arial" w:cs="Arial"/>
          <w:color w:val="1D2125"/>
          <w:sz w:val="32"/>
          <w:szCs w:val="32"/>
        </w:rPr>
        <w:t xml:space="preserve"> Begum </w:t>
      </w:r>
      <w:proofErr w:type="spellStart"/>
      <w:r w:rsidR="00713483">
        <w:rPr>
          <w:rStyle w:val="Strong"/>
          <w:rFonts w:ascii="Arial" w:hAnsi="Arial" w:cs="Arial"/>
          <w:color w:val="1D2125"/>
          <w:sz w:val="32"/>
          <w:szCs w:val="32"/>
        </w:rPr>
        <w:t>Chowdury</w:t>
      </w:r>
      <w:proofErr w:type="spellEnd"/>
    </w:p>
    <w:p w:rsidR="00D46920" w:rsidRPr="00FD0309" w:rsidRDefault="00D46920" w:rsidP="00713483">
      <w:pPr>
        <w:spacing w:line="360" w:lineRule="auto"/>
        <w:jc w:val="center"/>
        <w:rPr>
          <w:rStyle w:val="Strong"/>
          <w:rFonts w:ascii="Arial" w:hAnsi="Arial" w:cs="Arial"/>
          <w:color w:val="1D2125"/>
          <w:sz w:val="32"/>
          <w:szCs w:val="32"/>
        </w:rPr>
      </w:pPr>
      <w:r w:rsidRPr="00FD0309">
        <w:rPr>
          <w:rStyle w:val="Strong"/>
          <w:rFonts w:ascii="Arial" w:hAnsi="Arial" w:cs="Arial"/>
          <w:color w:val="1D2125"/>
          <w:sz w:val="32"/>
          <w:szCs w:val="32"/>
        </w:rPr>
        <w:t>Student number:</w:t>
      </w:r>
      <w:r w:rsidR="00713483">
        <w:rPr>
          <w:rStyle w:val="Strong"/>
          <w:rFonts w:ascii="Arial" w:hAnsi="Arial" w:cs="Arial"/>
          <w:color w:val="1D2125"/>
          <w:sz w:val="32"/>
          <w:szCs w:val="32"/>
        </w:rPr>
        <w:t xml:space="preserve"> 2229137</w:t>
      </w:r>
    </w:p>
    <w:p w:rsidR="00D46920" w:rsidRPr="00FD0309" w:rsidRDefault="00D46920" w:rsidP="00713483">
      <w:pPr>
        <w:spacing w:line="360" w:lineRule="auto"/>
        <w:jc w:val="center"/>
        <w:rPr>
          <w:rStyle w:val="Strong"/>
          <w:rFonts w:ascii="Arial" w:hAnsi="Arial" w:cs="Arial"/>
          <w:color w:val="1D2125"/>
          <w:sz w:val="32"/>
          <w:szCs w:val="32"/>
        </w:rPr>
      </w:pPr>
      <w:r w:rsidRPr="00FD0309">
        <w:rPr>
          <w:rStyle w:val="Strong"/>
          <w:rFonts w:ascii="Arial" w:hAnsi="Arial" w:cs="Arial"/>
          <w:color w:val="1D2125"/>
          <w:sz w:val="32"/>
          <w:szCs w:val="32"/>
        </w:rPr>
        <w:t>Lecturer’s name:</w:t>
      </w:r>
      <w:r w:rsidR="00713483">
        <w:rPr>
          <w:rStyle w:val="Strong"/>
          <w:rFonts w:ascii="Arial" w:hAnsi="Arial" w:cs="Arial"/>
          <w:color w:val="1D2125"/>
          <w:sz w:val="32"/>
          <w:szCs w:val="32"/>
        </w:rPr>
        <w:t xml:space="preserve"> Brian </w:t>
      </w:r>
      <w:proofErr w:type="spellStart"/>
      <w:r w:rsidR="00713483">
        <w:rPr>
          <w:rStyle w:val="Strong"/>
          <w:rFonts w:ascii="Arial" w:hAnsi="Arial" w:cs="Arial"/>
          <w:color w:val="1D2125"/>
          <w:sz w:val="32"/>
          <w:szCs w:val="32"/>
        </w:rPr>
        <w:t>Mashumba</w:t>
      </w:r>
      <w:proofErr w:type="spellEnd"/>
    </w:p>
    <w:p w:rsidR="00D46920" w:rsidRPr="00FD0309" w:rsidRDefault="00D46920" w:rsidP="00FD0309">
      <w:pPr>
        <w:spacing w:line="360" w:lineRule="auto"/>
        <w:rPr>
          <w:rFonts w:ascii="Arial" w:hAnsi="Arial" w:cs="Arial"/>
          <w:sz w:val="36"/>
          <w:szCs w:val="36"/>
        </w:rPr>
      </w:pPr>
    </w:p>
    <w:p w:rsidR="00D46920" w:rsidRDefault="00D46920" w:rsidP="00FD0309">
      <w:pPr>
        <w:spacing w:line="360" w:lineRule="auto"/>
        <w:rPr>
          <w:rFonts w:ascii="Arial" w:hAnsi="Arial" w:cs="Arial"/>
          <w:sz w:val="36"/>
          <w:szCs w:val="36"/>
        </w:rPr>
      </w:pPr>
    </w:p>
    <w:p w:rsidR="00713483" w:rsidRDefault="00713483" w:rsidP="00FD0309">
      <w:pPr>
        <w:spacing w:line="360" w:lineRule="auto"/>
        <w:rPr>
          <w:rFonts w:ascii="Arial" w:hAnsi="Arial" w:cs="Arial"/>
          <w:sz w:val="36"/>
          <w:szCs w:val="36"/>
        </w:rPr>
      </w:pPr>
    </w:p>
    <w:p w:rsidR="00713483" w:rsidRDefault="00713483" w:rsidP="00FD0309">
      <w:pPr>
        <w:spacing w:line="360" w:lineRule="auto"/>
        <w:rPr>
          <w:rFonts w:ascii="Arial" w:hAnsi="Arial" w:cs="Arial"/>
          <w:sz w:val="36"/>
          <w:szCs w:val="36"/>
        </w:rPr>
      </w:pPr>
    </w:p>
    <w:p w:rsidR="00713483" w:rsidRDefault="00713483" w:rsidP="00FD0309">
      <w:pPr>
        <w:spacing w:line="360" w:lineRule="auto"/>
        <w:rPr>
          <w:rFonts w:ascii="Arial" w:hAnsi="Arial" w:cs="Arial"/>
          <w:sz w:val="36"/>
          <w:szCs w:val="36"/>
        </w:rPr>
      </w:pPr>
    </w:p>
    <w:p w:rsidR="00713483" w:rsidRDefault="00713483" w:rsidP="00FD0309">
      <w:pPr>
        <w:spacing w:line="360" w:lineRule="auto"/>
        <w:rPr>
          <w:rFonts w:ascii="Arial" w:hAnsi="Arial" w:cs="Arial"/>
          <w:sz w:val="36"/>
          <w:szCs w:val="36"/>
        </w:rPr>
      </w:pPr>
    </w:p>
    <w:p w:rsidR="00713483" w:rsidRDefault="00713483" w:rsidP="00FD0309">
      <w:pPr>
        <w:spacing w:line="360" w:lineRule="auto"/>
        <w:rPr>
          <w:rFonts w:ascii="Arial" w:hAnsi="Arial" w:cs="Arial"/>
          <w:sz w:val="36"/>
          <w:szCs w:val="36"/>
        </w:rPr>
      </w:pPr>
    </w:p>
    <w:p w:rsidR="00713483" w:rsidRPr="00FD0309" w:rsidRDefault="00713483" w:rsidP="00FD0309">
      <w:pPr>
        <w:spacing w:line="360" w:lineRule="auto"/>
        <w:rPr>
          <w:rFonts w:ascii="Arial" w:hAnsi="Arial" w:cs="Arial"/>
          <w:sz w:val="36"/>
          <w:szCs w:val="36"/>
        </w:rPr>
      </w:pPr>
    </w:p>
    <w:p w:rsidR="00D46920" w:rsidRPr="00FD0309" w:rsidRDefault="00D46920" w:rsidP="00FD0309">
      <w:pPr>
        <w:spacing w:line="360" w:lineRule="auto"/>
        <w:rPr>
          <w:rFonts w:ascii="Arial" w:hAnsi="Arial" w:cs="Arial"/>
          <w:sz w:val="36"/>
          <w:szCs w:val="36"/>
        </w:rPr>
      </w:pPr>
    </w:p>
    <w:p w:rsidR="00D46920" w:rsidRPr="00FD0309" w:rsidRDefault="00D46920" w:rsidP="00FD0309">
      <w:pPr>
        <w:spacing w:line="360" w:lineRule="auto"/>
        <w:rPr>
          <w:rFonts w:ascii="Arial" w:hAnsi="Arial" w:cs="Arial"/>
          <w:sz w:val="36"/>
          <w:szCs w:val="36"/>
        </w:rPr>
      </w:pPr>
    </w:p>
    <w:sdt>
      <w:sdtPr>
        <w:rPr>
          <w:rFonts w:ascii="Arial" w:eastAsia="Aptos" w:hAnsi="Arial" w:cs="Arial"/>
          <w:b/>
          <w:bCs/>
          <w:color w:val="auto"/>
          <w:kern w:val="2"/>
          <w:sz w:val="24"/>
          <w:szCs w:val="24"/>
          <w:lang w:val="en-GB"/>
        </w:rPr>
        <w:id w:val="1878736930"/>
        <w:docPartObj>
          <w:docPartGallery w:val="Table of Contents"/>
          <w:docPartUnique/>
        </w:docPartObj>
      </w:sdtPr>
      <w:sdtEndPr>
        <w:rPr>
          <w:rFonts w:ascii="Aptos" w:hAnsi="Aptos" w:cs="Times New Roman"/>
          <w:noProof/>
        </w:rPr>
      </w:sdtEndPr>
      <w:sdtContent>
        <w:p w:rsidR="00FD0309" w:rsidRPr="00FD0309" w:rsidRDefault="00FD0309" w:rsidP="00FD0309">
          <w:pPr>
            <w:pStyle w:val="TOCHeading"/>
            <w:spacing w:line="360" w:lineRule="auto"/>
            <w:jc w:val="center"/>
            <w:rPr>
              <w:rFonts w:ascii="Arial" w:hAnsi="Arial" w:cs="Arial"/>
            </w:rPr>
          </w:pPr>
          <w:r w:rsidRPr="00FD0309">
            <w:rPr>
              <w:rFonts w:ascii="Arial" w:hAnsi="Arial" w:cs="Arial"/>
            </w:rPr>
            <w:t>Table of Contents</w:t>
          </w:r>
        </w:p>
        <w:p w:rsidR="00FD0309" w:rsidRPr="00FD0309" w:rsidRDefault="00515E8F" w:rsidP="00FD0309">
          <w:pPr>
            <w:pStyle w:val="TOC1"/>
            <w:tabs>
              <w:tab w:val="right" w:leader="dot" w:pos="9016"/>
            </w:tabs>
            <w:spacing w:line="360" w:lineRule="auto"/>
            <w:rPr>
              <w:rFonts w:ascii="Arial" w:hAnsi="Arial" w:cs="Arial"/>
              <w:noProof/>
            </w:rPr>
          </w:pPr>
          <w:r w:rsidRPr="00515E8F">
            <w:rPr>
              <w:rFonts w:ascii="Arial" w:hAnsi="Arial" w:cs="Arial"/>
            </w:rPr>
            <w:fldChar w:fldCharType="begin"/>
          </w:r>
          <w:r w:rsidR="00FD0309" w:rsidRPr="00FD0309">
            <w:rPr>
              <w:rFonts w:ascii="Arial" w:hAnsi="Arial" w:cs="Arial"/>
            </w:rPr>
            <w:instrText xml:space="preserve"> TOC \o "1-3" \h \z \u </w:instrText>
          </w:r>
          <w:r w:rsidRPr="00515E8F">
            <w:rPr>
              <w:rFonts w:ascii="Arial" w:hAnsi="Arial" w:cs="Arial"/>
            </w:rPr>
            <w:fldChar w:fldCharType="separate"/>
          </w:r>
          <w:hyperlink w:anchor="_Toc233487540" w:history="1">
            <w:r w:rsidR="00FD0309" w:rsidRPr="00FD0309">
              <w:rPr>
                <w:rStyle w:val="Hyperlink"/>
                <w:rFonts w:ascii="Arial" w:eastAsia="Times New Roman" w:hAnsi="Arial" w:cs="Arial"/>
                <w:noProof/>
              </w:rPr>
              <w:t>Introduction</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_Toc233487540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3</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1" w:history="1">
            <w:r w:rsidR="00FD0309" w:rsidRPr="00FD0309">
              <w:rPr>
                <w:rStyle w:val="Hyperlink"/>
                <w:rFonts w:ascii="Arial" w:eastAsia="Times New Roman" w:hAnsi="Arial" w:cs="Arial"/>
                <w:noProof/>
              </w:rPr>
              <w:t>Task 1: Defining Key Concepts in Practice</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_Toc233487541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3</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2" w:history="1">
            <w:r w:rsidR="00FD0309" w:rsidRPr="00FD0309">
              <w:rPr>
                <w:rStyle w:val="Hyperlink"/>
                <w:rFonts w:ascii="Arial" w:eastAsia="Times New Roman" w:hAnsi="Arial" w:cs="Arial"/>
                <w:noProof/>
              </w:rPr>
              <w:t>Task 2: Mind Map – NHS Waiting Times</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_Toc233487542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4</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3" w:history="1">
            <w:r w:rsidR="00FD0309" w:rsidRPr="00FD0309">
              <w:rPr>
                <w:rStyle w:val="Hyperlink"/>
                <w:rFonts w:ascii="Arial" w:eastAsia="Times New Roman" w:hAnsi="Arial" w:cs="Arial"/>
                <w:noProof/>
              </w:rPr>
              <w:t>Task 3: Reflection on Convergent and Divergent Thinking Activity</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_Toc233487543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5</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4" w:history="1">
            <w:r w:rsidR="00FD0309" w:rsidRPr="00FD0309">
              <w:rPr>
                <w:rStyle w:val="Hyperlink"/>
                <w:rFonts w:ascii="Arial" w:eastAsia="Times New Roman" w:hAnsi="Arial" w:cs="Arial"/>
                <w:noProof/>
              </w:rPr>
              <w:t>Task 4: Case Study Analysis of UK Innovation</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_Toc233487544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5</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5" w:history="1">
            <w:r w:rsidR="00FD0309" w:rsidRPr="00FD0309">
              <w:rPr>
                <w:rStyle w:val="Hyperlink"/>
                <w:rFonts w:ascii="Arial" w:eastAsia="Times New Roman" w:hAnsi="Arial" w:cs="Arial"/>
                <w:noProof/>
              </w:rPr>
              <w:t>Task 5: Research Task</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_Toc233487545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6</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6" w:history="1">
            <w:r w:rsidR="00FD0309" w:rsidRPr="00FD0309">
              <w:rPr>
                <w:rStyle w:val="Hyperlink"/>
                <w:rFonts w:ascii="Arial" w:eastAsia="Times New Roman" w:hAnsi="Arial" w:cs="Arial"/>
                <w:noProof/>
              </w:rPr>
              <w:t>Task 6: Exploring Digital Innovation in Health and Social Care</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_Toc233487546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7</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7" w:history="1">
            <w:r w:rsidR="00FD0309" w:rsidRPr="00FD0309">
              <w:rPr>
                <w:rStyle w:val="Hyperlink"/>
                <w:rFonts w:ascii="Arial" w:eastAsia="Times New Roman" w:hAnsi="Arial" w:cs="Arial"/>
                <w:noProof/>
              </w:rPr>
              <w:t>Task 7: NHS Leadership Framework</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_Toc233487547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8</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8" w:history="1">
            <w:r w:rsidR="00FD0309" w:rsidRPr="00FD0309">
              <w:rPr>
                <w:rStyle w:val="Hyperlink"/>
                <w:rFonts w:ascii="Arial" w:eastAsia="Times New Roman" w:hAnsi="Arial" w:cs="Arial"/>
                <w:noProof/>
              </w:rPr>
              <w:t>Task 8: Self-Reflection Journal Entry</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_Toc233487548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9</w:t>
            </w:r>
            <w:r w:rsidRPr="00FD0309">
              <w:rPr>
                <w:rFonts w:ascii="Arial" w:hAnsi="Arial" w:cs="Arial"/>
                <w:noProof/>
                <w:webHidden/>
              </w:rPr>
              <w:fldChar w:fldCharType="end"/>
            </w:r>
          </w:hyperlink>
        </w:p>
        <w:p w:rsidR="00FD0309" w:rsidRPr="00FD0309" w:rsidRDefault="00515E8F" w:rsidP="00FD0309">
          <w:pPr>
            <w:pStyle w:val="TOC1"/>
            <w:tabs>
              <w:tab w:val="right" w:leader="dot" w:pos="9016"/>
            </w:tabs>
            <w:spacing w:line="360" w:lineRule="auto"/>
            <w:rPr>
              <w:rFonts w:ascii="Arial" w:hAnsi="Arial" w:cs="Arial"/>
              <w:noProof/>
            </w:rPr>
          </w:pPr>
          <w:hyperlink w:anchor="_Toc233487549" w:history="1">
            <w:r w:rsidR="00FD0309" w:rsidRPr="00FD0309">
              <w:rPr>
                <w:rStyle w:val="Hyperlink"/>
                <w:rFonts w:ascii="Arial" w:eastAsia="Times New Roman" w:hAnsi="Arial" w:cs="Arial"/>
                <w:noProof/>
              </w:rPr>
              <w:t>References</w:t>
            </w:r>
            <w:r w:rsidR="00FD0309" w:rsidRPr="00FD0309">
              <w:rPr>
                <w:rFonts w:ascii="Arial" w:hAnsi="Arial" w:cs="Arial"/>
                <w:noProof/>
                <w:webHidden/>
              </w:rPr>
              <w:tab/>
            </w:r>
            <w:r w:rsidRPr="00FD0309">
              <w:rPr>
                <w:rFonts w:ascii="Arial" w:hAnsi="Arial" w:cs="Arial"/>
                <w:noProof/>
                <w:webHidden/>
              </w:rPr>
              <w:fldChar w:fldCharType="begin"/>
            </w:r>
            <w:r w:rsidR="00FD0309" w:rsidRPr="00FD0309">
              <w:rPr>
                <w:rFonts w:ascii="Arial" w:hAnsi="Arial" w:cs="Arial"/>
                <w:noProof/>
                <w:webHidden/>
              </w:rPr>
              <w:instrText xml:space="preserve"> PAGEREF _Toc233487549 \h </w:instrText>
            </w:r>
            <w:r w:rsidRPr="00FD0309">
              <w:rPr>
                <w:rFonts w:ascii="Arial" w:hAnsi="Arial" w:cs="Arial"/>
                <w:noProof/>
                <w:webHidden/>
              </w:rPr>
            </w:r>
            <w:r w:rsidRPr="00FD0309">
              <w:rPr>
                <w:rFonts w:ascii="Arial" w:hAnsi="Arial" w:cs="Arial"/>
                <w:noProof/>
                <w:webHidden/>
              </w:rPr>
              <w:fldChar w:fldCharType="separate"/>
            </w:r>
            <w:r w:rsidR="00FD0309">
              <w:rPr>
                <w:rFonts w:ascii="Arial" w:hAnsi="Arial" w:cs="Arial"/>
                <w:noProof/>
                <w:webHidden/>
              </w:rPr>
              <w:t>10</w:t>
            </w:r>
            <w:r w:rsidRPr="00FD0309">
              <w:rPr>
                <w:rFonts w:ascii="Arial" w:hAnsi="Arial" w:cs="Arial"/>
                <w:noProof/>
                <w:webHidden/>
              </w:rPr>
              <w:fldChar w:fldCharType="end"/>
            </w:r>
          </w:hyperlink>
        </w:p>
        <w:p w:rsidR="00FD0309" w:rsidRDefault="00515E8F" w:rsidP="00FD0309">
          <w:pPr>
            <w:spacing w:line="360" w:lineRule="auto"/>
          </w:pPr>
          <w:r w:rsidRPr="00FD0309">
            <w:rPr>
              <w:rFonts w:ascii="Arial" w:hAnsi="Arial" w:cs="Arial"/>
              <w:b/>
              <w:bCs/>
              <w:noProof/>
            </w:rPr>
            <w:fldChar w:fldCharType="end"/>
          </w:r>
        </w:p>
      </w:sdtContent>
    </w:sdt>
    <w:p w:rsidR="00FD0309" w:rsidRPr="00FD0309" w:rsidRDefault="00FD0309" w:rsidP="00FD0309">
      <w:pPr>
        <w:spacing w:line="360" w:lineRule="auto"/>
        <w:rPr>
          <w:rFonts w:ascii="Arial" w:eastAsia="Times New Roman" w:hAnsi="Arial" w:cs="Arial"/>
          <w:b/>
          <w:bCs/>
          <w:color w:val="000000"/>
          <w:kern w:val="0"/>
          <w:lang w:eastAsia="en-GB"/>
        </w:rPr>
      </w:pPr>
      <w:r w:rsidRPr="00FD0309">
        <w:rPr>
          <w:rFonts w:ascii="Arial" w:hAnsi="Arial" w:cs="Arial"/>
          <w:b/>
          <w:bCs/>
          <w:color w:val="000000"/>
        </w:rPr>
        <w:br w:type="page"/>
      </w:r>
    </w:p>
    <w:p w:rsidR="00FD0309" w:rsidRPr="00FD0309" w:rsidRDefault="00FD0309" w:rsidP="00FD0309">
      <w:pPr>
        <w:pStyle w:val="Heading1"/>
        <w:spacing w:line="360" w:lineRule="auto"/>
        <w:jc w:val="both"/>
        <w:rPr>
          <w:rFonts w:ascii="Arial" w:eastAsia="Times New Roman" w:hAnsi="Arial" w:cs="Arial"/>
        </w:rPr>
      </w:pPr>
      <w:bookmarkStart w:id="0" w:name="_Toc233487540"/>
      <w:r w:rsidRPr="00FD0309">
        <w:rPr>
          <w:rFonts w:ascii="Arial" w:eastAsia="Times New Roman" w:hAnsi="Arial" w:cs="Arial"/>
        </w:rPr>
        <w:lastRenderedPageBreak/>
        <w:t>Introduction</w:t>
      </w:r>
      <w:bookmarkEnd w:id="0"/>
    </w:p>
    <w:p w:rsid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purpose of this portfolio is to show understanding and application of creativity, innovation, leadership and digital technology in the context of the current health and social care practice. These concepts are critical to enhancing service quality, mitigating workforce pressures and driving value for the patient and healthcare organisations. Efficient and patient-centred delivery of care has become more important because of innovation and technology, especially in the context of the National Health Service (NHS) (Wachter, 2016). The NHS is facing one major challenge – longer waiting times due to a growing demand from the population, a shortage in staff and an ageing society. Solutions to these challenges involve creative solutions, the need for effective leadership and successful organisational change.</w:t>
      </w:r>
    </w:p>
    <w:p w:rsidR="00FD0309" w:rsidRPr="00FD0309" w:rsidRDefault="007A3B01" w:rsidP="00FD0309">
      <w:pPr>
        <w:pStyle w:val="Heading1"/>
        <w:spacing w:line="360" w:lineRule="auto"/>
        <w:jc w:val="both"/>
        <w:rPr>
          <w:rFonts w:ascii="Arial" w:eastAsia="Times New Roman" w:hAnsi="Arial" w:cs="Arial"/>
        </w:rPr>
      </w:pPr>
      <w:bookmarkStart w:id="1" w:name="_Toc233487541"/>
      <w:r>
        <w:rPr>
          <w:rFonts w:ascii="Arial" w:eastAsia="Times New Roman" w:hAnsi="Arial" w:cs="Arial"/>
          <w:noProof/>
          <w:lang w:eastAsia="en-GB"/>
        </w:rPr>
        <w:drawing>
          <wp:anchor distT="0" distB="0" distL="114300" distR="114300" simplePos="0" relativeHeight="251659264" behindDoc="0" locked="0" layoutInCell="1" allowOverlap="1">
            <wp:simplePos x="0" y="0"/>
            <wp:positionH relativeFrom="column">
              <wp:posOffset>4549775</wp:posOffset>
            </wp:positionH>
            <wp:positionV relativeFrom="paragraph">
              <wp:posOffset>923290</wp:posOffset>
            </wp:positionV>
            <wp:extent cx="1397000" cy="3138805"/>
            <wp:effectExtent l="133350" t="76200" r="107950" b="8064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97000" cy="31388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D0309" w:rsidRPr="00FD0309">
        <w:rPr>
          <w:rFonts w:ascii="Arial" w:eastAsia="Times New Roman" w:hAnsi="Arial" w:cs="Arial"/>
        </w:rPr>
        <w:t>Task 1: Defining Key Concepts in Practice</w:t>
      </w:r>
      <w:bookmarkEnd w:id="1"/>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Innovation</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Innovation is defined as new ideas, services/technologies that are introduced and implemented into organisations which enhance performance and outcomes. For health and social care, innovation is a crucial way of enhancing efficiency and lowering costs and enhancing patient experiences (Grossman and Hwang, 2009). For instance, virtual wards care for patients in their homes with hospital level care based on remote monitoring. The diffusion of such innovations and their acceptance within organisations over time can be understood through Rogers' Diffusion of Innovation Theory (Rogers, 2003).</w:t>
      </w:r>
    </w:p>
    <w:p w:rsidR="007A3B01" w:rsidRDefault="007A3B01" w:rsidP="00FD0309">
      <w:pPr>
        <w:pStyle w:val="NormalWeb"/>
        <w:spacing w:line="360" w:lineRule="auto"/>
        <w:jc w:val="both"/>
        <w:rPr>
          <w:rFonts w:ascii="Arial" w:hAnsi="Arial" w:cs="Arial"/>
          <w:b/>
          <w:bCs/>
          <w:color w:val="000000"/>
        </w:rPr>
      </w:pPr>
      <w:r>
        <w:rPr>
          <w:rFonts w:ascii="Arial" w:hAnsi="Arial" w:cs="Arial"/>
          <w:b/>
          <w:bCs/>
          <w:noProof/>
          <w:color w:val="000000"/>
        </w:rPr>
        <w:drawing>
          <wp:anchor distT="0" distB="0" distL="114300" distR="114300" simplePos="0" relativeHeight="251660288" behindDoc="1" locked="0" layoutInCell="1" allowOverlap="1">
            <wp:simplePos x="0" y="0"/>
            <wp:positionH relativeFrom="column">
              <wp:posOffset>-193040</wp:posOffset>
            </wp:positionH>
            <wp:positionV relativeFrom="paragraph">
              <wp:posOffset>50165</wp:posOffset>
            </wp:positionV>
            <wp:extent cx="976630" cy="1603375"/>
            <wp:effectExtent l="1905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976630" cy="1603375"/>
                    </a:xfrm>
                    <a:prstGeom prst="rect">
                      <a:avLst/>
                    </a:prstGeom>
                    <a:noFill/>
                    <a:ln w="9525">
                      <a:noFill/>
                      <a:miter lim="800000"/>
                      <a:headEnd/>
                      <a:tailEnd/>
                    </a:ln>
                  </pic:spPr>
                </pic:pic>
              </a:graphicData>
            </a:graphic>
          </wp:anchor>
        </w:drawing>
      </w:r>
    </w:p>
    <w:p w:rsidR="007A3B01" w:rsidRDefault="007A3B01" w:rsidP="00FD0309">
      <w:pPr>
        <w:pStyle w:val="NormalWeb"/>
        <w:spacing w:line="360" w:lineRule="auto"/>
        <w:jc w:val="both"/>
        <w:rPr>
          <w:rFonts w:ascii="Arial" w:hAnsi="Arial" w:cs="Arial"/>
          <w:b/>
          <w:bCs/>
          <w:color w:val="000000"/>
        </w:rPr>
      </w:pPr>
    </w:p>
    <w:p w:rsidR="007A3B01" w:rsidRDefault="007A3B01" w:rsidP="00FD0309">
      <w:pPr>
        <w:pStyle w:val="NormalWeb"/>
        <w:spacing w:line="360" w:lineRule="auto"/>
        <w:jc w:val="both"/>
        <w:rPr>
          <w:rFonts w:ascii="Arial" w:hAnsi="Arial" w:cs="Arial"/>
          <w:b/>
          <w:bCs/>
          <w:color w:val="000000"/>
        </w:rPr>
      </w:pPr>
      <w:r w:rsidRPr="007A3B01">
        <w:rPr>
          <w:rFonts w:ascii="Arial" w:hAnsi="Arial" w:cs="Arial"/>
          <w:b/>
          <w:bCs/>
          <w:noProof/>
          <w:color w:val="000000"/>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72.45pt;margin-top:6.05pt;width:192.5pt;height:22.55pt;z-index:251662336;mso-width-relative:margin;mso-height-relative:margin" stroked="f">
            <v:textbox>
              <w:txbxContent>
                <w:p w:rsidR="007A3B01" w:rsidRPr="007A3B01" w:rsidRDefault="007A3B01">
                  <w:pPr>
                    <w:rPr>
                      <w:b/>
                    </w:rPr>
                  </w:pPr>
                  <w:r w:rsidRPr="007A3B01">
                    <w:rPr>
                      <w:b/>
                    </w:rPr>
                    <w:t>Screenshot of my class week 1</w:t>
                  </w:r>
                </w:p>
              </w:txbxContent>
            </v:textbox>
          </v:shape>
        </w:pic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lastRenderedPageBreak/>
        <w:t>Creativity</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Creativity is the ability to produce new and valuable ideas that can lead to problem solving and/or enhancement of practices. In the medical field, creativity helps in developing patient-</w:t>
      </w:r>
      <w:proofErr w:type="spellStart"/>
      <w:r w:rsidRPr="00FD0309">
        <w:rPr>
          <w:rFonts w:ascii="Arial" w:hAnsi="Arial" w:cs="Arial"/>
          <w:color w:val="000000"/>
        </w:rPr>
        <w:t>centered</w:t>
      </w:r>
      <w:proofErr w:type="spellEnd"/>
      <w:r w:rsidRPr="00FD0309">
        <w:rPr>
          <w:rFonts w:ascii="Arial" w:hAnsi="Arial" w:cs="Arial"/>
          <w:color w:val="000000"/>
        </w:rPr>
        <w:t xml:space="preserve"> solutions and responding to the evolving needs of healthcare services. Creativity in healthcare delivery has been seen during and after the COVID-19 pandemic as rapid implementation of remote consultations has occurred. The interaction of ‘expertise', ‘creative-thinking skills' and ‘motivation' are the three components of Amabile's Componential Theory of Creativity (Amabile, 2011). Thus, supportive organisation contexts are required to promote innovative practice.</w: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Value Creation</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Value creation in healthcare is about enhancing patient outcomes with efficient resource use. Value creation becomes more and more crucial because of requirements of financial pressures and rising demand for healthcare. For instance, digital monitoring systems can minimize unnecessary admissions to hospital, while still providing a high quality of care. Porter (2010) suggests that the value of healthcare should be evaluated in terms of patient outcomes delivered per the dollars spent on care. This value-based approach is designed to help organisations focus on effectiveness and patient wellbeing instead of services delivered.</w: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Change</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Change involves the process of transitioning organisations from old practices to better ways of working. Demographic pressures, technological developments and patient expectations are constantly changing and so change is needed in health and social care. This is a continuing example of organisational change, as seen in the NHS digital transformation programmes for electronic health records and artificial intelligence systems (Wachter, 2016). According to Lewin's Change Management Model, behaviours can be changed by "unfreezing" old behaviours, introducing new behaviours, and "refreezing" new behaviours so they become part of the day-to-day routine (Burnes, 2007).</w:t>
      </w:r>
    </w:p>
    <w:p w:rsidR="00FD0309" w:rsidRPr="00FD0309" w:rsidRDefault="00FD0309" w:rsidP="00FD0309">
      <w:pPr>
        <w:pStyle w:val="Heading1"/>
        <w:spacing w:line="360" w:lineRule="auto"/>
        <w:jc w:val="both"/>
        <w:rPr>
          <w:rFonts w:ascii="Arial" w:eastAsia="Times New Roman" w:hAnsi="Arial" w:cs="Arial"/>
        </w:rPr>
      </w:pPr>
      <w:bookmarkStart w:id="2" w:name="_Toc233487542"/>
      <w:r w:rsidRPr="00FD0309">
        <w:rPr>
          <w:rFonts w:ascii="Arial" w:eastAsia="Times New Roman" w:hAnsi="Arial" w:cs="Arial"/>
        </w:rPr>
        <w:lastRenderedPageBreak/>
        <w:t>Task 2: Mind Map – NHS Waiting Times</w:t>
      </w:r>
      <w:bookmarkEnd w:id="2"/>
    </w:p>
    <w:p w:rsidR="00FD0309" w:rsidRDefault="00CD48DA" w:rsidP="00FD0309">
      <w:pPr>
        <w:pStyle w:val="NormalWeb"/>
        <w:spacing w:line="360" w:lineRule="auto"/>
        <w:jc w:val="both"/>
        <w:rPr>
          <w:rFonts w:ascii="Arial" w:hAnsi="Arial" w:cs="Arial"/>
          <w:color w:val="000000"/>
        </w:rPr>
      </w:pPr>
      <w:r>
        <w:rPr>
          <w:rFonts w:ascii="Arial" w:hAnsi="Arial" w:cs="Arial"/>
          <w:noProof/>
          <w:color w:val="000000"/>
        </w:rPr>
        <w:drawing>
          <wp:anchor distT="0" distB="0" distL="114300" distR="114300" simplePos="0" relativeHeight="251663360" behindDoc="0" locked="0" layoutInCell="1" allowOverlap="1">
            <wp:simplePos x="0" y="0"/>
            <wp:positionH relativeFrom="column">
              <wp:posOffset>4726940</wp:posOffset>
            </wp:positionH>
            <wp:positionV relativeFrom="paragraph">
              <wp:posOffset>83820</wp:posOffset>
            </wp:positionV>
            <wp:extent cx="1263650" cy="3077210"/>
            <wp:effectExtent l="19050" t="0" r="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263650" cy="3077210"/>
                    </a:xfrm>
                    <a:prstGeom prst="rect">
                      <a:avLst/>
                    </a:prstGeom>
                    <a:noFill/>
                    <a:ln w="9525">
                      <a:noFill/>
                      <a:miter lim="800000"/>
                      <a:headEnd/>
                      <a:tailEnd/>
                    </a:ln>
                  </pic:spPr>
                </pic:pic>
              </a:graphicData>
            </a:graphic>
          </wp:anchor>
        </w:drawing>
      </w:r>
      <w:r w:rsidR="00FD0309" w:rsidRPr="00FD0309">
        <w:rPr>
          <w:rFonts w:ascii="Arial" w:hAnsi="Arial" w:cs="Arial"/>
          <w:color w:val="000000"/>
        </w:rPr>
        <w:t xml:space="preserve">The main problem that has been identified from the mind map is that there is a rise in waiting times at the NHS. Staff shortages, rising patient needs, an aging population and administrative inefficiency are all contributing to this issue. This contributes to late diagnosis, more staff burnout, and worse outcomes for patients, all of which can further stress the health care system (Maslach and Leiter, 2016). Potential answers are for virtual wards to expand, for AI-powered triage systems to be introduced, and for more use of community-based care services and for the sharing of more of electronic health records. Adopting </w:t>
      </w:r>
      <w:proofErr w:type="gramStart"/>
      <w:r w:rsidR="00FD0309" w:rsidRPr="00FD0309">
        <w:rPr>
          <w:rFonts w:ascii="Arial" w:hAnsi="Arial" w:cs="Arial"/>
          <w:color w:val="000000"/>
        </w:rPr>
        <w:t>a systems</w:t>
      </w:r>
      <w:proofErr w:type="gramEnd"/>
      <w:r w:rsidR="00FD0309" w:rsidRPr="00FD0309">
        <w:rPr>
          <w:rFonts w:ascii="Arial" w:hAnsi="Arial" w:cs="Arial"/>
          <w:color w:val="000000"/>
        </w:rPr>
        <w:t xml:space="preserve"> thinking perspective emphasizes that healthcare problems can come from a series of interactions throughout the care system and not from a single cause (Meadows, 2008).</w:t>
      </w:r>
      <w:r w:rsidR="007A3B01" w:rsidRPr="007A3B01">
        <w:rPr>
          <w:rFonts w:ascii="Arial" w:hAnsi="Arial" w:cs="Arial"/>
          <w:color w:val="000000"/>
        </w:rPr>
        <w:t xml:space="preserve"> </w:t>
      </w:r>
    </w:p>
    <w:p w:rsidR="00FD0309" w:rsidRDefault="00DE61B4" w:rsidP="00DE61B4">
      <w:pPr>
        <w:pStyle w:val="Heading1"/>
        <w:spacing w:before="0" w:after="0" w:line="240" w:lineRule="auto"/>
        <w:jc w:val="both"/>
        <w:rPr>
          <w:rFonts w:ascii="Arial" w:eastAsia="Times New Roman" w:hAnsi="Arial" w:cs="Arial"/>
        </w:rPr>
      </w:pPr>
      <w:bookmarkStart w:id="3" w:name="_Toc233487543"/>
      <w:r>
        <w:rPr>
          <w:rFonts w:ascii="Arial" w:eastAsia="Times New Roman" w:hAnsi="Arial" w:cs="Arial"/>
          <w:noProof/>
          <w:lang w:eastAsia="en-GB"/>
        </w:rPr>
        <w:drawing>
          <wp:anchor distT="0" distB="0" distL="114300" distR="114300" simplePos="0" relativeHeight="251665408" behindDoc="0" locked="0" layoutInCell="1" allowOverlap="1">
            <wp:simplePos x="0" y="0"/>
            <wp:positionH relativeFrom="column">
              <wp:posOffset>3369310</wp:posOffset>
            </wp:positionH>
            <wp:positionV relativeFrom="paragraph">
              <wp:posOffset>838200</wp:posOffset>
            </wp:positionV>
            <wp:extent cx="1304290" cy="3042920"/>
            <wp:effectExtent l="19050" t="0" r="0"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304290" cy="3042920"/>
                    </a:xfrm>
                    <a:prstGeom prst="rect">
                      <a:avLst/>
                    </a:prstGeom>
                    <a:noFill/>
                    <a:ln w="9525">
                      <a:noFill/>
                      <a:miter lim="800000"/>
                      <a:headEnd/>
                      <a:tailEnd/>
                    </a:ln>
                  </pic:spPr>
                </pic:pic>
              </a:graphicData>
            </a:graphic>
          </wp:anchor>
        </w:drawing>
      </w:r>
      <w:r w:rsidR="00FD0309" w:rsidRPr="00FD0309">
        <w:rPr>
          <w:rFonts w:ascii="Arial" w:eastAsia="Times New Roman" w:hAnsi="Arial" w:cs="Arial"/>
        </w:rPr>
        <w:t>Task 3: Reflection on Convergent and Divergent Thinking Activity</w:t>
      </w:r>
      <w:bookmarkEnd w:id="3"/>
      <w:r w:rsidR="00FD0309" w:rsidRPr="00FD0309">
        <w:rPr>
          <w:rFonts w:ascii="Arial" w:eastAsia="Times New Roman" w:hAnsi="Arial" w:cs="Arial"/>
        </w:rPr>
        <w:t xml:space="preserve"> </w:t>
      </w:r>
    </w:p>
    <w:p w:rsidR="00DE61B4" w:rsidRPr="00DE61B4" w:rsidRDefault="00CD48DA" w:rsidP="00DE61B4">
      <w:r>
        <w:rPr>
          <w:noProof/>
          <w:lang w:eastAsia="en-GB"/>
        </w:rPr>
        <w:drawing>
          <wp:anchor distT="0" distB="0" distL="114300" distR="114300" simplePos="0" relativeHeight="251664384" behindDoc="0" locked="0" layoutInCell="1" allowOverlap="1">
            <wp:simplePos x="0" y="0"/>
            <wp:positionH relativeFrom="column">
              <wp:posOffset>4843145</wp:posOffset>
            </wp:positionH>
            <wp:positionV relativeFrom="paragraph">
              <wp:posOffset>217805</wp:posOffset>
            </wp:positionV>
            <wp:extent cx="1196975" cy="3029585"/>
            <wp:effectExtent l="19050" t="0" r="3175"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196975" cy="3029585"/>
                    </a:xfrm>
                    <a:prstGeom prst="rect">
                      <a:avLst/>
                    </a:prstGeom>
                    <a:noFill/>
                    <a:ln w="9525">
                      <a:noFill/>
                      <a:miter lim="800000"/>
                      <a:headEnd/>
                      <a:tailEnd/>
                    </a:ln>
                  </pic:spPr>
                </pic:pic>
              </a:graphicData>
            </a:graphic>
          </wp:anchor>
        </w:drawing>
      </w:r>
    </w:p>
    <w:p w:rsidR="00FD0309" w:rsidRDefault="00DE61B4" w:rsidP="00DE61B4">
      <w:pPr>
        <w:pStyle w:val="NormalWeb"/>
        <w:spacing w:before="0" w:beforeAutospacing="0" w:after="0" w:afterAutospacing="0" w:line="360" w:lineRule="auto"/>
        <w:jc w:val="both"/>
        <w:rPr>
          <w:rFonts w:ascii="Arial" w:hAnsi="Arial" w:cs="Arial"/>
          <w:color w:val="000000"/>
        </w:rPr>
      </w:pPr>
      <w:r w:rsidRPr="00DE61B4">
        <w:rPr>
          <w:rFonts w:ascii="Arial" w:hAnsi="Arial" w:cs="Arial"/>
          <w:noProof/>
          <w:color w:val="000000"/>
          <w:lang w:val="en-US" w:eastAsia="zh-TW"/>
        </w:rPr>
        <w:pict>
          <v:shape id="_x0000_s1027" type="#_x0000_t202" style="position:absolute;left:0;text-align:left;margin-left:278.8pt;margin-top:244.25pt;width:181.7pt;height:25.3pt;z-index:251667456;mso-width-relative:margin;mso-height-relative:margin" fillcolor="#d8d8d8 [2732]" strokecolor="gray [1629]">
            <v:textbox>
              <w:txbxContent>
                <w:p w:rsidR="00DE61B4" w:rsidRPr="00BE5E2A" w:rsidRDefault="00DE61B4" w:rsidP="00DE61B4">
                  <w:pPr>
                    <w:jc w:val="center"/>
                    <w:rPr>
                      <w:b/>
                      <w:color w:val="404040" w:themeColor="text1" w:themeTint="BF"/>
                    </w:rPr>
                  </w:pPr>
                  <w:r w:rsidRPr="00BE5E2A">
                    <w:rPr>
                      <w:b/>
                      <w:color w:val="404040" w:themeColor="text1" w:themeTint="BF"/>
                    </w:rPr>
                    <w:t>Screenshot of class work</w:t>
                  </w:r>
                </w:p>
              </w:txbxContent>
            </v:textbox>
          </v:shape>
        </w:pict>
      </w:r>
      <w:r w:rsidR="00FD0309" w:rsidRPr="00FD0309">
        <w:rPr>
          <w:rFonts w:ascii="Arial" w:hAnsi="Arial" w:cs="Arial"/>
          <w:color w:val="000000"/>
        </w:rPr>
        <w:t>This reflection is based on the Gibbs' Reflective Cycle (GRC) to analyse my experience in the convergent and divergent thinking group activity. Divergent thinking is the process of coming up with a variety of ideas, while convergent thinking is the process of narrowing down options and choosing the best ones. As we continued the activity we first brainstormed lots of different solutions to minimise waiting times for NHS patients such as virtual wards and digital triage systems, using divergent thinking. Then we used convergent thinking to check the viability and effect of each option.</w:t>
      </w:r>
    </w:p>
    <w:p w:rsidR="00DE61B4" w:rsidRPr="00FD0309" w:rsidRDefault="00DE61B4" w:rsidP="00FD0309">
      <w:pPr>
        <w:pStyle w:val="NormalWeb"/>
        <w:spacing w:line="360" w:lineRule="auto"/>
        <w:jc w:val="both"/>
        <w:rPr>
          <w:rFonts w:ascii="Arial" w:hAnsi="Arial" w:cs="Arial"/>
          <w:color w:val="000000"/>
        </w:rPr>
      </w:pP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My role in this was to make sure that the ideas of the quieter members of the group were heard as well as finding a simple advantages/disadvantages way to prioritise ideas for the team. Through this experience, I felt more inclined to think in convergent manner as I would immediately look for solutions to the problem. I did, however, discover that divergent thinking is just as crucial to promote creativity and innovation. The Gibbs' model focuses on reflection and action planning in learning (Gibbs, 1988). During future activities I will take more time to explore the creative possibilities before looking at the possibilities for evaluation.</w:t>
      </w:r>
    </w:p>
    <w:p w:rsidR="00FD0309" w:rsidRPr="00FD0309" w:rsidRDefault="00FD0309" w:rsidP="00FD0309">
      <w:pPr>
        <w:pStyle w:val="Heading1"/>
        <w:spacing w:line="360" w:lineRule="auto"/>
        <w:jc w:val="both"/>
        <w:rPr>
          <w:rFonts w:ascii="Arial" w:eastAsia="Times New Roman" w:hAnsi="Arial" w:cs="Arial"/>
        </w:rPr>
      </w:pPr>
      <w:bookmarkStart w:id="4" w:name="_Toc233487544"/>
      <w:r w:rsidRPr="00FD0309">
        <w:rPr>
          <w:rFonts w:ascii="Arial" w:eastAsia="Times New Roman" w:hAnsi="Arial" w:cs="Arial"/>
        </w:rPr>
        <w:t>Task 4: Case Study Analysis of UK Innovation</w:t>
      </w:r>
      <w:bookmarkEnd w:id="4"/>
      <w:r w:rsidRPr="00FD0309">
        <w:rPr>
          <w:rFonts w:ascii="Arial" w:eastAsia="Times New Roman" w:hAnsi="Arial" w:cs="Arial"/>
        </w:rPr>
        <w:t xml:space="preserve"> </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One of the major innovations in the UK healthcare sector is the NHS England Virtual Wards Programme. The programme evolved in response to the rising hospital overload, shortage of hospital beds and the demand for acute care services. Virtual wards use remote monitoring technologies to enable the provision of hospital level treatment and observation in the home environment to decrease the need for hospital admission.</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Adapt innovations like digital monitoring tools and community healthcare services to traditional models of care delivery—creativity was a key factor in this redesign. This practice added value for the patients by providing comfort, independence and satisfaction and by preventing unnecessary hospital admissions and cost. Healthcare organisations also benefited with increased hospital capacity, and reduced bed occupancy rates (Wachter, 2016).</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programme is based on Rogers' Diffusion of Innovation Theory, which states that successful innovations are adopted when a user believes the innovation is beneficial, practical and compatible with their current ways of doing things (Rogers, 2003). Virtual wards are proving to be successful and could be rolled out to other parts of health services delivery.</w:t>
      </w:r>
    </w:p>
    <w:p w:rsidR="00FD0309" w:rsidRPr="00FD0309" w:rsidRDefault="00FD0309" w:rsidP="00FD0309">
      <w:pPr>
        <w:pStyle w:val="Heading1"/>
        <w:spacing w:line="360" w:lineRule="auto"/>
        <w:jc w:val="both"/>
        <w:rPr>
          <w:rFonts w:ascii="Arial" w:eastAsia="Times New Roman" w:hAnsi="Arial" w:cs="Arial"/>
        </w:rPr>
      </w:pPr>
      <w:bookmarkStart w:id="5" w:name="_Toc233487545"/>
      <w:r w:rsidRPr="00FD0309">
        <w:rPr>
          <w:rFonts w:ascii="Arial" w:eastAsia="Times New Roman" w:hAnsi="Arial" w:cs="Arial"/>
        </w:rPr>
        <w:lastRenderedPageBreak/>
        <w:t>Task 5: Research Task</w:t>
      </w:r>
      <w:bookmarkEnd w:id="5"/>
      <w:r w:rsidRPr="00FD0309">
        <w:rPr>
          <w:rFonts w:ascii="Arial" w:eastAsia="Times New Roman" w:hAnsi="Arial" w:cs="Arial"/>
        </w:rPr>
        <w:t xml:space="preserve"> </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One of the biggest challenges for the NHS is to combat staff burnout due to a growing strain on the workforce and a shortage of staff. Maslach and Leiter (2016) point to work overload, burnout and lack of support in the organisation as some of the factors that lead to burnout among healthcare professionals. They found that burnout has a negative impact on staff wellbeing, job satisfaction and patient safety.</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 xml:space="preserve">In the same vein, Leiter and Maslach (2017) discovered that when stress is experienced for an extended period of time, conflict and lack of resources can lead to disengagement and decrease in the performance of the workforce. Both of these studies highlight workload pressures as a critical component, but the latter focuses more on the importance of organisational culture and employee engagement as </w:t>
      </w:r>
      <w:proofErr w:type="spellStart"/>
      <w:r w:rsidRPr="00FD0309">
        <w:rPr>
          <w:rFonts w:ascii="Arial" w:hAnsi="Arial" w:cs="Arial"/>
          <w:color w:val="000000"/>
        </w:rPr>
        <w:t>pretective</w:t>
      </w:r>
      <w:proofErr w:type="spellEnd"/>
      <w:r w:rsidRPr="00FD0309">
        <w:rPr>
          <w:rFonts w:ascii="Arial" w:hAnsi="Arial" w:cs="Arial"/>
          <w:color w:val="000000"/>
        </w:rPr>
        <w:t xml:space="preserve"> in the prevention of burnout.</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Maslach Burnout Theory accounts for burnout using the dimensions: emotional exhaustion, depersonalisation and reduced personal accomplishment (Maslach and Leiter, 2016). Workforce burnout cannot be thought of as a problem for individual employees but as a problem of interrelated organisational and environmental forces operating on the broader health system.</w:t>
      </w:r>
    </w:p>
    <w:p w:rsidR="00FD0309" w:rsidRPr="00FD0309" w:rsidRDefault="00FD0309" w:rsidP="00FD0309">
      <w:pPr>
        <w:pStyle w:val="Heading1"/>
        <w:spacing w:line="360" w:lineRule="auto"/>
        <w:jc w:val="both"/>
        <w:rPr>
          <w:rFonts w:ascii="Arial" w:eastAsia="Times New Roman" w:hAnsi="Arial" w:cs="Arial"/>
        </w:rPr>
      </w:pPr>
      <w:bookmarkStart w:id="6" w:name="_Toc233487546"/>
      <w:r w:rsidRPr="00FD0309">
        <w:rPr>
          <w:rFonts w:ascii="Arial" w:eastAsia="Times New Roman" w:hAnsi="Arial" w:cs="Arial"/>
        </w:rPr>
        <w:t>Task 6: Exploring Digital Innovation in Health and Social Care</w:t>
      </w:r>
      <w:bookmarkEnd w:id="6"/>
      <w:r w:rsidRPr="00FD0309">
        <w:rPr>
          <w:rFonts w:ascii="Arial" w:eastAsia="Times New Roman" w:hAnsi="Arial" w:cs="Arial"/>
        </w:rPr>
        <w:t xml:space="preserve"> </w: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Wearable Health Technologies</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With the rise of wearable health technologies, their use in the management of chronic health conditions like cardiovascular disease is becoming increasingly common. Smartwatches and fitness trackers can help continuously monitor heart rate, physical activity and sleep patterns, which can help patients and clinicians detect potential health issues early. For instance, smartwatches that can identify irregular heart rhythms can help in early detection of AF and consequently lower down the risk of stroke and hospitalisation (</w:t>
      </w:r>
      <w:proofErr w:type="spellStart"/>
      <w:r w:rsidRPr="00FD0309">
        <w:rPr>
          <w:rFonts w:ascii="Arial" w:hAnsi="Arial" w:cs="Arial"/>
          <w:color w:val="000000"/>
        </w:rPr>
        <w:t>Piwek</w:t>
      </w:r>
      <w:proofErr w:type="spellEnd"/>
      <w:r w:rsidRPr="00FD0309">
        <w:rPr>
          <w:rFonts w:ascii="Arial" w:hAnsi="Arial" w:cs="Arial"/>
          <w:color w:val="000000"/>
        </w:rPr>
        <w:t xml:space="preserve"> et al., 2016). These are </w:t>
      </w:r>
      <w:r w:rsidRPr="00FD0309">
        <w:rPr>
          <w:rFonts w:ascii="Arial" w:hAnsi="Arial" w:cs="Arial"/>
          <w:color w:val="000000"/>
        </w:rPr>
        <w:lastRenderedPageBreak/>
        <w:t>technologies that involve patient self-management and advocate preventative care strategies.</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Technology Acceptance Model indicates that people are more likely to accept health care technology if they see it as being useful and easy to use (Davis, 1993). This is one of the reasons why healthcare industries have been turning to the use of wearables.</w: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Electronic Health Records</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Having access to accurate and up-to-date patient information in various care settings enables healthcare professionals to communicate and collaborate effectively, which is what Electronic Health Records (EHRs) do. Inter-hospital sharing of records, along with general practitioners (GPs) and other community services, can help to prevent duplication, medication errors, and continuity of care (Campanella et al., 2016). For instance, a patient who visits an ED can be treated more safely when clinicians have immediate access to their medical history and the medications the patient is taking.</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Technology Acceptance Model suggests that doctors and other health care workers will be more likely to adopt EHR systems if they make their job more efficient and are easy to use (Davis, 1993). Technical support and user training are therefore needed to ensure an effective implementation.</w: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Digital Prevention and Health Promotion</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use of digital technologies to support preventative healthcare and health promotion activities continues to grow. One such example is mobile applications delivered by the NHS that offer lifestyle advice, diet and exercise monitoring to people on the verge of developing type 2 diabetes. Such apps can facilitate behaviour modification and increase the involvement of patients in preventive health programs.</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 xml:space="preserve">Willingness to adopt digital interventions is again explained by the Technology Acceptance Model as users are more likely to interact with interventions that are accessible and useful in their daily life (Davis, 1993). As a result, there is a strong </w:t>
      </w:r>
      <w:r w:rsidRPr="00FD0309">
        <w:rPr>
          <w:rFonts w:ascii="Arial" w:hAnsi="Arial" w:cs="Arial"/>
          <w:color w:val="000000"/>
        </w:rPr>
        <w:lastRenderedPageBreak/>
        <w:t>potential for digital technologies to alleviate disease burden and enhance long-term population health outcomes.</w:t>
      </w:r>
    </w:p>
    <w:p w:rsidR="00FD0309" w:rsidRPr="00FD0309" w:rsidRDefault="00FD0309" w:rsidP="00FD0309">
      <w:pPr>
        <w:pStyle w:val="Heading1"/>
        <w:spacing w:line="360" w:lineRule="auto"/>
        <w:jc w:val="both"/>
        <w:rPr>
          <w:rFonts w:ascii="Arial" w:eastAsia="Times New Roman" w:hAnsi="Arial" w:cs="Arial"/>
        </w:rPr>
      </w:pPr>
      <w:bookmarkStart w:id="7" w:name="_Toc233487547"/>
      <w:r w:rsidRPr="00FD0309">
        <w:rPr>
          <w:rFonts w:ascii="Arial" w:eastAsia="Times New Roman" w:hAnsi="Arial" w:cs="Arial"/>
        </w:rPr>
        <w:t>Task 7: NHS Leadership Framework</w:t>
      </w:r>
      <w:bookmarkEnd w:id="7"/>
      <w:r w:rsidRPr="00FD0309">
        <w:rPr>
          <w:rFonts w:ascii="Arial" w:eastAsia="Times New Roman" w:hAnsi="Arial" w:cs="Arial"/>
        </w:rPr>
        <w:t xml:space="preserve"> </w:t>
      </w: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Overview of the Framework</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NHS Leadership Framework details behaviours and values that leaders should expect to see in health and social care organisations. The focus of the framework is on a collaborative leadership model to provide high quality care for patients and continually improve the services offered. Key areas are: stimulating common vision, leading with concern, assessing information, linking services and sharing a vision for improvement. These behaviours inspire leaders to foster collaboration, innovation, and patient-</w:t>
      </w:r>
      <w:proofErr w:type="spellStart"/>
      <w:r w:rsidRPr="00FD0309">
        <w:rPr>
          <w:rFonts w:ascii="Arial" w:hAnsi="Arial" w:cs="Arial"/>
          <w:color w:val="000000"/>
        </w:rPr>
        <w:t>centered</w:t>
      </w:r>
      <w:proofErr w:type="spellEnd"/>
      <w:r w:rsidRPr="00FD0309">
        <w:rPr>
          <w:rFonts w:ascii="Arial" w:hAnsi="Arial" w:cs="Arial"/>
          <w:color w:val="000000"/>
        </w:rPr>
        <w:t xml:space="preserve"> decision making.</w:t>
      </w:r>
    </w:p>
    <w:p w:rsid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The framework is significant because healthcare organizations are dealing with environments that are complex and changing quickly, and demand good leadership and adaptability. Compassionate leadership is linked to higher levels of wellbeing for employees, higher engagement and higher innovation in healthcare teams (West et al., 2017). Good leadership consequently has a direct impact on the performance of the organisation and on the care provided to patients.</w:t>
      </w:r>
    </w:p>
    <w:p w:rsidR="00FD0309" w:rsidRPr="00FD0309" w:rsidRDefault="00FD0309" w:rsidP="00FD0309">
      <w:pPr>
        <w:pStyle w:val="NormalWeb"/>
        <w:spacing w:line="360" w:lineRule="auto"/>
        <w:jc w:val="both"/>
        <w:rPr>
          <w:rFonts w:ascii="Arial" w:hAnsi="Arial" w:cs="Arial"/>
          <w:color w:val="000000"/>
        </w:rPr>
      </w:pP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t>Leadership Behaviour: Leading with Care</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Leading with care is about establishing working conditions and cultures that support employees and make them feel appreciated, valued and psychologically safe. Empathy and open communication among leaders are more likely to foster creativity and sharing of new ideas. Psychological safety is a prerequisite for employees to take risks and try new things without being criticized or judged for their failures (West and Chowla, 2017). Organisations are at a higher risk of implementing new technologies and services in such contexts.</w:t>
      </w:r>
    </w:p>
    <w:p w:rsidR="00A62237" w:rsidRDefault="00A62237" w:rsidP="00FD0309">
      <w:pPr>
        <w:pStyle w:val="NormalWeb"/>
        <w:spacing w:line="360" w:lineRule="auto"/>
        <w:jc w:val="both"/>
        <w:rPr>
          <w:rFonts w:ascii="Arial" w:hAnsi="Arial" w:cs="Arial"/>
          <w:b/>
          <w:bCs/>
          <w:color w:val="000000"/>
        </w:rPr>
      </w:pPr>
    </w:p>
    <w:p w:rsidR="00FD0309" w:rsidRPr="00FD0309" w:rsidRDefault="00FD0309" w:rsidP="00FD0309">
      <w:pPr>
        <w:pStyle w:val="NormalWeb"/>
        <w:spacing w:line="360" w:lineRule="auto"/>
        <w:jc w:val="both"/>
        <w:rPr>
          <w:rFonts w:ascii="Arial" w:hAnsi="Arial" w:cs="Arial"/>
          <w:b/>
          <w:bCs/>
          <w:color w:val="000000"/>
        </w:rPr>
      </w:pPr>
      <w:r w:rsidRPr="00FD0309">
        <w:rPr>
          <w:rFonts w:ascii="Arial" w:hAnsi="Arial" w:cs="Arial"/>
          <w:b/>
          <w:bCs/>
          <w:color w:val="000000"/>
        </w:rPr>
        <w:lastRenderedPageBreak/>
        <w:t>Learning Reflection</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I have gained a greater understanding of the link between leadership and innovation in healthcare through my study. I now realize that innovation is not just about technology, it's about the right kind of leadership that can foster collaboration, learning, etc. Transformational Leadership Theory proposes that leaders motivate staff by communicating a vision, providing individual support and enabling an organisation to adjust to change and enhance practice (Bass and Avolio, 1994). This understanding will have an impact on my future professional practice.</w:t>
      </w:r>
    </w:p>
    <w:p w:rsidR="00FD0309" w:rsidRPr="00FD0309" w:rsidRDefault="00FD0309" w:rsidP="00FD0309">
      <w:pPr>
        <w:pStyle w:val="Heading1"/>
        <w:spacing w:line="360" w:lineRule="auto"/>
        <w:jc w:val="both"/>
        <w:rPr>
          <w:rFonts w:ascii="Arial" w:eastAsia="Times New Roman" w:hAnsi="Arial" w:cs="Arial"/>
        </w:rPr>
      </w:pPr>
      <w:bookmarkStart w:id="8" w:name="_Toc233487548"/>
      <w:r w:rsidRPr="00FD0309">
        <w:rPr>
          <w:rFonts w:ascii="Arial" w:eastAsia="Times New Roman" w:hAnsi="Arial" w:cs="Arial"/>
        </w:rPr>
        <w:t>Task 8: Self-Reflection Journal Entry</w:t>
      </w:r>
      <w:bookmarkEnd w:id="8"/>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Gibbs' reflective cycle was used as a tool for reflection and to consider how my understanding of creativity, innovation and value creation has grown during this module (Gibbs, 1988). At first, I thought innovation was more about the introduction of new technology. But, when it came to activities on virtual wards, leadership and digital healthcare, they found that innovation is not just about technology, but also about changing processes and ways of working that will enhance care for patients.</w:t>
      </w:r>
    </w:p>
    <w:p w:rsidR="00FD0309" w:rsidRPr="00FD0309" w:rsidRDefault="00FD0309" w:rsidP="00FD0309">
      <w:pPr>
        <w:pStyle w:val="NormalWeb"/>
        <w:spacing w:line="360" w:lineRule="auto"/>
        <w:jc w:val="both"/>
        <w:rPr>
          <w:rFonts w:ascii="Arial" w:hAnsi="Arial" w:cs="Arial"/>
          <w:color w:val="000000"/>
        </w:rPr>
      </w:pPr>
      <w:r w:rsidRPr="00FD0309">
        <w:rPr>
          <w:rFonts w:ascii="Arial" w:hAnsi="Arial" w:cs="Arial"/>
          <w:color w:val="000000"/>
        </w:rPr>
        <w:t>Analysing NHS waiting time was the most influential learning activity as it brought to the fore the significance of a mix of creativity and practical implementation strategies. I plan to implement these concepts in my future career through assisting with digital innovation and providing service improvement projects that add value to patients, employees and healthcare providers.</w:t>
      </w:r>
    </w:p>
    <w:p w:rsidR="00FD0309" w:rsidRPr="00FD0309" w:rsidRDefault="00FD0309" w:rsidP="00FD0309">
      <w:pPr>
        <w:pStyle w:val="Heading1"/>
        <w:spacing w:line="360" w:lineRule="auto"/>
        <w:rPr>
          <w:rFonts w:ascii="Arial" w:eastAsia="Times New Roman" w:hAnsi="Arial" w:cs="Arial"/>
        </w:rPr>
      </w:pPr>
      <w:bookmarkStart w:id="9" w:name="_Toc233487549"/>
      <w:r w:rsidRPr="00FD0309">
        <w:rPr>
          <w:rFonts w:ascii="Arial" w:eastAsia="Times New Roman" w:hAnsi="Arial" w:cs="Arial"/>
        </w:rPr>
        <w:t>References</w:t>
      </w:r>
      <w:bookmarkEnd w:id="9"/>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Amabile, T. (2011). </w:t>
      </w:r>
      <w:r w:rsidRPr="00FD0309">
        <w:rPr>
          <w:rFonts w:ascii="Arial" w:hAnsi="Arial" w:cs="Arial"/>
          <w:i/>
          <w:iCs/>
          <w:color w:val="000000"/>
        </w:rPr>
        <w:t>Componential theory of creativity</w:t>
      </w:r>
      <w:r w:rsidRPr="00FD0309">
        <w:rPr>
          <w:rFonts w:ascii="Arial" w:hAnsi="Arial" w:cs="Arial"/>
          <w:color w:val="000000"/>
        </w:rPr>
        <w:t> (pp. 538-559). Boston, MA: Harvard Business School.</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Bass, B. M., &amp; Avolio, B. J. (Eds.). (1994). </w:t>
      </w:r>
      <w:r w:rsidRPr="00FD0309">
        <w:rPr>
          <w:rFonts w:ascii="Arial" w:hAnsi="Arial" w:cs="Arial"/>
          <w:i/>
          <w:iCs/>
          <w:color w:val="000000"/>
        </w:rPr>
        <w:t>Improving organizational effectiveness through transformational leadership</w:t>
      </w:r>
      <w:r w:rsidRPr="00FD0309">
        <w:rPr>
          <w:rFonts w:ascii="Arial" w:hAnsi="Arial" w:cs="Arial"/>
          <w:color w:val="000000"/>
        </w:rPr>
        <w:t>. sage.</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lastRenderedPageBreak/>
        <w:t>Burnes, B. (2007). Kurt Lewin and the Harwood studies: The foundations of OD. </w:t>
      </w:r>
      <w:r w:rsidRPr="00FD0309">
        <w:rPr>
          <w:rFonts w:ascii="Arial" w:hAnsi="Arial" w:cs="Arial"/>
          <w:i/>
          <w:iCs/>
          <w:color w:val="000000"/>
        </w:rPr>
        <w:t xml:space="preserve">The Journal of Applied </w:t>
      </w:r>
      <w:proofErr w:type="spellStart"/>
      <w:r w:rsidRPr="00FD0309">
        <w:rPr>
          <w:rFonts w:ascii="Arial" w:hAnsi="Arial" w:cs="Arial"/>
          <w:i/>
          <w:iCs/>
          <w:color w:val="000000"/>
        </w:rPr>
        <w:t>Behavioral</w:t>
      </w:r>
      <w:proofErr w:type="spellEnd"/>
      <w:r w:rsidRPr="00FD0309">
        <w:rPr>
          <w:rFonts w:ascii="Arial" w:hAnsi="Arial" w:cs="Arial"/>
          <w:i/>
          <w:iCs/>
          <w:color w:val="000000"/>
        </w:rPr>
        <w:t xml:space="preserve"> Science</w:t>
      </w:r>
      <w:r w:rsidRPr="00FD0309">
        <w:rPr>
          <w:rFonts w:ascii="Arial" w:hAnsi="Arial" w:cs="Arial"/>
          <w:color w:val="000000"/>
        </w:rPr>
        <w:t>, </w:t>
      </w:r>
      <w:r w:rsidRPr="00FD0309">
        <w:rPr>
          <w:rFonts w:ascii="Arial" w:hAnsi="Arial" w:cs="Arial"/>
          <w:i/>
          <w:iCs/>
          <w:color w:val="000000"/>
        </w:rPr>
        <w:t>43</w:t>
      </w:r>
      <w:r w:rsidRPr="00FD0309">
        <w:rPr>
          <w:rFonts w:ascii="Arial" w:hAnsi="Arial" w:cs="Arial"/>
          <w:color w:val="000000"/>
        </w:rPr>
        <w:t>(2), 213-231.</w:t>
      </w:r>
    </w:p>
    <w:p w:rsidR="00FD0309" w:rsidRPr="00FD0309" w:rsidRDefault="00FD0309" w:rsidP="00FD0309">
      <w:pPr>
        <w:pStyle w:val="NormalWeb"/>
        <w:spacing w:line="360" w:lineRule="auto"/>
        <w:ind w:left="720" w:hanging="720"/>
        <w:rPr>
          <w:rFonts w:ascii="Arial" w:hAnsi="Arial" w:cs="Arial"/>
          <w:color w:val="000000"/>
        </w:rPr>
      </w:pPr>
      <w:proofErr w:type="spellStart"/>
      <w:proofErr w:type="gramStart"/>
      <w:r w:rsidRPr="00713483">
        <w:rPr>
          <w:rFonts w:ascii="Arial" w:hAnsi="Arial" w:cs="Arial"/>
          <w:color w:val="000000"/>
        </w:rPr>
        <w:t>Campanella</w:t>
      </w:r>
      <w:proofErr w:type="spellEnd"/>
      <w:r w:rsidRPr="00713483">
        <w:rPr>
          <w:rFonts w:ascii="Arial" w:hAnsi="Arial" w:cs="Arial"/>
          <w:color w:val="000000"/>
        </w:rPr>
        <w:t xml:space="preserve">, P., </w:t>
      </w:r>
      <w:proofErr w:type="spellStart"/>
      <w:r w:rsidRPr="00713483">
        <w:rPr>
          <w:rFonts w:ascii="Arial" w:hAnsi="Arial" w:cs="Arial"/>
          <w:color w:val="000000"/>
        </w:rPr>
        <w:t>Lovato</w:t>
      </w:r>
      <w:proofErr w:type="spellEnd"/>
      <w:r w:rsidRPr="00713483">
        <w:rPr>
          <w:rFonts w:ascii="Arial" w:hAnsi="Arial" w:cs="Arial"/>
          <w:color w:val="000000"/>
        </w:rPr>
        <w:t xml:space="preserve">, E., </w:t>
      </w:r>
      <w:proofErr w:type="spellStart"/>
      <w:r w:rsidRPr="00713483">
        <w:rPr>
          <w:rFonts w:ascii="Arial" w:hAnsi="Arial" w:cs="Arial"/>
          <w:color w:val="000000"/>
        </w:rPr>
        <w:t>Marone</w:t>
      </w:r>
      <w:proofErr w:type="spellEnd"/>
      <w:r w:rsidRPr="00713483">
        <w:rPr>
          <w:rFonts w:ascii="Arial" w:hAnsi="Arial" w:cs="Arial"/>
          <w:color w:val="000000"/>
        </w:rPr>
        <w:t xml:space="preserve">, C., </w:t>
      </w:r>
      <w:proofErr w:type="spellStart"/>
      <w:r w:rsidRPr="00713483">
        <w:rPr>
          <w:rFonts w:ascii="Arial" w:hAnsi="Arial" w:cs="Arial"/>
          <w:color w:val="000000"/>
        </w:rPr>
        <w:t>Fallacara</w:t>
      </w:r>
      <w:proofErr w:type="spellEnd"/>
      <w:r w:rsidRPr="00713483">
        <w:rPr>
          <w:rFonts w:ascii="Arial" w:hAnsi="Arial" w:cs="Arial"/>
          <w:color w:val="000000"/>
        </w:rPr>
        <w:t xml:space="preserve">, L., Mancuso, A., </w:t>
      </w:r>
      <w:proofErr w:type="spellStart"/>
      <w:r w:rsidRPr="00713483">
        <w:rPr>
          <w:rFonts w:ascii="Arial" w:hAnsi="Arial" w:cs="Arial"/>
          <w:color w:val="000000"/>
        </w:rPr>
        <w:t>Ricciardi</w:t>
      </w:r>
      <w:proofErr w:type="spellEnd"/>
      <w:r w:rsidRPr="00713483">
        <w:rPr>
          <w:rFonts w:ascii="Arial" w:hAnsi="Arial" w:cs="Arial"/>
          <w:color w:val="000000"/>
        </w:rPr>
        <w:t xml:space="preserve">, W., &amp; </w:t>
      </w:r>
      <w:proofErr w:type="spellStart"/>
      <w:r w:rsidRPr="00713483">
        <w:rPr>
          <w:rFonts w:ascii="Arial" w:hAnsi="Arial" w:cs="Arial"/>
          <w:color w:val="000000"/>
        </w:rPr>
        <w:t>Specchia</w:t>
      </w:r>
      <w:proofErr w:type="spellEnd"/>
      <w:r w:rsidRPr="00713483">
        <w:rPr>
          <w:rFonts w:ascii="Arial" w:hAnsi="Arial" w:cs="Arial"/>
          <w:color w:val="000000"/>
        </w:rPr>
        <w:t>, M. L. (2016).</w:t>
      </w:r>
      <w:proofErr w:type="gramEnd"/>
      <w:r w:rsidRPr="00713483">
        <w:rPr>
          <w:rFonts w:ascii="Arial" w:hAnsi="Arial" w:cs="Arial"/>
          <w:color w:val="000000"/>
        </w:rPr>
        <w:t xml:space="preserve"> </w:t>
      </w:r>
      <w:r w:rsidRPr="00FD0309">
        <w:rPr>
          <w:rFonts w:ascii="Arial" w:hAnsi="Arial" w:cs="Arial"/>
          <w:color w:val="000000"/>
        </w:rPr>
        <w:t>The impact of electronic health records on healthcare quality: a systematic review and meta-analysis. </w:t>
      </w:r>
      <w:r w:rsidRPr="00FD0309">
        <w:rPr>
          <w:rFonts w:ascii="Arial" w:hAnsi="Arial" w:cs="Arial"/>
          <w:i/>
          <w:iCs/>
          <w:color w:val="000000"/>
        </w:rPr>
        <w:t>The European Journal of Public Health</w:t>
      </w:r>
      <w:r w:rsidRPr="00FD0309">
        <w:rPr>
          <w:rFonts w:ascii="Arial" w:hAnsi="Arial" w:cs="Arial"/>
          <w:color w:val="000000"/>
        </w:rPr>
        <w:t>, </w:t>
      </w:r>
      <w:r w:rsidRPr="00FD0309">
        <w:rPr>
          <w:rFonts w:ascii="Arial" w:hAnsi="Arial" w:cs="Arial"/>
          <w:i/>
          <w:iCs/>
          <w:color w:val="000000"/>
        </w:rPr>
        <w:t>26</w:t>
      </w:r>
      <w:r w:rsidRPr="00FD0309">
        <w:rPr>
          <w:rFonts w:ascii="Arial" w:hAnsi="Arial" w:cs="Arial"/>
          <w:color w:val="000000"/>
        </w:rPr>
        <w:t>(1), 60-64.</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Csikszentmihalyi, M. (2014). </w:t>
      </w:r>
      <w:r w:rsidRPr="00FD0309">
        <w:rPr>
          <w:rFonts w:ascii="Arial" w:hAnsi="Arial" w:cs="Arial"/>
          <w:i/>
          <w:iCs/>
          <w:color w:val="000000"/>
        </w:rPr>
        <w:t>The systems model of creativity</w:t>
      </w:r>
      <w:r w:rsidRPr="00FD0309">
        <w:rPr>
          <w:rFonts w:ascii="Arial" w:hAnsi="Arial" w:cs="Arial"/>
          <w:color w:val="000000"/>
        </w:rPr>
        <w:t> (p. 47). Dordrecht: Springer.</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 xml:space="preserve">Davis, F. D. (1993). User acceptance of information technology: system characteristics, user perceptions and </w:t>
      </w:r>
      <w:proofErr w:type="spellStart"/>
      <w:r w:rsidRPr="00FD0309">
        <w:rPr>
          <w:rFonts w:ascii="Arial" w:hAnsi="Arial" w:cs="Arial"/>
          <w:color w:val="000000"/>
        </w:rPr>
        <w:t>behavioral</w:t>
      </w:r>
      <w:proofErr w:type="spellEnd"/>
      <w:r w:rsidRPr="00FD0309">
        <w:rPr>
          <w:rFonts w:ascii="Arial" w:hAnsi="Arial" w:cs="Arial"/>
          <w:color w:val="000000"/>
        </w:rPr>
        <w:t xml:space="preserve"> impacts. </w:t>
      </w:r>
      <w:r w:rsidRPr="00FD0309">
        <w:rPr>
          <w:rFonts w:ascii="Arial" w:hAnsi="Arial" w:cs="Arial"/>
          <w:i/>
          <w:iCs/>
          <w:color w:val="000000"/>
        </w:rPr>
        <w:t>International journal of man-machine studies</w:t>
      </w:r>
      <w:r w:rsidRPr="00FD0309">
        <w:rPr>
          <w:rFonts w:ascii="Arial" w:hAnsi="Arial" w:cs="Arial"/>
          <w:color w:val="000000"/>
        </w:rPr>
        <w:t>, </w:t>
      </w:r>
      <w:r w:rsidRPr="00FD0309">
        <w:rPr>
          <w:rFonts w:ascii="Arial" w:hAnsi="Arial" w:cs="Arial"/>
          <w:i/>
          <w:iCs/>
          <w:color w:val="000000"/>
        </w:rPr>
        <w:t>38</w:t>
      </w:r>
      <w:r w:rsidRPr="00FD0309">
        <w:rPr>
          <w:rFonts w:ascii="Arial" w:hAnsi="Arial" w:cs="Arial"/>
          <w:color w:val="000000"/>
        </w:rPr>
        <w:t>(3), 475-487.</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Greenhalgh, T., &amp; Abimbola, S. (2019). The NASSS framework-a synthesis of multiple theories of technology implementation. </w:t>
      </w:r>
      <w:r w:rsidRPr="00FD0309">
        <w:rPr>
          <w:rFonts w:ascii="Arial" w:hAnsi="Arial" w:cs="Arial"/>
          <w:i/>
          <w:iCs/>
          <w:color w:val="000000"/>
        </w:rPr>
        <w:t xml:space="preserve">Stud Health </w:t>
      </w:r>
      <w:proofErr w:type="spellStart"/>
      <w:r w:rsidRPr="00FD0309">
        <w:rPr>
          <w:rFonts w:ascii="Arial" w:hAnsi="Arial" w:cs="Arial"/>
          <w:i/>
          <w:iCs/>
          <w:color w:val="000000"/>
        </w:rPr>
        <w:t>Technol</w:t>
      </w:r>
      <w:proofErr w:type="spellEnd"/>
      <w:r w:rsidRPr="00FD0309">
        <w:rPr>
          <w:rFonts w:ascii="Arial" w:hAnsi="Arial" w:cs="Arial"/>
          <w:i/>
          <w:iCs/>
          <w:color w:val="000000"/>
        </w:rPr>
        <w:t xml:space="preserve"> Inform</w:t>
      </w:r>
      <w:r w:rsidRPr="00FD0309">
        <w:rPr>
          <w:rFonts w:ascii="Arial" w:hAnsi="Arial" w:cs="Arial"/>
          <w:color w:val="000000"/>
        </w:rPr>
        <w:t>, </w:t>
      </w:r>
      <w:r w:rsidRPr="00FD0309">
        <w:rPr>
          <w:rFonts w:ascii="Arial" w:hAnsi="Arial" w:cs="Arial"/>
          <w:i/>
          <w:iCs/>
          <w:color w:val="000000"/>
        </w:rPr>
        <w:t>263</w:t>
      </w:r>
      <w:r w:rsidRPr="00FD0309">
        <w:rPr>
          <w:rFonts w:ascii="Arial" w:hAnsi="Arial" w:cs="Arial"/>
          <w:color w:val="000000"/>
        </w:rPr>
        <w:t>(263), 193-204.</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Grossman, J. H., &amp; Hwang, J. (2009). </w:t>
      </w:r>
      <w:r w:rsidRPr="00FD0309">
        <w:rPr>
          <w:rFonts w:ascii="Arial" w:hAnsi="Arial" w:cs="Arial"/>
          <w:i/>
          <w:iCs/>
          <w:color w:val="000000"/>
        </w:rPr>
        <w:t>The innovator's prescription: a disruptive solution for health care</w:t>
      </w:r>
      <w:r w:rsidRPr="00FD0309">
        <w:rPr>
          <w:rFonts w:ascii="Arial" w:hAnsi="Arial" w:cs="Arial"/>
          <w:color w:val="000000"/>
        </w:rPr>
        <w:t>. McGraw-Hill.</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Leiter, M. P., &amp; Maslach, C. (2017). Burnout and engagement: Contributions to a new vision. </w:t>
      </w:r>
      <w:r w:rsidRPr="00FD0309">
        <w:rPr>
          <w:rFonts w:ascii="Arial" w:hAnsi="Arial" w:cs="Arial"/>
          <w:i/>
          <w:iCs/>
          <w:color w:val="000000"/>
        </w:rPr>
        <w:t>Burnout research</w:t>
      </w:r>
      <w:r w:rsidRPr="00FD0309">
        <w:rPr>
          <w:rFonts w:ascii="Arial" w:hAnsi="Arial" w:cs="Arial"/>
          <w:color w:val="000000"/>
        </w:rPr>
        <w:t>, </w:t>
      </w:r>
      <w:r w:rsidRPr="00FD0309">
        <w:rPr>
          <w:rFonts w:ascii="Arial" w:hAnsi="Arial" w:cs="Arial"/>
          <w:i/>
          <w:iCs/>
          <w:color w:val="000000"/>
        </w:rPr>
        <w:t>5</w:t>
      </w:r>
      <w:r w:rsidRPr="00FD0309">
        <w:rPr>
          <w:rFonts w:ascii="Arial" w:hAnsi="Arial" w:cs="Arial"/>
          <w:color w:val="000000"/>
        </w:rPr>
        <w:t>, 55-57.</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Maslach, C., &amp; Leiter, M. P. (2016). Understanding the burnout experience: recent research and its implications for psychiatry. </w:t>
      </w:r>
      <w:r w:rsidRPr="00FD0309">
        <w:rPr>
          <w:rFonts w:ascii="Arial" w:hAnsi="Arial" w:cs="Arial"/>
          <w:i/>
          <w:iCs/>
          <w:color w:val="000000"/>
        </w:rPr>
        <w:t>World psychiatry</w:t>
      </w:r>
      <w:r w:rsidRPr="00FD0309">
        <w:rPr>
          <w:rFonts w:ascii="Arial" w:hAnsi="Arial" w:cs="Arial"/>
          <w:color w:val="000000"/>
        </w:rPr>
        <w:t>, </w:t>
      </w:r>
      <w:r w:rsidRPr="00FD0309">
        <w:rPr>
          <w:rFonts w:ascii="Arial" w:hAnsi="Arial" w:cs="Arial"/>
          <w:i/>
          <w:iCs/>
          <w:color w:val="000000"/>
        </w:rPr>
        <w:t>15</w:t>
      </w:r>
      <w:r w:rsidRPr="00FD0309">
        <w:rPr>
          <w:rFonts w:ascii="Arial" w:hAnsi="Arial" w:cs="Arial"/>
          <w:color w:val="000000"/>
        </w:rPr>
        <w:t>(2), 103-111.</w:t>
      </w:r>
    </w:p>
    <w:p w:rsidR="00FD0309" w:rsidRPr="00FD0309" w:rsidRDefault="00FD0309" w:rsidP="00FD0309">
      <w:pPr>
        <w:pStyle w:val="NormalWeb"/>
        <w:spacing w:line="360" w:lineRule="auto"/>
        <w:ind w:left="720" w:hanging="720"/>
        <w:rPr>
          <w:rFonts w:ascii="Arial" w:hAnsi="Arial" w:cs="Arial"/>
          <w:color w:val="000000"/>
        </w:rPr>
      </w:pPr>
      <w:proofErr w:type="spellStart"/>
      <w:r w:rsidRPr="00FD0309">
        <w:rPr>
          <w:rFonts w:ascii="Arial" w:hAnsi="Arial" w:cs="Arial"/>
          <w:color w:val="000000"/>
        </w:rPr>
        <w:t>Piwek</w:t>
      </w:r>
      <w:proofErr w:type="spellEnd"/>
      <w:r w:rsidRPr="00FD0309">
        <w:rPr>
          <w:rFonts w:ascii="Arial" w:hAnsi="Arial" w:cs="Arial"/>
          <w:color w:val="000000"/>
        </w:rPr>
        <w:t xml:space="preserve">, L., Ellis, D. A., Andrews, S., &amp; </w:t>
      </w:r>
      <w:proofErr w:type="spellStart"/>
      <w:r w:rsidRPr="00FD0309">
        <w:rPr>
          <w:rFonts w:ascii="Arial" w:hAnsi="Arial" w:cs="Arial"/>
          <w:color w:val="000000"/>
        </w:rPr>
        <w:t>Joinson</w:t>
      </w:r>
      <w:proofErr w:type="spellEnd"/>
      <w:r w:rsidRPr="00FD0309">
        <w:rPr>
          <w:rFonts w:ascii="Arial" w:hAnsi="Arial" w:cs="Arial"/>
          <w:color w:val="000000"/>
        </w:rPr>
        <w:t>, A. (2016). The rise of consumer health wearables: promises and barriers. </w:t>
      </w:r>
      <w:proofErr w:type="spellStart"/>
      <w:r w:rsidRPr="00FD0309">
        <w:rPr>
          <w:rFonts w:ascii="Arial" w:hAnsi="Arial" w:cs="Arial"/>
          <w:i/>
          <w:iCs/>
          <w:color w:val="000000"/>
        </w:rPr>
        <w:t>PLoS</w:t>
      </w:r>
      <w:proofErr w:type="spellEnd"/>
      <w:r w:rsidRPr="00FD0309">
        <w:rPr>
          <w:rFonts w:ascii="Arial" w:hAnsi="Arial" w:cs="Arial"/>
          <w:i/>
          <w:iCs/>
          <w:color w:val="000000"/>
        </w:rPr>
        <w:t xml:space="preserve"> medicine</w:t>
      </w:r>
      <w:r w:rsidRPr="00FD0309">
        <w:rPr>
          <w:rFonts w:ascii="Arial" w:hAnsi="Arial" w:cs="Arial"/>
          <w:color w:val="000000"/>
        </w:rPr>
        <w:t>, </w:t>
      </w:r>
      <w:r w:rsidRPr="00FD0309">
        <w:rPr>
          <w:rFonts w:ascii="Arial" w:hAnsi="Arial" w:cs="Arial"/>
          <w:i/>
          <w:iCs/>
          <w:color w:val="000000"/>
        </w:rPr>
        <w:t>13</w:t>
      </w:r>
      <w:r w:rsidRPr="00FD0309">
        <w:rPr>
          <w:rFonts w:ascii="Arial" w:hAnsi="Arial" w:cs="Arial"/>
          <w:color w:val="000000"/>
        </w:rPr>
        <w:t>(2), e1001953.</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Porter, M. E. (2010). What is value in health care</w:t>
      </w:r>
      <w:proofErr w:type="gramStart"/>
      <w:r w:rsidRPr="00FD0309">
        <w:rPr>
          <w:rFonts w:ascii="Arial" w:hAnsi="Arial" w:cs="Arial"/>
          <w:color w:val="000000"/>
        </w:rPr>
        <w:t>?.</w:t>
      </w:r>
      <w:proofErr w:type="gramEnd"/>
      <w:r w:rsidRPr="00FD0309">
        <w:rPr>
          <w:rFonts w:ascii="Arial" w:hAnsi="Arial" w:cs="Arial"/>
          <w:color w:val="000000"/>
        </w:rPr>
        <w:t> </w:t>
      </w:r>
      <w:r w:rsidRPr="00FD0309">
        <w:rPr>
          <w:rFonts w:ascii="Arial" w:hAnsi="Arial" w:cs="Arial"/>
          <w:i/>
          <w:iCs/>
          <w:color w:val="000000"/>
        </w:rPr>
        <w:t>New England Journal of Medicine</w:t>
      </w:r>
      <w:r w:rsidRPr="00FD0309">
        <w:rPr>
          <w:rFonts w:ascii="Arial" w:hAnsi="Arial" w:cs="Arial"/>
          <w:color w:val="000000"/>
        </w:rPr>
        <w:t>, </w:t>
      </w:r>
      <w:r w:rsidRPr="00FD0309">
        <w:rPr>
          <w:rFonts w:ascii="Arial" w:hAnsi="Arial" w:cs="Arial"/>
          <w:i/>
          <w:iCs/>
          <w:color w:val="000000"/>
        </w:rPr>
        <w:t>363</w:t>
      </w:r>
      <w:r w:rsidRPr="00FD0309">
        <w:rPr>
          <w:rFonts w:ascii="Arial" w:hAnsi="Arial" w:cs="Arial"/>
          <w:color w:val="000000"/>
        </w:rPr>
        <w:t>(26), 2477-2481.</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Rogers, E. (2003). Diffusion of Innovations 5th.</w:t>
      </w:r>
    </w:p>
    <w:p w:rsidR="00FD0309" w:rsidRPr="00FD0309" w:rsidRDefault="00FD0309" w:rsidP="00FD0309">
      <w:pPr>
        <w:pStyle w:val="NormalWeb"/>
        <w:spacing w:line="360" w:lineRule="auto"/>
        <w:ind w:left="720" w:hanging="720"/>
        <w:rPr>
          <w:rFonts w:ascii="Arial" w:hAnsi="Arial" w:cs="Arial"/>
          <w:color w:val="000000"/>
        </w:rPr>
      </w:pPr>
      <w:proofErr w:type="spellStart"/>
      <w:r w:rsidRPr="00FD0309">
        <w:rPr>
          <w:rFonts w:ascii="Arial" w:hAnsi="Arial" w:cs="Arial"/>
          <w:color w:val="000000"/>
        </w:rPr>
        <w:lastRenderedPageBreak/>
        <w:t>Vindrola-Padros</w:t>
      </w:r>
      <w:proofErr w:type="spellEnd"/>
      <w:r w:rsidRPr="00FD0309">
        <w:rPr>
          <w:rFonts w:ascii="Arial" w:hAnsi="Arial" w:cs="Arial"/>
          <w:color w:val="000000"/>
        </w:rPr>
        <w:t xml:space="preserve">, C., Sidhu, M. S., Georghiou, T., </w:t>
      </w:r>
      <w:proofErr w:type="spellStart"/>
      <w:r w:rsidRPr="00FD0309">
        <w:rPr>
          <w:rFonts w:ascii="Arial" w:hAnsi="Arial" w:cs="Arial"/>
          <w:color w:val="000000"/>
        </w:rPr>
        <w:t>Sherlaw</w:t>
      </w:r>
      <w:proofErr w:type="spellEnd"/>
      <w:r w:rsidRPr="00FD0309">
        <w:rPr>
          <w:rFonts w:ascii="Arial" w:hAnsi="Arial" w:cs="Arial"/>
          <w:color w:val="000000"/>
        </w:rPr>
        <w:t xml:space="preserve">-Johnson, C., Singh, K. E., </w:t>
      </w:r>
      <w:proofErr w:type="spellStart"/>
      <w:r w:rsidRPr="00FD0309">
        <w:rPr>
          <w:rFonts w:ascii="Arial" w:hAnsi="Arial" w:cs="Arial"/>
          <w:color w:val="000000"/>
        </w:rPr>
        <w:t>Tomini</w:t>
      </w:r>
      <w:proofErr w:type="spellEnd"/>
      <w:r w:rsidRPr="00FD0309">
        <w:rPr>
          <w:rFonts w:ascii="Arial" w:hAnsi="Arial" w:cs="Arial"/>
          <w:color w:val="000000"/>
        </w:rPr>
        <w:t>, S. M., ... &amp; Fulop, N. J. (2021). The implementation of remote home monitoring models during the COVID-19 pandemic in England. </w:t>
      </w:r>
      <w:proofErr w:type="spellStart"/>
      <w:r w:rsidRPr="00FD0309">
        <w:rPr>
          <w:rFonts w:ascii="Arial" w:hAnsi="Arial" w:cs="Arial"/>
          <w:i/>
          <w:iCs/>
          <w:color w:val="000000"/>
        </w:rPr>
        <w:t>EClinicalMedicine</w:t>
      </w:r>
      <w:proofErr w:type="spellEnd"/>
      <w:r w:rsidRPr="00FD0309">
        <w:rPr>
          <w:rFonts w:ascii="Arial" w:hAnsi="Arial" w:cs="Arial"/>
          <w:color w:val="000000"/>
        </w:rPr>
        <w:t>, </w:t>
      </w:r>
      <w:r w:rsidRPr="00FD0309">
        <w:rPr>
          <w:rFonts w:ascii="Arial" w:hAnsi="Arial" w:cs="Arial"/>
          <w:i/>
          <w:iCs/>
          <w:color w:val="000000"/>
        </w:rPr>
        <w:t>34</w:t>
      </w:r>
      <w:r w:rsidRPr="00FD0309">
        <w:rPr>
          <w:rFonts w:ascii="Arial" w:hAnsi="Arial" w:cs="Arial"/>
          <w:color w:val="000000"/>
        </w:rPr>
        <w:t>.</w:t>
      </w:r>
    </w:p>
    <w:p w:rsidR="00FD0309" w:rsidRPr="00FD0309"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Wachter, R. (2016). Making IT work: harnessing the power of health information technology to improve care in England. </w:t>
      </w:r>
      <w:r w:rsidRPr="00FD0309">
        <w:rPr>
          <w:rFonts w:ascii="Arial" w:hAnsi="Arial" w:cs="Arial"/>
          <w:i/>
          <w:iCs/>
          <w:color w:val="000000"/>
        </w:rPr>
        <w:t>London, UK: Department of Health</w:t>
      </w:r>
      <w:r w:rsidRPr="00FD0309">
        <w:rPr>
          <w:rFonts w:ascii="Arial" w:hAnsi="Arial" w:cs="Arial"/>
          <w:color w:val="000000"/>
        </w:rPr>
        <w:t>, 1-71.</w:t>
      </w:r>
    </w:p>
    <w:p w:rsidR="00FD0309" w:rsidRPr="00713483" w:rsidRDefault="00FD0309" w:rsidP="00FD0309">
      <w:pPr>
        <w:pStyle w:val="NormalWeb"/>
        <w:spacing w:line="360" w:lineRule="auto"/>
        <w:ind w:left="720" w:hanging="720"/>
        <w:rPr>
          <w:rFonts w:ascii="Arial" w:hAnsi="Arial" w:cs="Arial"/>
          <w:color w:val="000000"/>
        </w:rPr>
      </w:pPr>
      <w:r w:rsidRPr="00FD0309">
        <w:rPr>
          <w:rFonts w:ascii="Arial" w:hAnsi="Arial" w:cs="Arial"/>
          <w:color w:val="000000"/>
        </w:rPr>
        <w:t xml:space="preserve">West, M. A., &amp; Chowla, R. (2017). Compassionate leadership for compassionate health care. </w:t>
      </w:r>
      <w:proofErr w:type="gramStart"/>
      <w:r w:rsidRPr="00713483">
        <w:rPr>
          <w:rFonts w:ascii="Arial" w:hAnsi="Arial" w:cs="Arial"/>
          <w:color w:val="000000"/>
        </w:rPr>
        <w:t>In </w:t>
      </w:r>
      <w:r w:rsidRPr="00713483">
        <w:rPr>
          <w:rFonts w:ascii="Arial" w:hAnsi="Arial" w:cs="Arial"/>
          <w:i/>
          <w:iCs/>
          <w:color w:val="000000"/>
        </w:rPr>
        <w:t>Compassion</w:t>
      </w:r>
      <w:r w:rsidRPr="00713483">
        <w:rPr>
          <w:rFonts w:ascii="Arial" w:hAnsi="Arial" w:cs="Arial"/>
          <w:color w:val="000000"/>
        </w:rPr>
        <w:t> (pp. 237-257).</w:t>
      </w:r>
      <w:proofErr w:type="gramEnd"/>
      <w:r w:rsidRPr="00713483">
        <w:rPr>
          <w:rFonts w:ascii="Arial" w:hAnsi="Arial" w:cs="Arial"/>
          <w:color w:val="000000"/>
        </w:rPr>
        <w:t xml:space="preserve"> </w:t>
      </w:r>
      <w:proofErr w:type="spellStart"/>
      <w:proofErr w:type="gramStart"/>
      <w:r w:rsidRPr="00713483">
        <w:rPr>
          <w:rFonts w:ascii="Arial" w:hAnsi="Arial" w:cs="Arial"/>
          <w:color w:val="000000"/>
        </w:rPr>
        <w:t>Routledge</w:t>
      </w:r>
      <w:proofErr w:type="spellEnd"/>
      <w:r w:rsidRPr="00713483">
        <w:rPr>
          <w:rFonts w:ascii="Arial" w:hAnsi="Arial" w:cs="Arial"/>
          <w:color w:val="000000"/>
        </w:rPr>
        <w:t>.</w:t>
      </w:r>
      <w:proofErr w:type="gramEnd"/>
    </w:p>
    <w:p w:rsidR="00FD0309" w:rsidRPr="00FD0309" w:rsidRDefault="00FD0309" w:rsidP="00FD0309">
      <w:pPr>
        <w:pStyle w:val="NormalWeb"/>
        <w:spacing w:line="360" w:lineRule="auto"/>
        <w:ind w:left="720" w:hanging="720"/>
        <w:rPr>
          <w:rFonts w:ascii="Arial" w:hAnsi="Arial" w:cs="Arial"/>
          <w:color w:val="000000"/>
        </w:rPr>
      </w:pPr>
      <w:proofErr w:type="gramStart"/>
      <w:r w:rsidRPr="00FD0309">
        <w:rPr>
          <w:rFonts w:ascii="Arial" w:hAnsi="Arial" w:cs="Arial"/>
          <w:color w:val="000000"/>
        </w:rPr>
        <w:t>West, M., Eckert, R., Collins, B., &amp; Chowla, R. (2017).</w:t>
      </w:r>
      <w:proofErr w:type="gramEnd"/>
      <w:r w:rsidRPr="00FD0309">
        <w:rPr>
          <w:rFonts w:ascii="Arial" w:hAnsi="Arial" w:cs="Arial"/>
          <w:color w:val="000000"/>
        </w:rPr>
        <w:t> </w:t>
      </w:r>
      <w:r w:rsidRPr="00FD0309">
        <w:rPr>
          <w:rFonts w:ascii="Arial" w:hAnsi="Arial" w:cs="Arial"/>
          <w:i/>
          <w:iCs/>
          <w:color w:val="000000"/>
        </w:rPr>
        <w:t>Caring to change: How compassionate leadership can stimulate innovation in health care</w:t>
      </w:r>
      <w:r w:rsidRPr="00FD0309">
        <w:rPr>
          <w:rFonts w:ascii="Arial" w:hAnsi="Arial" w:cs="Arial"/>
          <w:color w:val="000000"/>
        </w:rPr>
        <w:t>. King's Fund.</w:t>
      </w:r>
    </w:p>
    <w:p w:rsidR="00FD0309" w:rsidRPr="00FD0309" w:rsidRDefault="00FD0309" w:rsidP="00FD0309">
      <w:pPr>
        <w:pStyle w:val="NormalWeb"/>
        <w:spacing w:line="360" w:lineRule="auto"/>
        <w:rPr>
          <w:rFonts w:ascii="Arial" w:hAnsi="Arial" w:cs="Arial"/>
          <w:color w:val="000000"/>
        </w:rPr>
      </w:pPr>
    </w:p>
    <w:p w:rsidR="00D46920" w:rsidRPr="00FD0309" w:rsidRDefault="00D46920" w:rsidP="00FD0309">
      <w:pPr>
        <w:pStyle w:val="NormalWeb"/>
        <w:spacing w:line="360" w:lineRule="auto"/>
        <w:rPr>
          <w:rFonts w:ascii="Arial" w:hAnsi="Arial" w:cs="Arial"/>
          <w:color w:val="000000"/>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p w:rsidR="00D46920" w:rsidRPr="00FD0309" w:rsidRDefault="00D46920" w:rsidP="00FD0309">
      <w:pPr>
        <w:spacing w:line="360" w:lineRule="auto"/>
        <w:rPr>
          <w:rFonts w:ascii="Arial" w:hAnsi="Arial" w:cs="Arial"/>
          <w:b/>
          <w:bCs/>
          <w:sz w:val="32"/>
          <w:szCs w:val="32"/>
        </w:rPr>
      </w:pPr>
    </w:p>
    <w:sectPr w:rsidR="00D46920" w:rsidRPr="00FD0309" w:rsidSect="00515E8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F0E" w:rsidRDefault="00851F0E" w:rsidP="00FD0309">
      <w:pPr>
        <w:spacing w:after="0" w:line="240" w:lineRule="auto"/>
      </w:pPr>
      <w:r>
        <w:separator/>
      </w:r>
    </w:p>
  </w:endnote>
  <w:endnote w:type="continuationSeparator" w:id="0">
    <w:p w:rsidR="00851F0E" w:rsidRDefault="00851F0E" w:rsidP="00FD03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00"/>
    <w:family w:val="swiss"/>
    <w:pitch w:val="variable"/>
    <w:sig w:usb0="E10022FF" w:usb1="C000E47F" w:usb2="00000029" w:usb3="00000000" w:csb0="000001D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09" w:rsidRDefault="00FD03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2422133"/>
      <w:docPartObj>
        <w:docPartGallery w:val="Page Numbers (Bottom of Page)"/>
        <w:docPartUnique/>
      </w:docPartObj>
    </w:sdtPr>
    <w:sdtEndPr>
      <w:rPr>
        <w:noProof/>
      </w:rPr>
    </w:sdtEndPr>
    <w:sdtContent>
      <w:p w:rsidR="00FD0309" w:rsidRDefault="00515E8F">
        <w:pPr>
          <w:pStyle w:val="Footer"/>
          <w:jc w:val="center"/>
        </w:pPr>
        <w:r>
          <w:fldChar w:fldCharType="begin"/>
        </w:r>
        <w:r w:rsidR="00FD0309">
          <w:instrText xml:space="preserve"> PAGE   \* MERGEFORMAT </w:instrText>
        </w:r>
        <w:r>
          <w:fldChar w:fldCharType="separate"/>
        </w:r>
        <w:r w:rsidR="00A62237">
          <w:rPr>
            <w:noProof/>
          </w:rPr>
          <w:t>13</w:t>
        </w:r>
        <w:r>
          <w:rPr>
            <w:noProof/>
          </w:rPr>
          <w:fldChar w:fldCharType="end"/>
        </w:r>
      </w:p>
    </w:sdtContent>
  </w:sdt>
  <w:p w:rsidR="00FD0309" w:rsidRDefault="00FD03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09" w:rsidRDefault="00FD03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F0E" w:rsidRDefault="00851F0E" w:rsidP="00FD0309">
      <w:pPr>
        <w:spacing w:after="0" w:line="240" w:lineRule="auto"/>
      </w:pPr>
      <w:r>
        <w:separator/>
      </w:r>
    </w:p>
  </w:footnote>
  <w:footnote w:type="continuationSeparator" w:id="0">
    <w:p w:rsidR="00851F0E" w:rsidRDefault="00851F0E" w:rsidP="00FD03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09" w:rsidRDefault="00FD03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09" w:rsidRDefault="00FD03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09" w:rsidRDefault="00FD03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9"/>
  </w:num>
  <w:num w:numId="5">
    <w:abstractNumId w:val="12"/>
  </w:num>
  <w:num w:numId="6">
    <w:abstractNumId w:val="11"/>
  </w:num>
  <w:num w:numId="7">
    <w:abstractNumId w:val="1"/>
  </w:num>
  <w:num w:numId="8">
    <w:abstractNumId w:val="2"/>
  </w:num>
  <w:num w:numId="9">
    <w:abstractNumId w:val="8"/>
  </w:num>
  <w:num w:numId="10">
    <w:abstractNumId w:val="10"/>
  </w:num>
  <w:num w:numId="11">
    <w:abstractNumId w:val="5"/>
  </w:num>
  <w:num w:numId="12">
    <w:abstractNumId w:val="6"/>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114199"/>
    <w:rsid w:val="000812B9"/>
    <w:rsid w:val="000B1AFC"/>
    <w:rsid w:val="00114199"/>
    <w:rsid w:val="00515E8F"/>
    <w:rsid w:val="00525D02"/>
    <w:rsid w:val="005C28E8"/>
    <w:rsid w:val="00713483"/>
    <w:rsid w:val="00716EC5"/>
    <w:rsid w:val="007472D0"/>
    <w:rsid w:val="007A3B01"/>
    <w:rsid w:val="00804E06"/>
    <w:rsid w:val="00851F0E"/>
    <w:rsid w:val="00983715"/>
    <w:rsid w:val="00A31E9B"/>
    <w:rsid w:val="00A62237"/>
    <w:rsid w:val="00B054DA"/>
    <w:rsid w:val="00B44499"/>
    <w:rsid w:val="00BE5E2A"/>
    <w:rsid w:val="00BF7A15"/>
    <w:rsid w:val="00CD48DA"/>
    <w:rsid w:val="00D46920"/>
    <w:rsid w:val="00DB1D3C"/>
    <w:rsid w:val="00DE61B4"/>
    <w:rsid w:val="00E831D8"/>
    <w:rsid w:val="00FD03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732]" strokecolor="none [162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199"/>
    <w:rPr>
      <w:rFonts w:ascii="Aptos" w:eastAsia="Aptos" w:hAnsi="Aptos" w:cs="Times New Roman"/>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14199"/>
    <w:pPr>
      <w:spacing w:after="0" w:line="240" w:lineRule="auto"/>
    </w:pPr>
    <w:rPr>
      <w:rFonts w:ascii="Aptos" w:eastAsia="Aptos" w:hAnsi="Aptos" w:cs="Times New Roman"/>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TOCHeading">
    <w:name w:val="TOC Heading"/>
    <w:basedOn w:val="Heading1"/>
    <w:next w:val="Normal"/>
    <w:uiPriority w:val="39"/>
    <w:unhideWhenUsed/>
    <w:qFormat/>
    <w:rsid w:val="00FD0309"/>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FD0309"/>
    <w:pPr>
      <w:spacing w:after="100"/>
    </w:pPr>
  </w:style>
  <w:style w:type="character" w:styleId="Hyperlink">
    <w:name w:val="Hyperlink"/>
    <w:basedOn w:val="DefaultParagraphFont"/>
    <w:uiPriority w:val="99"/>
    <w:unhideWhenUsed/>
    <w:rsid w:val="00FD0309"/>
    <w:rPr>
      <w:color w:val="467886" w:themeColor="hyperlink"/>
      <w:u w:val="single"/>
    </w:rPr>
  </w:style>
  <w:style w:type="paragraph" w:styleId="Header">
    <w:name w:val="header"/>
    <w:basedOn w:val="Normal"/>
    <w:link w:val="HeaderChar"/>
    <w:uiPriority w:val="99"/>
    <w:unhideWhenUsed/>
    <w:rsid w:val="00FD0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309"/>
    <w:rPr>
      <w:rFonts w:ascii="Aptos" w:eastAsia="Aptos" w:hAnsi="Aptos" w:cs="Times New Roman"/>
    </w:rPr>
  </w:style>
  <w:style w:type="paragraph" w:styleId="Footer">
    <w:name w:val="footer"/>
    <w:basedOn w:val="Normal"/>
    <w:link w:val="FooterChar"/>
    <w:uiPriority w:val="99"/>
    <w:unhideWhenUsed/>
    <w:rsid w:val="00FD0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309"/>
    <w:rPr>
      <w:rFonts w:ascii="Aptos" w:eastAsia="Aptos" w:hAnsi="Aptos" w:cs="Times New Roman"/>
    </w:rPr>
  </w:style>
  <w:style w:type="paragraph" w:styleId="BalloonText">
    <w:name w:val="Balloon Text"/>
    <w:basedOn w:val="Normal"/>
    <w:link w:val="BalloonTextChar"/>
    <w:uiPriority w:val="99"/>
    <w:semiHidden/>
    <w:unhideWhenUsed/>
    <w:rsid w:val="007134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483"/>
    <w:rPr>
      <w:rFonts w:ascii="Tahoma" w:eastAsia="Aptos"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egoe UI">
    <w:panose1 w:val="020B0502040204020203"/>
    <w:charset w:val="00"/>
    <w:family w:val="swiss"/>
    <w:pitch w:val="variable"/>
    <w:sig w:usb0="E10022FF" w:usb1="C000E47F" w:usb2="00000029" w:usb3="00000000" w:csb0="000001D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2202"/>
    <w:rsid w:val="00476011"/>
    <w:rsid w:val="007822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A6BCD56924689BD14412BAFD1EDD7">
    <w:name w:val="52AA6BCD56924689BD14412BAFD1EDD7"/>
    <w:rsid w:val="00782202"/>
  </w:style>
  <w:style w:type="paragraph" w:customStyle="1" w:styleId="D8DDECB8EBE741F28B2A3D529BC07513">
    <w:name w:val="D8DDECB8EBE741F28B2A3D529BC07513"/>
    <w:rsid w:val="0078220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Salami</dc:creator>
  <cp:lastModifiedBy>Marin</cp:lastModifiedBy>
  <cp:revision>9</cp:revision>
  <dcterms:created xsi:type="dcterms:W3CDTF">2026-07-29T21:40:00Z</dcterms:created>
  <dcterms:modified xsi:type="dcterms:W3CDTF">2026-07-29T22:00:00Z</dcterms:modified>
</cp:coreProperties>
</file>