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D1B899" w14:textId="77777777" w:rsidR="00700BF2" w:rsidRDefault="00700BF2" w:rsidP="00700BF2">
      <w:pPr>
        <w:jc w:val="center"/>
        <w:rPr>
          <w:rFonts w:ascii="Verdana" w:hAnsi="Verdana"/>
          <w:color w:val="212121"/>
          <w:u w:val="single"/>
          <w:shd w:val="clear" w:color="auto" w:fill="FFFFFF"/>
        </w:rPr>
      </w:pPr>
      <w:r w:rsidRPr="002447C7">
        <w:rPr>
          <w:rFonts w:ascii="Verdana" w:hAnsi="Verdana"/>
          <w:color w:val="212121"/>
          <w:u w:val="single"/>
          <w:shd w:val="clear" w:color="auto" w:fill="FFFFFF"/>
        </w:rPr>
        <w:t>In 1984, Margaret Thatcher warned of the threat posed to British society by what she called “the enemy within.” Which individuals or social groups do you think Thatcher had in mind, and in what ways did state authorities seek to redress their supposed threat?</w:t>
      </w:r>
      <w:r>
        <w:rPr>
          <w:rFonts w:ascii="Verdana" w:hAnsi="Verdana"/>
          <w:color w:val="212121"/>
          <w:u w:val="single"/>
          <w:shd w:val="clear" w:color="auto" w:fill="FFFFFF"/>
        </w:rPr>
        <w:t>-</w:t>
      </w:r>
    </w:p>
    <w:p w14:paraId="14A3BAFF" w14:textId="77777777" w:rsidR="00D213BB" w:rsidRDefault="00D213BB" w:rsidP="00700BF2">
      <w:pPr>
        <w:jc w:val="center"/>
      </w:pPr>
    </w:p>
    <w:p w14:paraId="68499463" w14:textId="77777777" w:rsidR="00700BF2" w:rsidRDefault="00700BF2" w:rsidP="00700BF2">
      <w:pPr>
        <w:jc w:val="center"/>
      </w:pPr>
    </w:p>
    <w:p w14:paraId="69CE8C4E" w14:textId="5ECAAF7C" w:rsidR="00854FDD" w:rsidRDefault="006C6BD3" w:rsidP="00700BF2">
      <w:r>
        <w:t xml:space="preserve">This question </w:t>
      </w:r>
      <w:r w:rsidR="00F83D42">
        <w:t>refers to</w:t>
      </w:r>
      <w:r w:rsidR="00F83D42">
        <w:rPr>
          <w:rStyle w:val="CommentReference"/>
        </w:rPr>
        <w:t xml:space="preserve"> </w:t>
      </w:r>
      <w:r w:rsidR="00A5756F">
        <w:t>Margaret Thatcher and her “the Enemy Within” speech, where she</w:t>
      </w:r>
      <w:r w:rsidR="008C162D">
        <w:t xml:space="preserve"> was going to talk to the 1922 Committee. Where she</w:t>
      </w:r>
      <w:r w:rsidR="00A5756F">
        <w:t xml:space="preserve"> addressed many different individuals and groups. </w:t>
      </w:r>
      <w:r w:rsidR="00777095">
        <w:t xml:space="preserve">However, </w:t>
      </w:r>
      <w:r w:rsidR="00413F56">
        <w:t>s</w:t>
      </w:r>
      <w:r w:rsidR="00A5756F">
        <w:t>he</w:t>
      </w:r>
      <w:r w:rsidR="00777095">
        <w:t xml:space="preserve"> </w:t>
      </w:r>
      <w:r w:rsidR="000761CB">
        <w:t>predominantly</w:t>
      </w:r>
      <w:r w:rsidR="00A5756F">
        <w:t xml:space="preserve"> targets the miners</w:t>
      </w:r>
      <w:r w:rsidR="00777095">
        <w:t xml:space="preserve"> and the trade unions</w:t>
      </w:r>
      <w:r w:rsidR="00A5756F">
        <w:t xml:space="preserve"> throughout this speech.</w:t>
      </w:r>
      <w:r w:rsidR="004C26E0">
        <w:t xml:space="preserve"> It </w:t>
      </w:r>
      <w:r w:rsidR="000761CB">
        <w:t>can be</w:t>
      </w:r>
      <w:r w:rsidR="004C26E0">
        <w:t xml:space="preserve"> seen that Thatcher had an agenda against the trade unions from the start of her premiership</w:t>
      </w:r>
      <w:r w:rsidR="001C4325">
        <w:rPr>
          <w:rStyle w:val="FootnoteReference"/>
        </w:rPr>
        <w:footnoteReference w:id="1"/>
      </w:r>
      <w:r w:rsidR="004C26E0">
        <w:t>.</w:t>
      </w:r>
      <w:r w:rsidR="00413F56">
        <w:t xml:space="preserve"> The Government aimed from the beginning to weaken the power of the trade unions. </w:t>
      </w:r>
      <w:r w:rsidR="006015F7">
        <w:t xml:space="preserve">Thatcher tried to solve the problem of the trade unions and the miners by forcing pit closures and </w:t>
      </w:r>
      <w:r w:rsidR="00E44340">
        <w:t>losing</w:t>
      </w:r>
      <w:r w:rsidR="00F33BDC">
        <w:t xml:space="preserve"> around 64,000</w:t>
      </w:r>
      <w:r w:rsidR="00E44340">
        <w:t xml:space="preserve"> jobs within three years</w:t>
      </w:r>
      <w:r w:rsidR="001C4325">
        <w:rPr>
          <w:rStyle w:val="FootnoteReference"/>
        </w:rPr>
        <w:footnoteReference w:id="2"/>
      </w:r>
      <w:r w:rsidR="00E44340">
        <w:t xml:space="preserve">. </w:t>
      </w:r>
      <w:r w:rsidR="00854FDD">
        <w:t>In the 1979 Co</w:t>
      </w:r>
      <w:r w:rsidR="000761CB">
        <w:t>nservative</w:t>
      </w:r>
      <w:r w:rsidR="00854FDD">
        <w:t xml:space="preserve"> Manifesto, trade union reform is one of their main objectives</w:t>
      </w:r>
      <w:r w:rsidR="001C4325">
        <w:rPr>
          <w:rStyle w:val="FootnoteReference"/>
        </w:rPr>
        <w:footnoteReference w:id="3"/>
      </w:r>
      <w:r w:rsidR="00854FDD">
        <w:t>.</w:t>
      </w:r>
      <w:r w:rsidR="008E639D">
        <w:t xml:space="preserve"> </w:t>
      </w:r>
    </w:p>
    <w:p w14:paraId="33E96D38" w14:textId="3DB3116E" w:rsidR="006015F7" w:rsidRDefault="00E44340" w:rsidP="00700BF2">
      <w:r>
        <w:t>T</w:t>
      </w:r>
      <w:r w:rsidR="00EB5D2E">
        <w:t xml:space="preserve">hatcher </w:t>
      </w:r>
      <w:r>
        <w:t>br</w:t>
      </w:r>
      <w:r w:rsidR="00EB5D2E">
        <w:t>ought</w:t>
      </w:r>
      <w:r>
        <w:t xml:space="preserve"> Ian Macgregor in as</w:t>
      </w:r>
      <w:r w:rsidR="00EB5D2E">
        <w:t xml:space="preserve"> the head of the National Coal board. His appointment was very controversial. </w:t>
      </w:r>
      <w:r w:rsidR="00872C8C">
        <w:t>It was announced on the 28</w:t>
      </w:r>
      <w:r w:rsidR="00872C8C" w:rsidRPr="00872C8C">
        <w:rPr>
          <w:vertAlign w:val="superscript"/>
        </w:rPr>
        <w:t>th</w:t>
      </w:r>
      <w:r w:rsidR="00872C8C">
        <w:t xml:space="preserve"> March 1983. </w:t>
      </w:r>
      <w:r w:rsidR="006E46C4">
        <w:t>However, he started the job on the 1</w:t>
      </w:r>
      <w:r w:rsidR="006E46C4" w:rsidRPr="006E46C4">
        <w:rPr>
          <w:vertAlign w:val="superscript"/>
        </w:rPr>
        <w:t>st</w:t>
      </w:r>
      <w:r w:rsidR="006E46C4">
        <w:t xml:space="preserve"> September</w:t>
      </w:r>
      <w:r w:rsidR="006E46C4">
        <w:rPr>
          <w:rStyle w:val="FootnoteReference"/>
        </w:rPr>
        <w:footnoteReference w:id="4"/>
      </w:r>
      <w:r w:rsidR="006E46C4">
        <w:t xml:space="preserve">. </w:t>
      </w:r>
      <w:r w:rsidR="00872C8C">
        <w:t xml:space="preserve">The National Union of Miners saw this as a really </w:t>
      </w:r>
      <w:r w:rsidR="00DD40A7">
        <w:t>controversial and economic based</w:t>
      </w:r>
      <w:r w:rsidR="00872C8C">
        <w:t xml:space="preserve"> </w:t>
      </w:r>
      <w:r w:rsidR="00E92DFE">
        <w:t xml:space="preserve">appointment, especially for them as </w:t>
      </w:r>
      <w:r w:rsidR="000761CB">
        <w:t xml:space="preserve">it </w:t>
      </w:r>
      <w:r w:rsidR="00E92DFE">
        <w:t>would be later found out when Macgregor announced he had plans to close pits and therefore make a lot of miners redundant. This was further confirmed when both Scargill and Macgregor criticised each other. Scargill first calling Macgregor “the American butcher of British Industry</w:t>
      </w:r>
      <w:r w:rsidR="001C4325">
        <w:rPr>
          <w:rStyle w:val="FootnoteReference"/>
        </w:rPr>
        <w:footnoteReference w:id="5"/>
      </w:r>
      <w:r w:rsidR="00E92DFE">
        <w:t xml:space="preserve">”. It could be said that Macgregor was brought in to help the </w:t>
      </w:r>
      <w:r w:rsidR="007B7D72">
        <w:t>Conservative</w:t>
      </w:r>
      <w:r w:rsidR="00E92DFE">
        <w:t xml:space="preserve"> Government in their aims of lessening the power that the Trade Unions had during the 20</w:t>
      </w:r>
      <w:r w:rsidR="00E92DFE" w:rsidRPr="00E92DFE">
        <w:rPr>
          <w:vertAlign w:val="superscript"/>
        </w:rPr>
        <w:t>th</w:t>
      </w:r>
      <w:r w:rsidR="00E92DFE">
        <w:t xml:space="preserve"> Century. </w:t>
      </w:r>
      <w:r w:rsidR="00EB5D2E">
        <w:t xml:space="preserve"> </w:t>
      </w:r>
      <w:r w:rsidR="001B4703">
        <w:t>This was made clear when the Government closed around 7</w:t>
      </w:r>
      <w:r w:rsidR="0000286A">
        <w:t>0</w:t>
      </w:r>
      <w:r w:rsidR="001B4703">
        <w:t xml:space="preserve"> pits ultimately </w:t>
      </w:r>
      <w:r w:rsidR="00D92D53">
        <w:t xml:space="preserve">trying to destroy mining and the power of trade unions. </w:t>
      </w:r>
    </w:p>
    <w:p w14:paraId="1D0FD1DE" w14:textId="1B427A61" w:rsidR="00CD0488" w:rsidRDefault="00CD0488" w:rsidP="00700BF2">
      <w:r>
        <w:t>The</w:t>
      </w:r>
      <w:r w:rsidR="006332B8">
        <w:t xml:space="preserve"> theories that could be applied in this research are Social Theory and</w:t>
      </w:r>
      <w:r w:rsidR="00C153A9">
        <w:t xml:space="preserve"> history from below and above in a way</w:t>
      </w:r>
      <w:r w:rsidR="006332B8">
        <w:t xml:space="preserve">. </w:t>
      </w:r>
      <w:r>
        <w:t xml:space="preserve">This answer will largely involve more social history theories compared to other theories. </w:t>
      </w:r>
      <w:r w:rsidR="00B31922">
        <w:t xml:space="preserve">This is a social theory essay based on </w:t>
      </w:r>
      <w:r w:rsidR="00C153A9">
        <w:t>the fact in her speech she is largely talking about the British community. She is talking about the lower part of the community. She is aiming at the miners with this speech. This is a history from below combined with social theory.  However, it is also history from above. As, it’s talking about the thoughts of the Prime Minister of the country at the time.</w:t>
      </w:r>
    </w:p>
    <w:p w14:paraId="02F2E0EF" w14:textId="45A5CD5F" w:rsidR="00D902AA" w:rsidRDefault="00D902AA" w:rsidP="00700BF2">
      <w:r>
        <w:t>There is a large amount of history surrounding the miners striking</w:t>
      </w:r>
      <w:r w:rsidR="003C6D0B">
        <w:t xml:space="preserve"> in Britain especially. The first one</w:t>
      </w:r>
      <w:r w:rsidR="000761CB">
        <w:t xml:space="preserve"> </w:t>
      </w:r>
      <w:r w:rsidR="003C6D0B">
        <w:t>of the strikes being in 1893</w:t>
      </w:r>
      <w:r w:rsidR="000761CB">
        <w:t>,</w:t>
      </w:r>
      <w:r w:rsidR="003C6D0B">
        <w:t xml:space="preserve"> </w:t>
      </w:r>
      <w:r w:rsidR="000761CB">
        <w:t>w</w:t>
      </w:r>
      <w:r w:rsidR="0000286A">
        <w:t xml:space="preserve">hich was a Welsh coal strike. There has been eight mining strikes </w:t>
      </w:r>
      <w:r w:rsidR="0000286A">
        <w:lastRenderedPageBreak/>
        <w:t>throughout Britain</w:t>
      </w:r>
      <w:r w:rsidR="000761CB">
        <w:t>;</w:t>
      </w:r>
      <w:r w:rsidR="0000286A">
        <w:t xml:space="preserve"> </w:t>
      </w:r>
      <w:r w:rsidR="000761CB">
        <w:t>t</w:t>
      </w:r>
      <w:r w:rsidR="0000286A">
        <w:t>his 1984 to 1985 strike was the last of these.</w:t>
      </w:r>
      <w:r w:rsidR="000761CB">
        <w:t xml:space="preserve"> </w:t>
      </w:r>
      <w:r w:rsidR="0000286A">
        <w:t>Thatcher’s plans to close down an increasing number of mines ending with around 70 pit closures in the long term.</w:t>
      </w:r>
      <w:r w:rsidR="000562AB">
        <w:t xml:space="preserve"> </w:t>
      </w:r>
    </w:p>
    <w:p w14:paraId="3AABD58A" w14:textId="5CCCF9CC" w:rsidR="00447BC3" w:rsidRDefault="00A5756F" w:rsidP="00700BF2">
      <w:bookmarkStart w:id="2" w:name="_Hlk500330622"/>
      <w:r>
        <w:t xml:space="preserve">The </w:t>
      </w:r>
      <w:r w:rsidR="006015F7">
        <w:t>Miners’</w:t>
      </w:r>
      <w:r>
        <w:t xml:space="preserve"> strike played a </w:t>
      </w:r>
      <w:r w:rsidR="009915F7">
        <w:t>crucial role</w:t>
      </w:r>
      <w:r>
        <w:t xml:space="preserve"> </w:t>
      </w:r>
      <w:r w:rsidR="009915F7">
        <w:t>in</w:t>
      </w:r>
      <w:r>
        <w:t xml:space="preserve"> her time as Prime Minister. She knew a strike was coming. She had prepared thoroughly for the strike</w:t>
      </w:r>
      <w:r w:rsidR="009915F7">
        <w:t>,</w:t>
      </w:r>
      <w:r>
        <w:t xml:space="preserve"> </w:t>
      </w:r>
      <w:r w:rsidR="009915F7">
        <w:t>a</w:t>
      </w:r>
      <w:r>
        <w:t>s it had already happened to the previous prime ministers.</w:t>
      </w:r>
      <w:r w:rsidR="00BC030B">
        <w:t xml:space="preserve"> </w:t>
      </w:r>
      <w:r w:rsidR="00447BC3">
        <w:t>For example, it happened to Heath’s government in 1974</w:t>
      </w:r>
      <w:r w:rsidR="001C4325">
        <w:rPr>
          <w:rStyle w:val="FootnoteReference"/>
        </w:rPr>
        <w:footnoteReference w:id="6"/>
      </w:r>
      <w:r w:rsidR="00447BC3">
        <w:t>.</w:t>
      </w:r>
      <w:r w:rsidR="005A323A">
        <w:t xml:space="preserve"> Thatcher had witnessed both the 1972 and 1974 miners strikes.</w:t>
      </w:r>
      <w:r w:rsidR="00856872">
        <w:t xml:space="preserve"> </w:t>
      </w:r>
      <w:r w:rsidR="00F267AD">
        <w:t xml:space="preserve">Both the 1972 and the 1974 were controversial and could be seen as </w:t>
      </w:r>
      <w:r w:rsidR="00EB59B8">
        <w:t>devastating</w:t>
      </w:r>
      <w:r w:rsidR="00F267AD">
        <w:t xml:space="preserve"> for Edward Heath as Prime Minister.</w:t>
      </w:r>
      <w:r w:rsidR="00EB59B8">
        <w:t>it ultimately led to the fall of his Conservative Government.</w:t>
      </w:r>
      <w:r w:rsidR="00F267AD">
        <w:t xml:space="preserve"> The 1972 miners strike was controversial due to the violence that happened </w:t>
      </w:r>
      <w:r w:rsidR="009915F7">
        <w:t>at the time</w:t>
      </w:r>
      <w:r w:rsidR="00F267AD">
        <w:t>. Even a miner died during the strike on the 8</w:t>
      </w:r>
      <w:r w:rsidR="00F267AD" w:rsidRPr="00F267AD">
        <w:rPr>
          <w:vertAlign w:val="superscript"/>
        </w:rPr>
        <w:t>th</w:t>
      </w:r>
      <w:r w:rsidR="00F267AD">
        <w:t xml:space="preserve"> of February Freddie Mathews died as he got hit by a lorry while picketing</w:t>
      </w:r>
      <w:r w:rsidR="001C4325">
        <w:rPr>
          <w:rStyle w:val="FootnoteReference"/>
        </w:rPr>
        <w:footnoteReference w:id="7"/>
      </w:r>
      <w:r w:rsidR="00F267AD">
        <w:t>. There was way too much violence considering the miners were only asking for a pay rise via a ballot. They won the strike as they did a gain a pay rise, it was considere</w:t>
      </w:r>
      <w:r w:rsidR="0025019C">
        <w:t xml:space="preserve">d </w:t>
      </w:r>
      <w:r w:rsidR="00EB59B8">
        <w:t>that the people who were causing all the violence</w:t>
      </w:r>
      <w:r w:rsidR="0025019C">
        <w:t xml:space="preserve"> </w:t>
      </w:r>
      <w:r w:rsidR="00EB59B8">
        <w:t>by</w:t>
      </w:r>
      <w:r w:rsidR="0025019C">
        <w:t xml:space="preserve"> the cabinet</w:t>
      </w:r>
      <w:r w:rsidR="001C4325">
        <w:rPr>
          <w:rStyle w:val="FootnoteReference"/>
        </w:rPr>
        <w:footnoteReference w:id="8"/>
      </w:r>
      <w:r w:rsidR="0025019C">
        <w:t xml:space="preserve">. Therefore, this was seen as a major mishap for the Government and especially for Prime Minister Edward Heath. As, it shows that he was weak to allow the strike and the pay rise itself. The 1974 strike was during the three day week. Miner’s wages were low at the time and therefore they were not in favour of the three day week. The National Union of Mineworkers went on strike in January 1974. At the time of the strike, the Government therefore called an election in February 1974 trying to use the Miner’s strike as part of his campaign. However, this did backfire on Heath as </w:t>
      </w:r>
      <w:r w:rsidR="00E86DD7">
        <w:t>the result</w:t>
      </w:r>
      <w:r w:rsidR="0025019C">
        <w:t xml:space="preserve"> was a hung parliament. With the Conservatives losing their majority, despite still having the most votes. This is a mistake of Heath’s and also shows him as weak </w:t>
      </w:r>
      <w:r w:rsidR="00E82E5E">
        <w:t>for losing the Conservative’s majority</w:t>
      </w:r>
      <w:r w:rsidR="0025019C">
        <w:t xml:space="preserve">. The miner’s strike completely embarrassed Heath as a Prime Minister. 1974 was not the right time to call for an election. </w:t>
      </w:r>
      <w:r w:rsidR="006015F7">
        <w:t>This gave Thatcher more incentive to not get humiliated by the miners and by the trade unions</w:t>
      </w:r>
      <w:r w:rsidR="00E44340">
        <w:t xml:space="preserve"> unlike her predecessors.</w:t>
      </w:r>
      <w:r w:rsidR="00ED61F1">
        <w:t xml:space="preserve"> Therefore, she thought she had to be extra forceful in what exactly she did. </w:t>
      </w:r>
      <w:r w:rsidR="006E29B6">
        <w:t>There was no element of holding back for Thatcher against the miners.</w:t>
      </w:r>
    </w:p>
    <w:p w14:paraId="6D2BE91F" w14:textId="4C43841D" w:rsidR="0000286A" w:rsidRDefault="0014041B" w:rsidP="00700BF2">
      <w:r>
        <w:t>This ver</w:t>
      </w:r>
      <w:r w:rsidR="002110E3">
        <w:t xml:space="preserve">y famous speech that was made in 1984 </w:t>
      </w:r>
      <w:r w:rsidR="007B7D72">
        <w:t>on the 12</w:t>
      </w:r>
      <w:r w:rsidR="007B7D72" w:rsidRPr="007B7D72">
        <w:rPr>
          <w:vertAlign w:val="superscript"/>
        </w:rPr>
        <w:t>th</w:t>
      </w:r>
      <w:r w:rsidR="007B7D72">
        <w:t xml:space="preserve"> of October</w:t>
      </w:r>
      <w:r w:rsidR="001C4325">
        <w:rPr>
          <w:rStyle w:val="FootnoteReference"/>
        </w:rPr>
        <w:footnoteReference w:id="9"/>
      </w:r>
      <w:r w:rsidR="007B7D72" w:rsidRPr="00197019">
        <w:t>.</w:t>
      </w:r>
      <w:r w:rsidR="002110E3" w:rsidRPr="002110E3">
        <w:rPr>
          <w:color w:val="FF0000"/>
        </w:rPr>
        <w:t xml:space="preserve"> </w:t>
      </w:r>
      <w:r w:rsidR="002110E3">
        <w:t xml:space="preserve">Thatcher refers to the Falklands War as </w:t>
      </w:r>
      <w:r w:rsidR="009915F7">
        <w:t>“</w:t>
      </w:r>
      <w:r w:rsidR="002110E3">
        <w:t>the enemy without</w:t>
      </w:r>
      <w:r w:rsidR="009915F7">
        <w:t>”</w:t>
      </w:r>
      <w:r w:rsidR="002110E3">
        <w:t xml:space="preserve"> and the Miners and trade unionists as </w:t>
      </w:r>
      <w:r w:rsidR="009915F7">
        <w:t>“</w:t>
      </w:r>
      <w:r w:rsidR="002110E3">
        <w:t>the enemy within</w:t>
      </w:r>
      <w:r w:rsidR="009915F7">
        <w:t>”</w:t>
      </w:r>
      <w:r w:rsidR="002110E3">
        <w:t>.</w:t>
      </w:r>
      <w:r w:rsidR="003E198B">
        <w:t xml:space="preserve"> Thatcher did claim that “the enemy within” was more difficult to fight than the “enemy without”</w:t>
      </w:r>
      <w:r w:rsidR="005A323A">
        <w:t xml:space="preserve"> at the Falklands War.</w:t>
      </w:r>
      <w:r w:rsidR="00750389">
        <w:t xml:space="preserve"> This shows how much of a threat that Thatcher thought the miners and the trade unions to be. If it is more difficult to fight a community in your own country rather than an enemy country who you are physically fighting against on a battlefield. Th</w:t>
      </w:r>
      <w:r w:rsidR="001328EC">
        <w:t>atcher must have thought the miners strike and the violence it produced, also how stubborn the National Union of Miners and miners throughout the strike. It is understandable that she thought there was a bigger threat within the country rather than overseas even though they were still British territories. There would have been more of a danger to the Government and Britain as the Falklands War was never going to affect Britain itself, just their overseas territories.</w:t>
      </w:r>
    </w:p>
    <w:bookmarkEnd w:id="2"/>
    <w:p w14:paraId="489B40DF" w14:textId="06A40531" w:rsidR="002110E3" w:rsidRDefault="006015F7" w:rsidP="00700BF2">
      <w:r>
        <w:t xml:space="preserve">One of the people that Thatcher was aiming at with this speech is Arthur Scargill the </w:t>
      </w:r>
      <w:r w:rsidR="00E44340">
        <w:t>l</w:t>
      </w:r>
      <w:r>
        <w:t>eader of the National Union of Miners during their most well-known miners</w:t>
      </w:r>
      <w:r w:rsidR="00E44340">
        <w:t>’</w:t>
      </w:r>
      <w:r>
        <w:t xml:space="preserve"> strike of 1984/85</w:t>
      </w:r>
      <w:r w:rsidR="00854FDD">
        <w:t>. He was a controversial figure.</w:t>
      </w:r>
      <w:r>
        <w:t xml:space="preserve"> </w:t>
      </w:r>
      <w:r w:rsidR="003D3296">
        <w:t>As he did not call a ballot for the miners strike of 1984/85</w:t>
      </w:r>
      <w:r w:rsidR="006332B8">
        <w:t xml:space="preserve"> as he didn’t have to, </w:t>
      </w:r>
      <w:r w:rsidR="006332B8">
        <w:lastRenderedPageBreak/>
        <w:t>but he did not want to take the gamble that everyone would support the strike.</w:t>
      </w:r>
      <w:r w:rsidR="003D3296">
        <w:t>Even though it</w:t>
      </w:r>
      <w:r w:rsidR="009915F7">
        <w:t xml:space="preserve"> was not</w:t>
      </w:r>
      <w:r w:rsidR="003D3296">
        <w:t xml:space="preserve"> not illegal at this time it is still controversial as it was what had been previously done.</w:t>
      </w:r>
      <w:r w:rsidR="00852AD1">
        <w:t xml:space="preserve"> However, the previous ballots in January and October 1982 and March 1983, all did</w:t>
      </w:r>
      <w:r w:rsidR="009915F7">
        <w:t xml:space="preserve"> not</w:t>
      </w:r>
      <w:r w:rsidR="00852AD1">
        <w:t xml:space="preserve"> have a positive result for those people that wanted </w:t>
      </w:r>
      <w:r w:rsidR="00066C2E">
        <w:t>a strike to occur.</w:t>
      </w:r>
      <w:r w:rsidR="009574F7">
        <w:t xml:space="preserve"> The miners</w:t>
      </w:r>
      <w:r w:rsidR="009915F7">
        <w:t>’</w:t>
      </w:r>
      <w:r w:rsidR="009574F7">
        <w:t xml:space="preserve"> strike was </w:t>
      </w:r>
      <w:r w:rsidR="00852AD1">
        <w:t xml:space="preserve">in some people’s view </w:t>
      </w:r>
      <w:r w:rsidR="00190478">
        <w:t>made all about Arthur Scargill.</w:t>
      </w:r>
      <w:r w:rsidR="001C4325">
        <w:rPr>
          <w:rStyle w:val="FootnoteReference"/>
        </w:rPr>
        <w:footnoteReference w:id="10"/>
      </w:r>
      <w:r w:rsidR="00852AD1">
        <w:t>”. Furthermore, Times journalist Paul Routledge talked to the Queen who claimed that the Miner’s strike was “all about one man</w:t>
      </w:r>
      <w:r w:rsidR="001C4325">
        <w:rPr>
          <w:rStyle w:val="FootnoteReference"/>
        </w:rPr>
        <w:footnoteReference w:id="11"/>
      </w:r>
      <w:r w:rsidR="00852AD1">
        <w:t xml:space="preserve">”. </w:t>
      </w:r>
      <w:r w:rsidR="007D6AAB">
        <w:t xml:space="preserve"> </w:t>
      </w:r>
      <w:r w:rsidR="00066C2E">
        <w:t>There were many assumptions regarding the Miners</w:t>
      </w:r>
      <w:r w:rsidR="00505325">
        <w:t>’</w:t>
      </w:r>
      <w:r w:rsidR="00066C2E">
        <w:t xml:space="preserve"> Strike and many points of view that are still </w:t>
      </w:r>
      <w:r w:rsidR="009915F7">
        <w:t>being discussed</w:t>
      </w:r>
      <w:r w:rsidR="00066C2E">
        <w:t xml:space="preserve"> today. </w:t>
      </w:r>
      <w:r w:rsidR="00D47A2B">
        <w:t>Ultimately, Scargill’s thought process was correct as he claimed the Government’s plan was to get rid of the Mining industry by getting rid of more pits as time progressed</w:t>
      </w:r>
      <w:r w:rsidR="001C4325">
        <w:rPr>
          <w:rStyle w:val="FootnoteReference"/>
        </w:rPr>
        <w:footnoteReference w:id="12"/>
      </w:r>
      <w:r w:rsidR="00D47A2B">
        <w:t>.</w:t>
      </w:r>
      <w:r w:rsidR="001B4703">
        <w:t xml:space="preserve"> There was a clear hatred between both the miners and the Government. Specifically, between the National Union of Miners and the Government. </w:t>
      </w:r>
      <w:r w:rsidR="00D47A2B">
        <w:t xml:space="preserve"> </w:t>
      </w:r>
    </w:p>
    <w:p w14:paraId="07149989" w14:textId="238AC57A" w:rsidR="00742163" w:rsidRDefault="008D4F70" w:rsidP="00700BF2">
      <w:r>
        <w:t xml:space="preserve">It could be argued that Thatcher also was talking about the travellers throughout this speech too. There were a few instances to do with the police and the travellers. Therefore, the Government were also involved in these scenarios too. The main incident however was in 1985, a year after Thatcher’s famous speech. </w:t>
      </w:r>
      <w:r w:rsidR="00110E09">
        <w:t>Under instruction, the police were allowed to go into the fields where the travellers had been and use violence on whoever and whatever they wanted to.</w:t>
      </w:r>
      <w:r w:rsidR="008223B0" w:rsidRPr="008223B0">
        <w:t xml:space="preserve"> </w:t>
      </w:r>
      <w:r w:rsidR="008223B0">
        <w:t xml:space="preserve">Therefore, it makes it less likely she was talking specifically about the travellers, even if there are problems there she would not address those issues unless an incident had occurred previous. </w:t>
      </w:r>
      <w:r w:rsidR="00110E09">
        <w:t xml:space="preserve"> They assaulted and arrested the travellers and smashed up their vehicles</w:t>
      </w:r>
      <w:r w:rsidR="00930E02">
        <w:rPr>
          <w:rStyle w:val="FootnoteReference"/>
        </w:rPr>
        <w:footnoteReference w:id="13"/>
      </w:r>
      <w:r w:rsidR="00110E09">
        <w:t xml:space="preserve">. It is claimed that they tried to stop the traveller movement from doing rebellious activities again. </w:t>
      </w:r>
      <w:r w:rsidR="008223B0">
        <w:t>This is shown later on by Thatcher and the government creating the Public Order Act 1986 and after Thatcher the Government created Criminal Justice Act of 1994, where it aimed and largely succeeded in decreasing the traveller community and even trying to terminate the community as a whole</w:t>
      </w:r>
      <w:r w:rsidR="00930E02">
        <w:rPr>
          <w:rStyle w:val="FootnoteReference"/>
        </w:rPr>
        <w:footnoteReference w:id="14"/>
      </w:r>
      <w:r w:rsidR="008223B0">
        <w:t>.</w:t>
      </w:r>
      <w:r w:rsidR="00E4127C">
        <w:t xml:space="preserve"> This shows Thatcher</w:t>
      </w:r>
      <w:r w:rsidR="005709F3">
        <w:t xml:space="preserve">’s ideas ultimately showing up in her most well-known speech. </w:t>
      </w:r>
      <w:r w:rsidR="00575A4D">
        <w:t xml:space="preserve">What Thatcher wanted to change when she was voted in to be Prime Minister is that of stopping the traveller movement, closes the mines and making the trade unions lose the amount of power they had. These ideas are shown in a smaller way </w:t>
      </w:r>
      <w:r w:rsidR="00147654">
        <w:t xml:space="preserve">in the “enemy within” speech. </w:t>
      </w:r>
    </w:p>
    <w:p w14:paraId="3C52CD2C" w14:textId="77777777" w:rsidR="0014041B" w:rsidRDefault="00BC030B" w:rsidP="00700BF2">
      <w:r>
        <w:t>Another key factor is the closure of societies and councils that helped both the miners and the Government.</w:t>
      </w:r>
      <w:r w:rsidR="00E44340">
        <w:t xml:space="preserve"> The National Economic Development Council and Manpower Services Commission.</w:t>
      </w:r>
      <w:r w:rsidR="00CD0488">
        <w:t xml:space="preserve"> </w:t>
      </w:r>
      <w:r w:rsidR="00A36A0B">
        <w:t xml:space="preserve"> </w:t>
      </w:r>
      <w:r w:rsidR="000668DC">
        <w:t>The National Economic Development Council was made to bring the Government, trade unions closer together. However, once Thatcher was in power and her aims were to reduce the power of trade unions, then there was no need for a council that intended to do the opposite to what Thatcher wanted herself.  The Manpower Services Commission was meant to be a very helpful initiative for workers as it’s main aim was to lessen the unemployment figures. However, it did not have an impact especially considering the amount of jobs that were being lost in mining. Margaret Thatcher therefore, was not a prime minister who was for the workers. As seen by these two initiatives that were quickly not needed in a Thatcher regime. Where her main focus was the trade unions and shutting down the mining pits.</w:t>
      </w:r>
      <w:r w:rsidR="008F018D">
        <w:t xml:space="preserve"> These two regimes </w:t>
      </w:r>
      <w:r w:rsidR="00BE32A5">
        <w:t>can be used as examples, from the start these regimes were quickly frozen out of the Government’s thinking.</w:t>
      </w:r>
    </w:p>
    <w:p w14:paraId="4F95F7DC" w14:textId="5338E0F7" w:rsidR="00E44340" w:rsidRDefault="00E44340" w:rsidP="00700BF2">
      <w:r>
        <w:lastRenderedPageBreak/>
        <w:t xml:space="preserve">The police played a key role in the Miners strike too. </w:t>
      </w:r>
      <w:r w:rsidR="00E54319">
        <w:t>The police were encouraged to go beyond their previous boundaries</w:t>
      </w:r>
      <w:r>
        <w:t xml:space="preserve"> by the Government to produce violence against the miners</w:t>
      </w:r>
      <w:r w:rsidR="001C4325">
        <w:rPr>
          <w:rStyle w:val="FootnoteReference"/>
        </w:rPr>
        <w:footnoteReference w:id="15"/>
      </w:r>
      <w:r>
        <w:t>. The worst was Orgreave.</w:t>
      </w:r>
      <w:r w:rsidR="00A72196">
        <w:t xml:space="preserve"> The miners were shepherded into a field with many police officers with batons and shields. The police </w:t>
      </w:r>
      <w:r w:rsidR="0006483B">
        <w:t>caused injury to 123</w:t>
      </w:r>
      <w:r w:rsidR="00A72196">
        <w:t xml:space="preserve"> miners </w:t>
      </w:r>
      <w:r w:rsidR="0006483B">
        <w:t xml:space="preserve">who </w:t>
      </w:r>
      <w:r w:rsidR="00A72196">
        <w:t>had no chance to even fight back.</w:t>
      </w:r>
      <w:r w:rsidR="0006483B">
        <w:t xml:space="preserve"> The Orgreave incident left 123 people with non-fatal injuries</w:t>
      </w:r>
      <w:r w:rsidR="00197019">
        <w:t>.</w:t>
      </w:r>
      <w:r w:rsidR="00A72196">
        <w:t xml:space="preserve"> It has been said that Thatcher didn’t organise or tell the police to do this. However, she didn’t dismiss the idea or criticise them for it afterwards.</w:t>
      </w:r>
      <w:r w:rsidR="0006483B">
        <w:t xml:space="preserve"> However, South Yorkshire Police did have to pay around £425,000 in compensation to 39 miners.</w:t>
      </w:r>
      <w:r w:rsidR="00BE32A5">
        <w:t xml:space="preserve"> A large factor </w:t>
      </w:r>
      <w:r w:rsidR="009915F7">
        <w:t>in</w:t>
      </w:r>
      <w:r w:rsidR="00BE32A5">
        <w:t xml:space="preserve"> the miners strike was the violence that the police were allowed to use. The</w:t>
      </w:r>
      <w:r w:rsidR="00E54319">
        <w:t>re</w:t>
      </w:r>
      <w:r w:rsidR="003201E6">
        <w:rPr>
          <w:rStyle w:val="CommentReference"/>
        </w:rPr>
        <w:t xml:space="preserve"> </w:t>
      </w:r>
      <w:r w:rsidR="00BE32A5">
        <w:t>should have been more boundaries for the police to not hurt the miners unless they were provoked. David Jones was a victim of police attack. He</w:t>
      </w:r>
      <w:r w:rsidR="00F07088">
        <w:t xml:space="preserve"> died on March 15</w:t>
      </w:r>
      <w:r w:rsidR="00F07088" w:rsidRPr="00F07088">
        <w:rPr>
          <w:vertAlign w:val="superscript"/>
        </w:rPr>
        <w:t>th</w:t>
      </w:r>
      <w:r w:rsidR="00F07088">
        <w:t xml:space="preserve"> 1984</w:t>
      </w:r>
      <w:r w:rsidR="001C4325">
        <w:rPr>
          <w:rStyle w:val="FootnoteReference"/>
        </w:rPr>
        <w:footnoteReference w:id="16"/>
      </w:r>
      <w:r w:rsidR="00F07088">
        <w:t>. After he was picketing in Ollerton, he got hit by a brick and he died of chest wounds later that day.  His story is very well publicised. Above all, it showed that being one of the targets of Thatcher would only unite the miners</w:t>
      </w:r>
      <w:r w:rsidR="009915F7">
        <w:t>,</w:t>
      </w:r>
      <w:r w:rsidR="00F07088">
        <w:t xml:space="preserve"> 3,000 people</w:t>
      </w:r>
      <w:r w:rsidR="00274B70">
        <w:t xml:space="preserve"> predominantly miners</w:t>
      </w:r>
      <w:r w:rsidR="003D1D4F">
        <w:t>,</w:t>
      </w:r>
      <w:r w:rsidR="00F07088">
        <w:t xml:space="preserve"> attended his funeral</w:t>
      </w:r>
      <w:r w:rsidR="009915F7">
        <w:t xml:space="preserve"> showed a real collective front.</w:t>
      </w:r>
      <w:r w:rsidR="003D1D4F">
        <w:t xml:space="preserve"> </w:t>
      </w:r>
      <w:r w:rsidR="00854FDD">
        <w:t xml:space="preserve"> </w:t>
      </w:r>
    </w:p>
    <w:p w14:paraId="47529BD2" w14:textId="05A8298F" w:rsidR="00A5756F" w:rsidRDefault="00774642" w:rsidP="00700BF2">
      <w:r>
        <w:t>Margaret Thatcher wr</w:t>
      </w:r>
      <w:r w:rsidR="002764E6">
        <w:t>ote</w:t>
      </w:r>
      <w:r>
        <w:t xml:space="preserve"> her own book </w:t>
      </w:r>
      <w:r w:rsidRPr="00774642">
        <w:rPr>
          <w:i/>
        </w:rPr>
        <w:t>The Downing Street Years</w:t>
      </w:r>
      <w:r>
        <w:rPr>
          <w:rStyle w:val="FootnoteReference"/>
          <w:i/>
        </w:rPr>
        <w:footnoteReference w:id="17"/>
      </w:r>
      <w:r w:rsidR="00627C4C">
        <w:t>. Where she writes all about her life including her time as Prime Minister.</w:t>
      </w:r>
      <w:r w:rsidR="00B528E5">
        <w:t xml:space="preserve"> She also writes extensively about trade unions and what her thoughts actually were at the time. She claims that she never thought that the level of unemployment and the power of trade unions were related to one another</w:t>
      </w:r>
      <w:r w:rsidR="001C4325">
        <w:rPr>
          <w:rStyle w:val="FootnoteReference"/>
        </w:rPr>
        <w:footnoteReference w:id="18"/>
      </w:r>
      <w:r w:rsidR="00B528E5">
        <w:t xml:space="preserve">. </w:t>
      </w:r>
      <w:r w:rsidR="00EB5C4C">
        <w:t xml:space="preserve">This shows her thinking about her wanting to limit the trade union power. She then goes on to say that </w:t>
      </w:r>
      <w:r w:rsidR="004B25A1">
        <w:t>the trade unions were “pricing their members out of jobs”. It seems therefore that, the trade unions were getting slightly greedy with the pow</w:t>
      </w:r>
      <w:r w:rsidR="002F2BA3">
        <w:t>er. They should have taken more of the people’s feelings into consideration it seems according to Thatcher’s writing.</w:t>
      </w:r>
      <w:r w:rsidR="00045841">
        <w:t xml:space="preserve"> In her book, Thatcher also writes a chapter about the leader of th</w:t>
      </w:r>
      <w:r w:rsidR="002C43CF">
        <w:t>e National Union of Mineworkers,</w:t>
      </w:r>
      <w:r w:rsidR="00045841">
        <w:t xml:space="preserve"> Arthur Scargill </w:t>
      </w:r>
      <w:r w:rsidR="009A1114">
        <w:t>she calls it “Arthur Scargill’s Insurrection</w:t>
      </w:r>
      <w:r w:rsidR="001C4325">
        <w:rPr>
          <w:rStyle w:val="FootnoteReference"/>
        </w:rPr>
        <w:footnoteReference w:id="19"/>
      </w:r>
      <w:r w:rsidR="009A1114">
        <w:t>”.</w:t>
      </w:r>
      <w:r w:rsidR="003971BC">
        <w:t xml:space="preserve"> </w:t>
      </w:r>
      <w:r w:rsidR="00973416">
        <w:t>She</w:t>
      </w:r>
      <w:r w:rsidR="004A6001">
        <w:t xml:space="preserve"> talks about the political appointment of Macgregor, she talks about whether or not Scargill should have balloted. </w:t>
      </w:r>
      <w:r w:rsidR="003D1D4F">
        <w:t>Ultimately, Thatcher was writing about Scargill and what events took place during the strike, making conclusions on his decision making.</w:t>
      </w:r>
      <w:r w:rsidR="00203882">
        <w:t xml:space="preserve"> Thatcher’s thinking is very interesting to read and what she thought was best for Britain. Her book does show her aims as a whole,</w:t>
      </w:r>
      <w:r w:rsidR="00F64547">
        <w:t xml:space="preserve"> </w:t>
      </w:r>
      <w:r w:rsidR="00203882">
        <w:t xml:space="preserve">when she took power she did aim to weaken the trade unions and lessen the mining industry. </w:t>
      </w:r>
    </w:p>
    <w:p w14:paraId="4730AC84" w14:textId="1B853920" w:rsidR="002110E3" w:rsidRDefault="00D441E9" w:rsidP="00700BF2">
      <w:r>
        <w:t xml:space="preserve">The 1980 and 1982 Employment acts were similar as they both tried to stop picketing. The 1980 Employment Act </w:t>
      </w:r>
      <w:r w:rsidR="00BD0C60">
        <w:t>restricted the picket line numbers to six</w:t>
      </w:r>
      <w:r>
        <w:t>. As a result, 290,000 picketers were caught during March and September of 1984.</w:t>
      </w:r>
      <w:r w:rsidR="00BD0C60">
        <w:t xml:space="preserve"> Furthermore, the 1980 Employment Act abolished trade union recognition rights. Whereas, the main points of the 1982 Employment Act were that it made the trade unions liable for any damage that </w:t>
      </w:r>
      <w:r w:rsidR="006D0E2C">
        <w:t>was caused by the people that were on strike. Fines of up to £250,000 could be paid. If it was more the trade union budget itself would take a substantial cut. This is the start of the difficult time that Thatcher put the Trade Unions and miners under during her time as Prime Minister.</w:t>
      </w:r>
      <w:r w:rsidR="001C4325">
        <w:rPr>
          <w:rStyle w:val="FootnoteReference"/>
        </w:rPr>
        <w:footnoteReference w:id="20"/>
      </w:r>
      <w:r w:rsidR="002B36F1">
        <w:t xml:space="preserve"> </w:t>
      </w:r>
    </w:p>
    <w:p w14:paraId="31572D01" w14:textId="6CBD5045" w:rsidR="00D441E9" w:rsidRDefault="00D441E9" w:rsidP="00700BF2">
      <w:r>
        <w:lastRenderedPageBreak/>
        <w:t>The Trade Union Act of 1984 was a very crucial law put in place by the Government. It made sure that there could not be a strike without there being a ballot put in place first</w:t>
      </w:r>
      <w:r w:rsidR="001C4325">
        <w:rPr>
          <w:rStyle w:val="FootnoteReference"/>
        </w:rPr>
        <w:footnoteReference w:id="21"/>
      </w:r>
      <w:r>
        <w:t>. Therefore, this made the Miners strike of 1984/85 seem very questionable as the Miners did not have a choice to vote on the matter.</w:t>
      </w:r>
      <w:r w:rsidR="0077471A">
        <w:t xml:space="preserve"> This law made it extremely difficult for the striking miners and their families to live</w:t>
      </w:r>
      <w:r>
        <w:t>.</w:t>
      </w:r>
      <w:r w:rsidR="006D0E2C">
        <w:t xml:space="preserve"> </w:t>
      </w:r>
      <w:r w:rsidR="009530B2">
        <w:t>Furthermore, the Government introduced a ten year ballot whether or not the unions should have a political ballot for example</w:t>
      </w:r>
      <w:r w:rsidR="002764E6">
        <w:t>,</w:t>
      </w:r>
      <w:r w:rsidR="009530B2">
        <w:t xml:space="preserve"> union money being spent on political campaigning</w:t>
      </w:r>
      <w:r w:rsidR="001C4325">
        <w:rPr>
          <w:rStyle w:val="FootnoteReference"/>
        </w:rPr>
        <w:footnoteReference w:id="22"/>
      </w:r>
      <w:r w:rsidR="009530B2">
        <w:t>. This law was very harsh on the miners. However, it was a very tactical move by the Government. As it made the Miners strike at the time seem not quite right</w:t>
      </w:r>
      <w:r w:rsidR="00BE32A5">
        <w:t xml:space="preserve"> to the outsiders looking into this situation. </w:t>
      </w:r>
      <w:r w:rsidR="00374808">
        <w:t xml:space="preserve">Thatcher knew what to do as in the terms of what laws to introduce </w:t>
      </w:r>
      <w:r w:rsidR="00F714F9">
        <w:t xml:space="preserve">at specific times. </w:t>
      </w:r>
      <w:r w:rsidR="003F1E90">
        <w:t xml:space="preserve">She knew that this law would cause a problem </w:t>
      </w:r>
      <w:r w:rsidR="002764E6">
        <w:t>for</w:t>
      </w:r>
      <w:r w:rsidR="003F1E90">
        <w:t xml:space="preserve"> the miners. </w:t>
      </w:r>
    </w:p>
    <w:p w14:paraId="78664C29" w14:textId="188FEEFF" w:rsidR="00A5756F" w:rsidRDefault="00413F56" w:rsidP="00700BF2">
      <w:r>
        <w:t xml:space="preserve">Thatcher and the Conservative Government were </w:t>
      </w:r>
      <w:r w:rsidR="002764E6">
        <w:t>well prepared</w:t>
      </w:r>
      <w:r>
        <w:t xml:space="preserve"> for the miners</w:t>
      </w:r>
      <w:r w:rsidR="00854FDD">
        <w:t>’</w:t>
      </w:r>
      <w:r>
        <w:t xml:space="preserve"> strike</w:t>
      </w:r>
      <w:r w:rsidR="00385519">
        <w:t xml:space="preserve">. </w:t>
      </w:r>
      <w:r w:rsidR="00F8396A">
        <w:t xml:space="preserve">There had </w:t>
      </w:r>
      <w:r w:rsidR="002764E6">
        <w:t>a reserve of</w:t>
      </w:r>
      <w:r w:rsidR="00F8396A">
        <w:t xml:space="preserve"> 55 million tonnes of coal stocks was always a policy throughout Thatcher’s regime, this even increased during Nigel Lawson’s time as Energy Secretary. It has been suggested that Scargill had drastically underestimated the amount of stocks they had</w:t>
      </w:r>
      <w:r w:rsidR="001C4325">
        <w:rPr>
          <w:rStyle w:val="FootnoteReference"/>
        </w:rPr>
        <w:footnoteReference w:id="23"/>
      </w:r>
      <w:r w:rsidR="00F8396A">
        <w:t xml:space="preserve">. Therefore, he would not have anticipated </w:t>
      </w:r>
      <w:r w:rsidR="002764E6">
        <w:t>how</w:t>
      </w:r>
      <w:r w:rsidR="00744B78">
        <w:t xml:space="preserve"> </w:t>
      </w:r>
      <w:r w:rsidR="00F8396A">
        <w:t xml:space="preserve">many miners who were living in poverty and taking extreme risks just to continue with the strike. Many even had to go back to work and go against what the National Union of Miners wanted.  </w:t>
      </w:r>
    </w:p>
    <w:p w14:paraId="0784C812" w14:textId="362C4E53" w:rsidR="002B36F1" w:rsidRDefault="003A3E76" w:rsidP="00700BF2">
      <w:r>
        <w:t>However, as posed in the question that Thatcher thought there was a big threat from “the enemy within”. The threat within the miners was non</w:t>
      </w:r>
      <w:r w:rsidR="008D0A43">
        <w:t>-</w:t>
      </w:r>
      <w:r>
        <w:t xml:space="preserve"> existent. Who were they a threat to? The threat that Thatcher would have been thinking is that against the Government. When the miners strike they cause </w:t>
      </w:r>
      <w:r w:rsidR="00812300">
        <w:t>embarrassment</w:t>
      </w:r>
      <w:r>
        <w:t xml:space="preserve"> to the Government especially the Prime ministers that were in charge in 1972 and 1974.</w:t>
      </w:r>
      <w:r w:rsidR="00812300">
        <w:t xml:space="preserve"> The only threat was the Government using the police’s brute force against the miners throughout the strike.</w:t>
      </w:r>
      <w:r w:rsidR="000568D7">
        <w:t xml:space="preserve"> The threat of the trade unions was apparent to Thatcher. They had a power over the workers and therefore Thatcher wanted to make sure they didn’t have total control over the workers. There was no threat to Thatcher and the Government itself. Thatcher was j</w:t>
      </w:r>
      <w:bookmarkStart w:id="10" w:name="_GoBack"/>
      <w:bookmarkEnd w:id="10"/>
      <w:r w:rsidR="000568D7">
        <w:t>ust making sure the middle classes, some of the workers had some fo</w:t>
      </w:r>
      <w:r w:rsidR="00374808">
        <w:t xml:space="preserve">rm of power over whether or not they get jobs rather than relying on the trade unions, who seem to be asking for more money than they should be more often than not. </w:t>
      </w:r>
    </w:p>
    <w:p w14:paraId="0BFC01BB" w14:textId="6DD7117E" w:rsidR="001A3F1C" w:rsidRDefault="001A3F1C" w:rsidP="00700BF2">
      <w:r>
        <w:t>The threat of the trade un</w:t>
      </w:r>
      <w:r w:rsidR="00C22E05">
        <w:t>ions was dealt with by Thatcher</w:t>
      </w:r>
      <w:r>
        <w:t xml:space="preserve"> through laws like the 1984 Trade Union Act and both the 1980 and 1982 Employment act</w:t>
      </w:r>
      <w:r w:rsidR="00C22E05">
        <w:t>s</w:t>
      </w:r>
      <w:r>
        <w:t xml:space="preserve">. Gradually, decreasing the power of the trade unions over a lengthy time period, she managed to succeed in numbing the supposed threat. The miners however, their threat was taken care of in a different way. The Government also used brute force </w:t>
      </w:r>
      <w:r w:rsidR="002764E6">
        <w:t>by using</w:t>
      </w:r>
      <w:r w:rsidR="00FA5FF3">
        <w:t xml:space="preserve"> the police to </w:t>
      </w:r>
      <w:r w:rsidR="002764E6">
        <w:t>put pressure on</w:t>
      </w:r>
      <w:r w:rsidR="00FA5FF3">
        <w:t xml:space="preserve"> the miners</w:t>
      </w:r>
      <w:r w:rsidR="002764E6">
        <w:t>. To show that</w:t>
      </w:r>
      <w:r w:rsidR="00FA5FF3">
        <w:t xml:space="preserve">  striking was never going to end well especially while Thatcher was in charge of the Government. Thatcher’s Government was not particularly shy to use violence as this was also the method they used to destroy the traveller community in Britain.  This speech is a very well-known speech due to the fact that Thatcher and the miner’s strike is still a controversial talking point to this day.  Where she is either loved or hated there is hardly ever a middle ground as to someone’s opinion on Thatcher.</w:t>
      </w:r>
    </w:p>
    <w:p w14:paraId="5DDB1655" w14:textId="3B084FEF" w:rsidR="002B36F1" w:rsidRDefault="002B36F1" w:rsidP="00700BF2">
      <w:r>
        <w:t>Overall, Thatcher’s main focus in her “the enemy within” speech was</w:t>
      </w:r>
      <w:r w:rsidR="00D926C4">
        <w:t xml:space="preserve"> the </w:t>
      </w:r>
      <w:r w:rsidR="002764E6">
        <w:t xml:space="preserve">Scargill, the miners </w:t>
      </w:r>
      <w:r w:rsidR="00D926C4">
        <w:t xml:space="preserve">and the trade unions. Thatcher was very harsh and brutal towards the trade unions especially with the laws </w:t>
      </w:r>
      <w:r w:rsidR="00D926C4">
        <w:lastRenderedPageBreak/>
        <w:t>she was making. The Employment Acts of both 1980 and 1982 and the Trade Union Act really toned down the powers that the trade unions did have with the workers.</w:t>
      </w:r>
      <w:r w:rsidR="0083255B">
        <w:t xml:space="preserve"> It could be said trade unions have never been the same since Thatcher and her laws. This applies to the miners also as Thatcher has had a huge impact on miners and mining in general. This strike led to many miners getting injured and some men even died during the strike</w:t>
      </w:r>
      <w:r w:rsidR="002764E6">
        <w:t>,</w:t>
      </w:r>
      <w:r w:rsidR="0083255B">
        <w:t xml:space="preserve"> for example David Jones</w:t>
      </w:r>
      <w:r w:rsidR="00ED61F1">
        <w:t>.</w:t>
      </w:r>
      <w:r w:rsidR="00D92D53">
        <w:t xml:space="preserve"> Thatcher’s speech ultimately led to the clos</w:t>
      </w:r>
      <w:r w:rsidR="002764E6">
        <w:t>ure</w:t>
      </w:r>
      <w:r w:rsidR="00D92D53">
        <w:t xml:space="preserve"> of many pits and the levels of unemployment dramatically increasing. The Miners Strike of 1984 to 1985 was the most well known strike as it caused many problems and difficulties. It was probably one of the most violent strikes in </w:t>
      </w:r>
      <w:r w:rsidR="00425330">
        <w:t>British History especially for a miners strike.</w:t>
      </w:r>
      <w:r w:rsidR="00D92D53">
        <w:t xml:space="preserve"> </w:t>
      </w:r>
      <w:r w:rsidR="0083255B">
        <w:t xml:space="preserve"> </w:t>
      </w:r>
      <w:r w:rsidR="00EE6A43">
        <w:t>Thatcher had many issues and groups that she did not particularly want around. This was evident during her “enemy within” speech that she was predominantly focusing on getting rid of the traveller community a</w:t>
      </w:r>
      <w:r w:rsidR="00ED2849">
        <w:t>s well as the miners and trade unions.</w:t>
      </w:r>
    </w:p>
    <w:p w14:paraId="38F4ABF2" w14:textId="77777777" w:rsidR="00335DFB" w:rsidRDefault="00335DFB" w:rsidP="00700BF2"/>
    <w:p w14:paraId="1D75406D" w14:textId="59A037A3" w:rsidR="00335DFB" w:rsidRDefault="00335DFB" w:rsidP="00335DFB">
      <w:pPr>
        <w:jc w:val="center"/>
        <w:rPr>
          <w:u w:val="single"/>
        </w:rPr>
      </w:pPr>
      <w:r w:rsidRPr="00335DFB">
        <w:rPr>
          <w:u w:val="single"/>
        </w:rPr>
        <w:t>Bibliography</w:t>
      </w:r>
    </w:p>
    <w:p w14:paraId="72835263" w14:textId="07FF52C4" w:rsidR="006D79FA" w:rsidRDefault="006D79FA" w:rsidP="00335DFB">
      <w:pPr>
        <w:jc w:val="center"/>
        <w:rPr>
          <w:u w:val="single"/>
        </w:rPr>
      </w:pPr>
      <w:r>
        <w:rPr>
          <w:u w:val="single"/>
        </w:rPr>
        <w:t>Primary Sources</w:t>
      </w:r>
    </w:p>
    <w:p w14:paraId="2AC84492" w14:textId="7EB014FC" w:rsidR="006D79FA" w:rsidRDefault="00A92B95" w:rsidP="006D79FA">
      <w:pPr>
        <w:rPr>
          <w:rFonts w:ascii="Helvetica" w:hAnsi="Helvetica" w:cs="Helvetica"/>
          <w:color w:val="0A0A0A"/>
          <w:shd w:val="clear" w:color="auto" w:fill="FFFFFF"/>
        </w:rPr>
      </w:pPr>
      <w:r>
        <w:rPr>
          <w:rFonts w:ascii="Helvetica" w:hAnsi="Helvetica" w:cs="Helvetica"/>
          <w:color w:val="0A0A0A"/>
          <w:shd w:val="clear" w:color="auto" w:fill="FFFFFF"/>
        </w:rPr>
        <w:t>Thatcher, Margaret, ‘Remarks on Orgreave picketing – 30 May 1984’, </w:t>
      </w:r>
      <w:r>
        <w:rPr>
          <w:rStyle w:val="Emphasis"/>
          <w:rFonts w:ascii="Helvetica" w:hAnsi="Helvetica" w:cs="Helvetica"/>
          <w:color w:val="0A0A0A"/>
          <w:shd w:val="clear" w:color="auto" w:fill="FFFFFF"/>
        </w:rPr>
        <w:t>Margaret Thatcher Foundation</w:t>
      </w:r>
      <w:r>
        <w:rPr>
          <w:rFonts w:ascii="Helvetica" w:hAnsi="Helvetica" w:cs="Helvetica"/>
          <w:color w:val="0A0A0A"/>
          <w:shd w:val="clear" w:color="auto" w:fill="FFFFFF"/>
        </w:rPr>
        <w:t xml:space="preserve">, http://www.margaretthatcher.org/document/105691 (accessed </w:t>
      </w:r>
      <w:r>
        <w:rPr>
          <w:rFonts w:ascii="Helvetica" w:hAnsi="Helvetica" w:cs="Helvetica"/>
          <w:color w:val="0A0A0A"/>
          <w:shd w:val="clear" w:color="auto" w:fill="FFFFFF"/>
        </w:rPr>
        <w:t xml:space="preserve">3 </w:t>
      </w:r>
      <w:r>
        <w:rPr>
          <w:rFonts w:ascii="Helvetica" w:hAnsi="Helvetica" w:cs="Helvetica"/>
          <w:color w:val="0A0A0A"/>
          <w:shd w:val="clear" w:color="auto" w:fill="FFFFFF"/>
        </w:rPr>
        <w:t>December 201</w:t>
      </w:r>
      <w:r>
        <w:rPr>
          <w:rFonts w:ascii="Helvetica" w:hAnsi="Helvetica" w:cs="Helvetica"/>
          <w:color w:val="0A0A0A"/>
          <w:shd w:val="clear" w:color="auto" w:fill="FFFFFF"/>
        </w:rPr>
        <w:t>7</w:t>
      </w:r>
      <w:r>
        <w:rPr>
          <w:rFonts w:ascii="Helvetica" w:hAnsi="Helvetica" w:cs="Helvetica"/>
          <w:color w:val="0A0A0A"/>
          <w:shd w:val="clear" w:color="auto" w:fill="FFFFFF"/>
        </w:rPr>
        <w:t>)</w:t>
      </w:r>
    </w:p>
    <w:p w14:paraId="44220847" w14:textId="70AFDFDC" w:rsidR="00A92B95" w:rsidRDefault="00A92B95" w:rsidP="006D79FA">
      <w:pPr>
        <w:rPr>
          <w:rFonts w:ascii="Helvetica" w:hAnsi="Helvetica" w:cs="Helvetica"/>
          <w:color w:val="0A0A0A"/>
          <w:shd w:val="clear" w:color="auto" w:fill="FFFFFF"/>
        </w:rPr>
      </w:pPr>
      <w:r>
        <w:rPr>
          <w:rFonts w:ascii="Helvetica" w:hAnsi="Helvetica" w:cs="Helvetica"/>
          <w:color w:val="0A0A0A"/>
          <w:shd w:val="clear" w:color="auto" w:fill="FFFFFF"/>
        </w:rPr>
        <w:t>Thatcher, Margaret, ‘House of Commons PQs – 26 July 1984’, </w:t>
      </w:r>
      <w:r>
        <w:rPr>
          <w:rStyle w:val="Emphasis"/>
          <w:rFonts w:ascii="Helvetica" w:hAnsi="Helvetica" w:cs="Helvetica"/>
          <w:color w:val="0A0A0A"/>
          <w:shd w:val="clear" w:color="auto" w:fill="FFFFFF"/>
        </w:rPr>
        <w:t>Margaret Thatcher Foundation,</w:t>
      </w:r>
      <w:r>
        <w:rPr>
          <w:rFonts w:ascii="Helvetica" w:hAnsi="Helvetica" w:cs="Helvetica"/>
          <w:color w:val="0A0A0A"/>
          <w:shd w:val="clear" w:color="auto" w:fill="FFFFFF"/>
        </w:rPr>
        <w:t xml:space="preserve">http://www.margaretthatcher.org/document/105730 (accessed </w:t>
      </w:r>
      <w:r>
        <w:rPr>
          <w:rFonts w:ascii="Helvetica" w:hAnsi="Helvetica" w:cs="Helvetica"/>
          <w:color w:val="0A0A0A"/>
          <w:shd w:val="clear" w:color="auto" w:fill="FFFFFF"/>
        </w:rPr>
        <w:t>2</w:t>
      </w:r>
      <w:r>
        <w:rPr>
          <w:rFonts w:ascii="Helvetica" w:hAnsi="Helvetica" w:cs="Helvetica"/>
          <w:color w:val="0A0A0A"/>
          <w:shd w:val="clear" w:color="auto" w:fill="FFFFFF"/>
        </w:rPr>
        <w:t xml:space="preserve"> December 201</w:t>
      </w:r>
      <w:r>
        <w:rPr>
          <w:rFonts w:ascii="Helvetica" w:hAnsi="Helvetica" w:cs="Helvetica"/>
          <w:color w:val="0A0A0A"/>
          <w:shd w:val="clear" w:color="auto" w:fill="FFFFFF"/>
        </w:rPr>
        <w:t>7</w:t>
      </w:r>
      <w:r>
        <w:rPr>
          <w:rFonts w:ascii="Helvetica" w:hAnsi="Helvetica" w:cs="Helvetica"/>
          <w:color w:val="0A0A0A"/>
          <w:shd w:val="clear" w:color="auto" w:fill="FFFFFF"/>
        </w:rPr>
        <w:t>)</w:t>
      </w:r>
    </w:p>
    <w:p w14:paraId="262BF834" w14:textId="20BBF259" w:rsidR="00A92B95" w:rsidRDefault="00A92B95" w:rsidP="006D79FA">
      <w:pPr>
        <w:rPr>
          <w:rFonts w:ascii="Helvetica" w:hAnsi="Helvetica" w:cs="Helvetica"/>
          <w:color w:val="0A0A0A"/>
          <w:shd w:val="clear" w:color="auto" w:fill="FFFFFF"/>
        </w:rPr>
      </w:pPr>
      <w:r>
        <w:rPr>
          <w:rFonts w:ascii="Helvetica" w:hAnsi="Helvetica" w:cs="Helvetica"/>
          <w:color w:val="0A0A0A"/>
          <w:shd w:val="clear" w:color="auto" w:fill="FFFFFF"/>
        </w:rPr>
        <w:t>‘No.10 record of conversation (“Coal Policy”) [pit closure programme; enhanced Redundant Mineworkers Payments Scheme] – 19</w:t>
      </w:r>
      <w:r>
        <w:rPr>
          <w:rFonts w:ascii="Helvetica" w:hAnsi="Helvetica" w:cs="Helvetica"/>
          <w:color w:val="0A0A0A"/>
          <w:sz w:val="18"/>
          <w:szCs w:val="18"/>
          <w:shd w:val="clear" w:color="auto" w:fill="FFFFFF"/>
          <w:vertAlign w:val="superscript"/>
        </w:rPr>
        <w:t>th</w:t>
      </w:r>
      <w:r>
        <w:rPr>
          <w:rFonts w:ascii="Helvetica" w:hAnsi="Helvetica" w:cs="Helvetica"/>
          <w:color w:val="0A0A0A"/>
          <w:shd w:val="clear" w:color="auto" w:fill="FFFFFF"/>
        </w:rPr>
        <w:t> January 1984’, </w:t>
      </w:r>
      <w:r>
        <w:rPr>
          <w:rStyle w:val="Emphasis"/>
          <w:rFonts w:ascii="Helvetica" w:hAnsi="Helvetica" w:cs="Helvetica"/>
          <w:color w:val="0A0A0A"/>
          <w:shd w:val="clear" w:color="auto" w:fill="FFFFFF"/>
        </w:rPr>
        <w:t>Margaret Thatcher Foundation,</w:t>
      </w:r>
      <w:r>
        <w:rPr>
          <w:rFonts w:ascii="Helvetica" w:hAnsi="Helvetica" w:cs="Helvetica"/>
          <w:color w:val="0A0A0A"/>
          <w:shd w:val="clear" w:color="auto" w:fill="FFFFFF"/>
        </w:rPr>
        <w:t xml:space="preserve">http://www.margaretthatcher.org/document/133712 (accessed </w:t>
      </w:r>
      <w:r>
        <w:rPr>
          <w:rFonts w:ascii="Helvetica" w:hAnsi="Helvetica" w:cs="Helvetica"/>
          <w:color w:val="0A0A0A"/>
          <w:shd w:val="clear" w:color="auto" w:fill="FFFFFF"/>
        </w:rPr>
        <w:t>5</w:t>
      </w:r>
      <w:r>
        <w:rPr>
          <w:rFonts w:ascii="Helvetica" w:hAnsi="Helvetica" w:cs="Helvetica"/>
          <w:color w:val="0A0A0A"/>
          <w:shd w:val="clear" w:color="auto" w:fill="FFFFFF"/>
        </w:rPr>
        <w:t xml:space="preserve"> December 201</w:t>
      </w:r>
      <w:r>
        <w:rPr>
          <w:rFonts w:ascii="Helvetica" w:hAnsi="Helvetica" w:cs="Helvetica"/>
          <w:color w:val="0A0A0A"/>
          <w:shd w:val="clear" w:color="auto" w:fill="FFFFFF"/>
        </w:rPr>
        <w:t>7</w:t>
      </w:r>
      <w:r>
        <w:rPr>
          <w:rFonts w:ascii="Helvetica" w:hAnsi="Helvetica" w:cs="Helvetica"/>
          <w:color w:val="0A0A0A"/>
          <w:shd w:val="clear" w:color="auto" w:fill="FFFFFF"/>
        </w:rPr>
        <w:t>)</w:t>
      </w:r>
    </w:p>
    <w:p w14:paraId="354C855C" w14:textId="43246344" w:rsidR="006D79FA" w:rsidRPr="00E251C6" w:rsidRDefault="00A92B95" w:rsidP="00E251C6">
      <w:r>
        <w:rPr>
          <w:rFonts w:ascii="Helvetica" w:hAnsi="Helvetica" w:cs="Helvetica"/>
          <w:color w:val="0A0A0A"/>
          <w:shd w:val="clear" w:color="auto" w:fill="FFFFFF"/>
        </w:rPr>
        <w:t>Thatcher, Margaret, ‘TV Interview for BBC1 Panorama’, </w:t>
      </w:r>
      <w:r>
        <w:rPr>
          <w:rStyle w:val="Emphasis"/>
          <w:rFonts w:ascii="Helvetica" w:hAnsi="Helvetica" w:cs="Helvetica"/>
          <w:color w:val="0A0A0A"/>
          <w:shd w:val="clear" w:color="auto" w:fill="FFFFFF"/>
        </w:rPr>
        <w:t>Margaret Thatcher Foundation</w:t>
      </w:r>
      <w:r>
        <w:rPr>
          <w:rFonts w:ascii="Helvetica" w:hAnsi="Helvetica" w:cs="Helvetica"/>
          <w:color w:val="0A0A0A"/>
          <w:shd w:val="clear" w:color="auto" w:fill="FFFFFF"/>
        </w:rPr>
        <w:t xml:space="preserve">, http://www.margaretthatcher.org/document/105538 (accessed </w:t>
      </w:r>
      <w:r>
        <w:rPr>
          <w:rFonts w:ascii="Helvetica" w:hAnsi="Helvetica" w:cs="Helvetica"/>
          <w:color w:val="0A0A0A"/>
          <w:shd w:val="clear" w:color="auto" w:fill="FFFFFF"/>
        </w:rPr>
        <w:t>3</w:t>
      </w:r>
      <w:r>
        <w:rPr>
          <w:rFonts w:ascii="Helvetica" w:hAnsi="Helvetica" w:cs="Helvetica"/>
          <w:color w:val="0A0A0A"/>
          <w:shd w:val="clear" w:color="auto" w:fill="FFFFFF"/>
        </w:rPr>
        <w:t xml:space="preserve"> December 201</w:t>
      </w:r>
      <w:r>
        <w:rPr>
          <w:rFonts w:ascii="Helvetica" w:hAnsi="Helvetica" w:cs="Helvetica"/>
          <w:color w:val="0A0A0A"/>
          <w:shd w:val="clear" w:color="auto" w:fill="FFFFFF"/>
        </w:rPr>
        <w:t>7</w:t>
      </w:r>
      <w:r>
        <w:rPr>
          <w:rFonts w:ascii="Helvetica" w:hAnsi="Helvetica" w:cs="Helvetica"/>
          <w:color w:val="0A0A0A"/>
          <w:shd w:val="clear" w:color="auto" w:fill="FFFFFF"/>
        </w:rPr>
        <w:t>)</w:t>
      </w:r>
    </w:p>
    <w:p w14:paraId="78433807" w14:textId="5B8A9F87" w:rsidR="006D79FA" w:rsidRDefault="006D79FA" w:rsidP="00335DFB">
      <w:pPr>
        <w:jc w:val="center"/>
        <w:rPr>
          <w:u w:val="single"/>
        </w:rPr>
      </w:pPr>
      <w:r>
        <w:rPr>
          <w:u w:val="single"/>
        </w:rPr>
        <w:t>Secondary source</w:t>
      </w:r>
      <w:r w:rsidR="00E251C6">
        <w:rPr>
          <w:u w:val="single"/>
        </w:rPr>
        <w:t>s</w:t>
      </w:r>
    </w:p>
    <w:p w14:paraId="36356373" w14:textId="53CDD387" w:rsidR="00335DFB" w:rsidRPr="00C44DB8" w:rsidRDefault="00C44DB8" w:rsidP="00EF7C25">
      <w:pPr>
        <w:rPr>
          <w:rFonts w:ascii="Verdana" w:hAnsi="Verdana"/>
          <w:color w:val="212121"/>
          <w:shd w:val="clear" w:color="auto" w:fill="FFFFFF"/>
        </w:rPr>
      </w:pPr>
      <w:r w:rsidRPr="00CD3E8E">
        <w:rPr>
          <w:rFonts w:ascii="Verdana" w:hAnsi="Verdana"/>
          <w:color w:val="212121"/>
          <w:shd w:val="clear" w:color="auto" w:fill="FFFFFF"/>
        </w:rPr>
        <w:t xml:space="preserve">A.Marr, </w:t>
      </w:r>
      <w:r w:rsidRPr="00CD3E8E">
        <w:rPr>
          <w:rFonts w:ascii="Verdana" w:hAnsi="Verdana"/>
          <w:i/>
          <w:color w:val="212121"/>
          <w:shd w:val="clear" w:color="auto" w:fill="FFFFFF"/>
        </w:rPr>
        <w:t>A history of Modern Britain</w:t>
      </w:r>
      <w:r w:rsidRPr="00CD3E8E">
        <w:rPr>
          <w:rFonts w:ascii="Verdana" w:hAnsi="Verdana"/>
          <w:color w:val="212121"/>
          <w:shd w:val="clear" w:color="auto" w:fill="FFFFFF"/>
        </w:rPr>
        <w:t xml:space="preserve"> (London;Macmillan Publishers Ltd,2008)</w:t>
      </w:r>
    </w:p>
    <w:p w14:paraId="1B7E96CD" w14:textId="7DA11D4B" w:rsidR="00505325" w:rsidRPr="00505325" w:rsidRDefault="00505325" w:rsidP="00335DFB">
      <w:pPr>
        <w:rPr>
          <w:rFonts w:ascii="Verdana" w:hAnsi="Verdana"/>
          <w:color w:val="212121"/>
          <w:shd w:val="clear" w:color="auto" w:fill="FFFFFF"/>
        </w:rPr>
      </w:pPr>
      <w:r>
        <w:t xml:space="preserve">B.Elliot, </w:t>
      </w:r>
      <w:r w:rsidRPr="00A43F8C">
        <w:rPr>
          <w:i/>
        </w:rPr>
        <w:t>Coal Miners (Images of the Past)</w:t>
      </w:r>
      <w:r>
        <w:t xml:space="preserve"> (London: Pen and Sword History,2015)</w:t>
      </w:r>
    </w:p>
    <w:p w14:paraId="3935020D" w14:textId="4A9A460F" w:rsidR="00335DFB" w:rsidRPr="00CD3E8E" w:rsidRDefault="00335DFB" w:rsidP="00335DFB">
      <w:pPr>
        <w:rPr>
          <w:rFonts w:ascii="Verdana" w:hAnsi="Verdana"/>
          <w:color w:val="212121"/>
          <w:shd w:val="clear" w:color="auto" w:fill="FFFFFF"/>
        </w:rPr>
      </w:pPr>
      <w:r w:rsidRPr="00CD3E8E">
        <w:rPr>
          <w:rFonts w:ascii="Verdana" w:hAnsi="Verdana"/>
          <w:i/>
          <w:color w:val="212121"/>
          <w:shd w:val="clear" w:color="auto" w:fill="FFFFFF"/>
        </w:rPr>
        <w:t>Britain since 1945</w:t>
      </w:r>
      <w:r w:rsidRPr="00CD3E8E">
        <w:rPr>
          <w:rFonts w:ascii="Verdana" w:hAnsi="Verdana"/>
          <w:color w:val="212121"/>
          <w:shd w:val="clear" w:color="auto" w:fill="FFFFFF"/>
        </w:rPr>
        <w:t xml:space="preserve">- </w:t>
      </w:r>
      <w:r w:rsidR="00A402AF" w:rsidRPr="00CD3E8E">
        <w:rPr>
          <w:rFonts w:ascii="Verdana" w:hAnsi="Verdana"/>
          <w:color w:val="212121"/>
          <w:shd w:val="clear" w:color="auto" w:fill="FFFFFF"/>
        </w:rPr>
        <w:t xml:space="preserve">ed. </w:t>
      </w:r>
      <w:r w:rsidRPr="00CD3E8E">
        <w:rPr>
          <w:rFonts w:ascii="Verdana" w:hAnsi="Verdana"/>
          <w:color w:val="212121"/>
          <w:shd w:val="clear" w:color="auto" w:fill="FFFFFF"/>
        </w:rPr>
        <w:t xml:space="preserve">Terry Gourvish </w:t>
      </w:r>
      <w:r w:rsidR="00A402AF" w:rsidRPr="00CD3E8E">
        <w:rPr>
          <w:rFonts w:ascii="Verdana" w:hAnsi="Verdana"/>
          <w:color w:val="212121"/>
          <w:shd w:val="clear" w:color="auto" w:fill="FFFFFF"/>
        </w:rPr>
        <w:t>&amp;</w:t>
      </w:r>
      <w:r w:rsidRPr="00CD3E8E">
        <w:rPr>
          <w:rFonts w:ascii="Verdana" w:hAnsi="Verdana"/>
          <w:color w:val="212121"/>
          <w:shd w:val="clear" w:color="auto" w:fill="FFFFFF"/>
        </w:rPr>
        <w:t xml:space="preserve"> Alan O’Day</w:t>
      </w:r>
      <w:r w:rsidR="00CB0B5F" w:rsidRPr="00CD3E8E">
        <w:rPr>
          <w:rFonts w:ascii="Verdana" w:hAnsi="Verdana"/>
          <w:color w:val="212121"/>
          <w:shd w:val="clear" w:color="auto" w:fill="FFFFFF"/>
        </w:rPr>
        <w:t xml:space="preserve"> (London; Macmillan Education Ltd,1991)</w:t>
      </w:r>
      <w:r w:rsidRPr="00CD3E8E">
        <w:rPr>
          <w:rFonts w:ascii="Verdana" w:hAnsi="Verdana"/>
          <w:color w:val="212121"/>
          <w:shd w:val="clear" w:color="auto" w:fill="FFFFFF"/>
        </w:rPr>
        <w:t xml:space="preserve"> </w:t>
      </w:r>
      <w:r w:rsidRPr="00CD3E8E">
        <w:rPr>
          <w:rFonts w:ascii="Verdana" w:hAnsi="Verdana"/>
          <w:color w:val="212121"/>
          <w:shd w:val="clear" w:color="auto" w:fill="FFFFFF"/>
        </w:rPr>
        <w:tab/>
      </w:r>
    </w:p>
    <w:p w14:paraId="55332B53" w14:textId="47AD7394" w:rsidR="00C44DB8" w:rsidRDefault="00C44DB8" w:rsidP="00335DFB">
      <w:pPr>
        <w:rPr>
          <w:rFonts w:ascii="Helvetica" w:hAnsi="Helvetica" w:cs="Helvetica"/>
          <w:color w:val="444444"/>
          <w:sz w:val="21"/>
          <w:szCs w:val="21"/>
          <w:lang w:eastAsia="en-GB"/>
        </w:rPr>
      </w:pPr>
      <w:r w:rsidRPr="00CD3E8E">
        <w:t>J.Hart,</w:t>
      </w:r>
      <w:r w:rsidRPr="00CD3E8E">
        <w:rPr>
          <w:lang w:eastAsia="en-GB"/>
        </w:rPr>
        <w:t xml:space="preserve"> </w:t>
      </w:r>
      <w:r w:rsidRPr="00CD3E8E">
        <w:rPr>
          <w:i/>
          <w:lang w:eastAsia="en-GB"/>
        </w:rPr>
        <w:t>Rival Capitalists:</w:t>
      </w:r>
      <w:r w:rsidRPr="00CD3E8E">
        <w:rPr>
          <w:rFonts w:ascii="Helvetica" w:hAnsi="Helvetica" w:cs="Helvetica"/>
          <w:i/>
          <w:color w:val="444444"/>
          <w:sz w:val="21"/>
          <w:szCs w:val="21"/>
          <w:lang w:eastAsia="en-GB"/>
        </w:rPr>
        <w:t xml:space="preserve">International Competitiveness in the United States, Japan, and Western Europe </w:t>
      </w:r>
      <w:r w:rsidRPr="00CD3E8E">
        <w:rPr>
          <w:rFonts w:ascii="Helvetica" w:hAnsi="Helvetica" w:cs="Helvetica"/>
          <w:color w:val="444444"/>
          <w:sz w:val="21"/>
          <w:szCs w:val="21"/>
          <w:lang w:eastAsia="en-GB"/>
        </w:rPr>
        <w:t>(London:Cornell University Press, 1992)</w:t>
      </w:r>
    </w:p>
    <w:p w14:paraId="6437BF9E" w14:textId="21C78470" w:rsidR="00C44DB8" w:rsidRPr="00C44DB8" w:rsidRDefault="00C44DB8" w:rsidP="00335DFB">
      <w:pPr>
        <w:rPr>
          <w:rFonts w:ascii="Verdana" w:hAnsi="Verdana"/>
          <w:color w:val="212121"/>
          <w:shd w:val="clear" w:color="auto" w:fill="FFFFFF"/>
        </w:rPr>
      </w:pPr>
      <w:r w:rsidRPr="00CD3E8E">
        <w:rPr>
          <w:rFonts w:ascii="Verdana" w:hAnsi="Verdana"/>
          <w:color w:val="212121"/>
          <w:shd w:val="clear" w:color="auto" w:fill="FFFFFF"/>
        </w:rPr>
        <w:t>M.Holmes,</w:t>
      </w:r>
      <w:r w:rsidRPr="00CD3E8E">
        <w:rPr>
          <w:rFonts w:ascii="Verdana" w:hAnsi="Verdana"/>
          <w:i/>
          <w:color w:val="212121"/>
          <w:shd w:val="clear" w:color="auto" w:fill="FFFFFF"/>
        </w:rPr>
        <w:t>Thatcherism:Scope and Limits, 1983-87</w:t>
      </w:r>
      <w:r w:rsidRPr="00CD3E8E">
        <w:rPr>
          <w:rFonts w:ascii="Verdana" w:hAnsi="Verdana"/>
          <w:color w:val="212121"/>
          <w:shd w:val="clear" w:color="auto" w:fill="FFFFFF"/>
        </w:rPr>
        <w:t xml:space="preserve"> (London; The Macmillan Press Ltd, 1989)</w:t>
      </w:r>
    </w:p>
    <w:p w14:paraId="7612418F" w14:textId="4285A004" w:rsidR="00C44DB8" w:rsidRDefault="00C44DB8" w:rsidP="00335DFB">
      <w:pPr>
        <w:rPr>
          <w:rFonts w:ascii="Verdana" w:hAnsi="Verdana"/>
          <w:color w:val="212121"/>
          <w:shd w:val="clear" w:color="auto" w:fill="FFFFFF"/>
        </w:rPr>
      </w:pPr>
      <w:bookmarkStart w:id="11" w:name="_Hlk501115695"/>
      <w:r w:rsidRPr="00CD3E8E">
        <w:t xml:space="preserve">Margaret Thatcher Foundation, Speech to the Conservative Party Confrence, Margaret Thatcher Foundation, </w:t>
      </w:r>
      <w:hyperlink r:id="rId7" w:history="1">
        <w:r w:rsidRPr="00CD3E8E">
          <w:rPr>
            <w:rStyle w:val="Hyperlink"/>
          </w:rPr>
          <w:t>https://www.margaretthatcher.org/document/105763</w:t>
        </w:r>
      </w:hyperlink>
      <w:r w:rsidRPr="00CD3E8E">
        <w:t>. Accessed on [1</w:t>
      </w:r>
      <w:r w:rsidRPr="00CD3E8E">
        <w:rPr>
          <w:vertAlign w:val="superscript"/>
        </w:rPr>
        <w:t>st</w:t>
      </w:r>
      <w:r w:rsidRPr="00CD3E8E">
        <w:t xml:space="preserve"> December 2017].</w:t>
      </w:r>
    </w:p>
    <w:p w14:paraId="2DE5C859" w14:textId="04EFDD4C" w:rsidR="00335DFB" w:rsidRDefault="00EF7C25" w:rsidP="00335DFB">
      <w:pPr>
        <w:rPr>
          <w:rFonts w:ascii="Verdana" w:hAnsi="Verdana"/>
          <w:i/>
          <w:color w:val="212121"/>
          <w:shd w:val="clear" w:color="auto" w:fill="FFFFFF"/>
        </w:rPr>
      </w:pPr>
      <w:r w:rsidRPr="00CD3E8E">
        <w:rPr>
          <w:rFonts w:ascii="Verdana" w:hAnsi="Verdana"/>
          <w:color w:val="212121"/>
          <w:shd w:val="clear" w:color="auto" w:fill="FFFFFF"/>
        </w:rPr>
        <w:t xml:space="preserve">M.Thatcher, </w:t>
      </w:r>
      <w:r w:rsidR="00335DFB" w:rsidRPr="00CD3E8E">
        <w:rPr>
          <w:rFonts w:ascii="Verdana" w:hAnsi="Verdana"/>
          <w:i/>
          <w:color w:val="212121"/>
          <w:shd w:val="clear" w:color="auto" w:fill="FFFFFF"/>
        </w:rPr>
        <w:t>The Downing Street Years</w:t>
      </w:r>
      <w:r w:rsidRPr="00CD3E8E">
        <w:rPr>
          <w:rFonts w:ascii="Verdana" w:hAnsi="Verdana"/>
          <w:i/>
          <w:color w:val="212121"/>
          <w:shd w:val="clear" w:color="auto" w:fill="FFFFFF"/>
        </w:rPr>
        <w:t xml:space="preserve"> (</w:t>
      </w:r>
      <w:r w:rsidRPr="00CD3E8E">
        <w:rPr>
          <w:rFonts w:ascii="Verdana" w:hAnsi="Verdana"/>
          <w:color w:val="212121"/>
          <w:shd w:val="clear" w:color="auto" w:fill="FFFFFF"/>
        </w:rPr>
        <w:t>London;</w:t>
      </w:r>
      <w:r w:rsidR="00A402AF" w:rsidRPr="00CD3E8E">
        <w:rPr>
          <w:rFonts w:ascii="Verdana" w:hAnsi="Verdana"/>
          <w:color w:val="212121"/>
          <w:shd w:val="clear" w:color="auto" w:fill="FFFFFF"/>
        </w:rPr>
        <w:t xml:space="preserve"> </w:t>
      </w:r>
      <w:r w:rsidRPr="00CD3E8E">
        <w:rPr>
          <w:rFonts w:ascii="Verdana" w:hAnsi="Verdana"/>
          <w:color w:val="212121"/>
          <w:shd w:val="clear" w:color="auto" w:fill="FFFFFF"/>
        </w:rPr>
        <w:t>HarperCollinsPublishers,1993)</w:t>
      </w:r>
      <w:r w:rsidRPr="00CD3E8E">
        <w:rPr>
          <w:rFonts w:ascii="Verdana" w:hAnsi="Verdana"/>
          <w:i/>
          <w:color w:val="212121"/>
          <w:shd w:val="clear" w:color="auto" w:fill="FFFFFF"/>
        </w:rPr>
        <w:t xml:space="preserve">  </w:t>
      </w:r>
    </w:p>
    <w:p w14:paraId="01095EAA" w14:textId="6CECF25B" w:rsidR="00C44DB8" w:rsidRPr="00C44DB8" w:rsidRDefault="00C44DB8" w:rsidP="00335DFB">
      <w:pPr>
        <w:rPr>
          <w:rFonts w:ascii="Verdana" w:hAnsi="Verdana"/>
          <w:color w:val="212121"/>
          <w:shd w:val="clear" w:color="auto" w:fill="FFFFFF"/>
        </w:rPr>
      </w:pPr>
      <w:bookmarkStart w:id="12" w:name="_Hlk501119961"/>
      <w:r w:rsidRPr="00CD3E8E">
        <w:rPr>
          <w:rFonts w:ascii="Verdana" w:hAnsi="Verdana"/>
          <w:color w:val="212121"/>
          <w:shd w:val="clear" w:color="auto" w:fill="FFFFFF"/>
        </w:rPr>
        <w:lastRenderedPageBreak/>
        <w:t xml:space="preserve">P.Riddell.The </w:t>
      </w:r>
      <w:r w:rsidRPr="00CD3E8E">
        <w:rPr>
          <w:rFonts w:ascii="Verdana" w:hAnsi="Verdana"/>
          <w:i/>
          <w:color w:val="212121"/>
          <w:shd w:val="clear" w:color="auto" w:fill="FFFFFF"/>
        </w:rPr>
        <w:t>Thatcher Decade:How Britain changed during the 1980’s</w:t>
      </w:r>
      <w:r w:rsidRPr="00CD3E8E">
        <w:rPr>
          <w:rFonts w:ascii="Verdana" w:hAnsi="Verdana"/>
          <w:color w:val="212121"/>
          <w:shd w:val="clear" w:color="auto" w:fill="FFFFFF"/>
        </w:rPr>
        <w:t xml:space="preserve"> (Oxford:Peter Riddell,1989)</w:t>
      </w:r>
      <w:bookmarkEnd w:id="12"/>
    </w:p>
    <w:p w14:paraId="0A43D63D" w14:textId="736FB019" w:rsidR="00505325" w:rsidRDefault="00505325" w:rsidP="00505325">
      <w:pPr>
        <w:pStyle w:val="FootnoteText"/>
        <w:rPr>
          <w:sz w:val="22"/>
          <w:szCs w:val="22"/>
        </w:rPr>
      </w:pPr>
      <w:bookmarkStart w:id="13" w:name="_Hlk501117157"/>
      <w:bookmarkEnd w:id="11"/>
      <w:r w:rsidRPr="00CD3E8E">
        <w:rPr>
          <w:sz w:val="22"/>
          <w:szCs w:val="22"/>
        </w:rPr>
        <w:t xml:space="preserve">P.Routledge, </w:t>
      </w:r>
      <w:r w:rsidRPr="00CD3E8E">
        <w:rPr>
          <w:i/>
          <w:sz w:val="22"/>
          <w:szCs w:val="22"/>
        </w:rPr>
        <w:t xml:space="preserve">Scargill: The Unauthorised Bibliography </w:t>
      </w:r>
      <w:r w:rsidRPr="00CD3E8E">
        <w:rPr>
          <w:sz w:val="22"/>
          <w:szCs w:val="22"/>
        </w:rPr>
        <w:t>(London: HarperCollins, 1993)</w:t>
      </w:r>
    </w:p>
    <w:p w14:paraId="1EC3A399" w14:textId="15D12D0B" w:rsidR="00C44DB8" w:rsidRDefault="00C44DB8" w:rsidP="00505325">
      <w:pPr>
        <w:pStyle w:val="FootnoteText"/>
        <w:rPr>
          <w:sz w:val="22"/>
          <w:szCs w:val="22"/>
        </w:rPr>
      </w:pPr>
    </w:p>
    <w:p w14:paraId="72678759" w14:textId="47129503" w:rsidR="00505325" w:rsidRPr="00C44DB8" w:rsidRDefault="00C44DB8" w:rsidP="00C44DB8">
      <w:pPr>
        <w:rPr>
          <w:i/>
        </w:rPr>
      </w:pPr>
      <w:r>
        <w:t xml:space="preserve">S.Fredman, The New Rights: Labour Law and ideology in the Thatcher Years. </w:t>
      </w:r>
      <w:r w:rsidRPr="005913AF">
        <w:rPr>
          <w:i/>
        </w:rPr>
        <w:t>Oxford Journal of Legal Studies</w:t>
      </w:r>
      <w:r>
        <w:t>, 12,1: (1992) Pg 24-44</w:t>
      </w:r>
      <w:r>
        <w:rPr>
          <w:i/>
        </w:rPr>
        <w:t xml:space="preserve"> </w:t>
      </w:r>
    </w:p>
    <w:bookmarkEnd w:id="13"/>
    <w:p w14:paraId="38E08EAA" w14:textId="16916BB1" w:rsidR="00335DFB" w:rsidRDefault="00335DFB" w:rsidP="00335DFB">
      <w:pPr>
        <w:rPr>
          <w:rFonts w:ascii="Verdana" w:hAnsi="Verdana"/>
          <w:color w:val="212121"/>
          <w:shd w:val="clear" w:color="auto" w:fill="FFFFFF"/>
        </w:rPr>
      </w:pPr>
      <w:r w:rsidRPr="00CD3E8E">
        <w:rPr>
          <w:rFonts w:ascii="Verdana" w:hAnsi="Verdana"/>
          <w:i/>
          <w:color w:val="212121"/>
          <w:shd w:val="clear" w:color="auto" w:fill="FFFFFF"/>
        </w:rPr>
        <w:t>Thatcherism</w:t>
      </w:r>
      <w:r w:rsidR="00A402AF" w:rsidRPr="00CD3E8E">
        <w:rPr>
          <w:rFonts w:ascii="Verdana" w:hAnsi="Verdana"/>
          <w:color w:val="212121"/>
          <w:shd w:val="clear" w:color="auto" w:fill="FFFFFF"/>
        </w:rPr>
        <w:t>,</w:t>
      </w:r>
      <w:r w:rsidRPr="00CD3E8E">
        <w:rPr>
          <w:rFonts w:ascii="Verdana" w:hAnsi="Verdana"/>
          <w:color w:val="212121"/>
          <w:shd w:val="clear" w:color="auto" w:fill="FFFFFF"/>
        </w:rPr>
        <w:t xml:space="preserve"> </w:t>
      </w:r>
      <w:r w:rsidR="00A402AF" w:rsidRPr="00CD3E8E">
        <w:rPr>
          <w:rFonts w:ascii="Verdana" w:hAnsi="Verdana"/>
          <w:color w:val="212121"/>
          <w:shd w:val="clear" w:color="auto" w:fill="FFFFFF"/>
        </w:rPr>
        <w:t>e</w:t>
      </w:r>
      <w:r w:rsidRPr="00CD3E8E">
        <w:rPr>
          <w:rFonts w:ascii="Verdana" w:hAnsi="Verdana"/>
          <w:color w:val="212121"/>
          <w:shd w:val="clear" w:color="auto" w:fill="FFFFFF"/>
        </w:rPr>
        <w:t>d</w:t>
      </w:r>
      <w:r w:rsidR="00A402AF" w:rsidRPr="00CD3E8E">
        <w:rPr>
          <w:rFonts w:ascii="Verdana" w:hAnsi="Verdana"/>
          <w:color w:val="212121"/>
          <w:shd w:val="clear" w:color="auto" w:fill="FFFFFF"/>
        </w:rPr>
        <w:t>.</w:t>
      </w:r>
      <w:r w:rsidRPr="00CD3E8E">
        <w:rPr>
          <w:rFonts w:ascii="Verdana" w:hAnsi="Verdana"/>
          <w:color w:val="212121"/>
          <w:shd w:val="clear" w:color="auto" w:fill="FFFFFF"/>
        </w:rPr>
        <w:t xml:space="preserve"> </w:t>
      </w:r>
      <w:r w:rsidR="00A402AF" w:rsidRPr="00CD3E8E">
        <w:rPr>
          <w:rFonts w:ascii="Verdana" w:hAnsi="Verdana"/>
          <w:color w:val="212121"/>
          <w:shd w:val="clear" w:color="auto" w:fill="FFFFFF"/>
        </w:rPr>
        <w:t>R.</w:t>
      </w:r>
      <w:r w:rsidRPr="00CD3E8E">
        <w:rPr>
          <w:rFonts w:ascii="Verdana" w:hAnsi="Verdana"/>
          <w:color w:val="212121"/>
          <w:shd w:val="clear" w:color="auto" w:fill="FFFFFF"/>
        </w:rPr>
        <w:t xml:space="preserve"> Skidelsky</w:t>
      </w:r>
      <w:r w:rsidR="00A402AF" w:rsidRPr="00CD3E8E">
        <w:rPr>
          <w:rFonts w:ascii="Verdana" w:hAnsi="Verdana"/>
          <w:color w:val="212121"/>
          <w:shd w:val="clear" w:color="auto" w:fill="FFFFFF"/>
        </w:rPr>
        <w:t>, (Oxford;Chatto &amp; Windus, 1988)</w:t>
      </w:r>
    </w:p>
    <w:p w14:paraId="63DD1FAB" w14:textId="0FD9D0D7" w:rsidR="00930E02" w:rsidRPr="00C44DB8" w:rsidRDefault="00930E02" w:rsidP="00335DFB">
      <w:r w:rsidRPr="00930E02">
        <w:rPr>
          <w:i/>
        </w:rPr>
        <w:t>The Battle of Beanfiel</w:t>
      </w:r>
      <w:r>
        <w:rPr>
          <w:i/>
        </w:rPr>
        <w:t xml:space="preserve">d, </w:t>
      </w:r>
      <w:r w:rsidRPr="00930E02">
        <w:t>ed Andy Worthington</w:t>
      </w:r>
      <w:r>
        <w:t xml:space="preserve"> ( Enabler Publication and Training Services, 2005)</w:t>
      </w:r>
    </w:p>
    <w:p w14:paraId="00698E0F" w14:textId="77777777" w:rsidR="00C44DB8" w:rsidRPr="00CD3E8E" w:rsidRDefault="00C44DB8" w:rsidP="00C44DB8">
      <w:pPr>
        <w:rPr>
          <w:rFonts w:ascii="Verdana" w:hAnsi="Verdana"/>
          <w:color w:val="212121"/>
          <w:shd w:val="clear" w:color="auto" w:fill="FFFFFF"/>
        </w:rPr>
      </w:pPr>
      <w:r w:rsidRPr="00CD3E8E">
        <w:rPr>
          <w:rFonts w:ascii="Verdana" w:hAnsi="Verdana"/>
          <w:i/>
          <w:color w:val="212121"/>
          <w:shd w:val="clear" w:color="auto" w:fill="FFFFFF"/>
        </w:rPr>
        <w:t>The Thatcher Effect;A decade of Change</w:t>
      </w:r>
      <w:r w:rsidRPr="00CD3E8E">
        <w:rPr>
          <w:rFonts w:ascii="Verdana" w:hAnsi="Verdana"/>
          <w:color w:val="212121"/>
          <w:shd w:val="clear" w:color="auto" w:fill="FFFFFF"/>
        </w:rPr>
        <w:t>- ed. Dennis Kavanagh &amp; Anthony Seldon (Oxford; Oxford Paperbacks, 1989)</w:t>
      </w:r>
    </w:p>
    <w:p w14:paraId="1E74A7B0" w14:textId="77777777" w:rsidR="00C44DB8" w:rsidRPr="005913AF" w:rsidRDefault="00C44DB8" w:rsidP="00335DFB"/>
    <w:sectPr w:rsidR="00C44DB8" w:rsidRPr="005913AF">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9AF78" w14:textId="77777777" w:rsidR="000E3ED8" w:rsidRDefault="000E3ED8" w:rsidP="001B4703">
      <w:pPr>
        <w:spacing w:after="0" w:line="240" w:lineRule="auto"/>
      </w:pPr>
      <w:r>
        <w:separator/>
      </w:r>
    </w:p>
  </w:endnote>
  <w:endnote w:type="continuationSeparator" w:id="0">
    <w:p w14:paraId="1FE91169" w14:textId="77777777" w:rsidR="000E3ED8" w:rsidRDefault="000E3ED8" w:rsidP="001B4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9080794"/>
      <w:docPartObj>
        <w:docPartGallery w:val="Page Numbers (Bottom of Page)"/>
        <w:docPartUnique/>
      </w:docPartObj>
    </w:sdtPr>
    <w:sdtEndPr>
      <w:rPr>
        <w:noProof/>
      </w:rPr>
    </w:sdtEndPr>
    <w:sdtContent>
      <w:p w14:paraId="1EB89DCB" w14:textId="48466931" w:rsidR="00C44DB8" w:rsidRDefault="00C44DB8">
        <w:pPr>
          <w:pStyle w:val="Footer"/>
          <w:jc w:val="right"/>
        </w:pPr>
        <w:r>
          <w:t xml:space="preserve">Page </w:t>
        </w:r>
        <w:r>
          <w:fldChar w:fldCharType="begin"/>
        </w:r>
        <w:r>
          <w:instrText xml:space="preserve"> PAGE   \* MERGEFORMAT </w:instrText>
        </w:r>
        <w:r>
          <w:fldChar w:fldCharType="separate"/>
        </w:r>
        <w:r w:rsidR="00A15080">
          <w:rPr>
            <w:noProof/>
          </w:rPr>
          <w:t>6</w:t>
        </w:r>
        <w:r>
          <w:rPr>
            <w:noProof/>
          </w:rPr>
          <w:fldChar w:fldCharType="end"/>
        </w:r>
      </w:p>
    </w:sdtContent>
  </w:sdt>
  <w:p w14:paraId="2B8A296C" w14:textId="77777777" w:rsidR="00C44DB8" w:rsidRDefault="00C44D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81608E" w14:textId="77777777" w:rsidR="000E3ED8" w:rsidRDefault="000E3ED8" w:rsidP="001B4703">
      <w:pPr>
        <w:spacing w:after="0" w:line="240" w:lineRule="auto"/>
      </w:pPr>
      <w:r>
        <w:separator/>
      </w:r>
    </w:p>
  </w:footnote>
  <w:footnote w:type="continuationSeparator" w:id="0">
    <w:p w14:paraId="19ECE8AF" w14:textId="77777777" w:rsidR="000E3ED8" w:rsidRDefault="000E3ED8" w:rsidP="001B4703">
      <w:pPr>
        <w:spacing w:after="0" w:line="240" w:lineRule="auto"/>
      </w:pPr>
      <w:r>
        <w:continuationSeparator/>
      </w:r>
    </w:p>
  </w:footnote>
  <w:footnote w:id="1">
    <w:p w14:paraId="05E1E953" w14:textId="3D5D9DC1" w:rsidR="00C44DB8" w:rsidRDefault="00C44DB8" w:rsidP="00F33BDC">
      <w:r>
        <w:rPr>
          <w:rStyle w:val="FootnoteReference"/>
        </w:rPr>
        <w:footnoteRef/>
      </w:r>
      <w:r>
        <w:t xml:space="preserve"> </w:t>
      </w:r>
      <w:bookmarkStart w:id="0" w:name="_Hlk501120705"/>
      <w:r w:rsidRPr="00F33BDC">
        <w:t xml:space="preserve">M.Thatcher, The Downing Street Years (London; HarperCollinsPublishers,1993)  </w:t>
      </w:r>
      <w:bookmarkEnd w:id="0"/>
      <w:r>
        <w:t>Pg 272-276</w:t>
      </w:r>
    </w:p>
  </w:footnote>
  <w:footnote w:id="2">
    <w:p w14:paraId="58C0F0DE" w14:textId="516B5767" w:rsidR="00C44DB8" w:rsidRDefault="00C44DB8" w:rsidP="006B56DE">
      <w:r>
        <w:rPr>
          <w:rStyle w:val="FootnoteReference"/>
        </w:rPr>
        <w:footnoteRef/>
      </w:r>
      <w:r>
        <w:t xml:space="preserve"> </w:t>
      </w:r>
      <w:r w:rsidRPr="00F33BDC">
        <w:t xml:space="preserve">M.Thatcher, The Downing Street Years (London; HarperCollinsPublishers,1993)  </w:t>
      </w:r>
      <w:r>
        <w:t>Pg 343</w:t>
      </w:r>
    </w:p>
  </w:footnote>
  <w:footnote w:id="3">
    <w:p w14:paraId="686270EB" w14:textId="720FA7BC" w:rsidR="00C44DB8" w:rsidRPr="006E46C4" w:rsidRDefault="00C44DB8" w:rsidP="006E46C4">
      <w:pPr>
        <w:rPr>
          <w:rFonts w:ascii="Verdana" w:hAnsi="Verdana"/>
          <w:color w:val="212121"/>
          <w:shd w:val="clear" w:color="auto" w:fill="FFFFFF"/>
        </w:rPr>
      </w:pPr>
      <w:r>
        <w:rPr>
          <w:rStyle w:val="FootnoteReference"/>
        </w:rPr>
        <w:footnoteRef/>
      </w:r>
      <w:r>
        <w:t xml:space="preserve"> </w:t>
      </w:r>
      <w:r>
        <w:rPr>
          <w:rFonts w:ascii="Verdana" w:hAnsi="Verdana"/>
          <w:color w:val="212121"/>
          <w:shd w:val="clear" w:color="auto" w:fill="FFFFFF"/>
        </w:rPr>
        <w:t xml:space="preserve">P.Riddell.The </w:t>
      </w:r>
      <w:r w:rsidRPr="00EF7C25">
        <w:rPr>
          <w:rFonts w:ascii="Verdana" w:hAnsi="Verdana"/>
          <w:i/>
          <w:color w:val="212121"/>
          <w:shd w:val="clear" w:color="auto" w:fill="FFFFFF"/>
        </w:rPr>
        <w:t>Thatcher Decade</w:t>
      </w:r>
      <w:r>
        <w:rPr>
          <w:rFonts w:ascii="Verdana" w:hAnsi="Verdana"/>
          <w:i/>
          <w:color w:val="212121"/>
          <w:shd w:val="clear" w:color="auto" w:fill="FFFFFF"/>
        </w:rPr>
        <w:t>:How Britain changed during the 1980’s</w:t>
      </w:r>
      <w:r>
        <w:rPr>
          <w:rFonts w:ascii="Verdana" w:hAnsi="Verdana"/>
          <w:color w:val="212121"/>
          <w:shd w:val="clear" w:color="auto" w:fill="FFFFFF"/>
        </w:rPr>
        <w:t xml:space="preserve"> (Oxford:Peter Riddell,1989) Pg 342</w:t>
      </w:r>
    </w:p>
  </w:footnote>
  <w:footnote w:id="4">
    <w:p w14:paraId="2EE81D72" w14:textId="5ED1B958" w:rsidR="00C44DB8" w:rsidRDefault="00C44DB8">
      <w:pPr>
        <w:pStyle w:val="FootnoteText"/>
      </w:pPr>
      <w:r>
        <w:rPr>
          <w:rStyle w:val="FootnoteReference"/>
        </w:rPr>
        <w:footnoteRef/>
      </w:r>
      <w:r>
        <w:t xml:space="preserve"> </w:t>
      </w:r>
      <w:r w:rsidRPr="009F6B39">
        <w:rPr>
          <w:sz w:val="22"/>
          <w:szCs w:val="22"/>
        </w:rPr>
        <w:t xml:space="preserve">M.Thatcher, The Downing Street Years (London; HarperCollinsPublishers,1993)  </w:t>
      </w:r>
      <w:r>
        <w:rPr>
          <w:sz w:val="22"/>
          <w:szCs w:val="22"/>
        </w:rPr>
        <w:t xml:space="preserve">pg </w:t>
      </w:r>
    </w:p>
  </w:footnote>
  <w:footnote w:id="5">
    <w:p w14:paraId="399F08A0" w14:textId="600C6BB0" w:rsidR="00C44DB8" w:rsidRDefault="00C44DB8" w:rsidP="00EB58BD">
      <w:pPr>
        <w:rPr>
          <w:lang w:eastAsia="en-GB"/>
        </w:rPr>
      </w:pPr>
      <w:r>
        <w:rPr>
          <w:rStyle w:val="FootnoteReference"/>
        </w:rPr>
        <w:footnoteRef/>
      </w:r>
      <w:r>
        <w:t xml:space="preserve"> </w:t>
      </w:r>
      <w:bookmarkStart w:id="1" w:name="_Hlk501115502"/>
      <w:r>
        <w:t>J.Hart,</w:t>
      </w:r>
      <w:r w:rsidRPr="00EB58BD">
        <w:rPr>
          <w:lang w:eastAsia="en-GB"/>
        </w:rPr>
        <w:t xml:space="preserve"> </w:t>
      </w:r>
      <w:r w:rsidRPr="00EB58BD">
        <w:rPr>
          <w:i/>
          <w:lang w:eastAsia="en-GB"/>
        </w:rPr>
        <w:t>Rival Capitalists:</w:t>
      </w:r>
      <w:r w:rsidRPr="00EB58BD">
        <w:rPr>
          <w:rFonts w:ascii="Helvetica" w:hAnsi="Helvetica" w:cs="Helvetica"/>
          <w:i/>
          <w:color w:val="444444"/>
          <w:sz w:val="21"/>
          <w:szCs w:val="21"/>
          <w:lang w:eastAsia="en-GB"/>
        </w:rPr>
        <w:t>International Competitiveness in the United States, Japan, and Western Europe</w:t>
      </w:r>
      <w:r>
        <w:rPr>
          <w:rFonts w:ascii="Helvetica" w:hAnsi="Helvetica" w:cs="Helvetica"/>
          <w:i/>
          <w:color w:val="444444"/>
          <w:sz w:val="21"/>
          <w:szCs w:val="21"/>
          <w:lang w:eastAsia="en-GB"/>
        </w:rPr>
        <w:t xml:space="preserve"> </w:t>
      </w:r>
      <w:r>
        <w:rPr>
          <w:rFonts w:ascii="Helvetica" w:hAnsi="Helvetica" w:cs="Helvetica"/>
          <w:color w:val="444444"/>
          <w:sz w:val="21"/>
          <w:szCs w:val="21"/>
          <w:lang w:eastAsia="en-GB"/>
        </w:rPr>
        <w:t>(London:Cornell University Press, 1992)</w:t>
      </w:r>
      <w:bookmarkEnd w:id="1"/>
    </w:p>
  </w:footnote>
  <w:footnote w:id="6">
    <w:p w14:paraId="7FE6877F" w14:textId="375DC97C" w:rsidR="00C44DB8" w:rsidRPr="00DB538D" w:rsidRDefault="00C44DB8" w:rsidP="00DB538D">
      <w:pPr>
        <w:rPr>
          <w:rFonts w:ascii="Verdana" w:hAnsi="Verdana"/>
          <w:color w:val="212121"/>
          <w:shd w:val="clear" w:color="auto" w:fill="FFFFFF"/>
        </w:rPr>
      </w:pPr>
      <w:r>
        <w:rPr>
          <w:rStyle w:val="FootnoteReference"/>
        </w:rPr>
        <w:footnoteRef/>
      </w:r>
      <w:r>
        <w:t xml:space="preserve"> </w:t>
      </w:r>
      <w:r>
        <w:rPr>
          <w:rFonts w:ascii="Verdana" w:hAnsi="Verdana"/>
          <w:color w:val="212121"/>
          <w:shd w:val="clear" w:color="auto" w:fill="FFFFFF"/>
        </w:rPr>
        <w:t xml:space="preserve">M.Thatcher, </w:t>
      </w:r>
      <w:r w:rsidRPr="00EF7C25">
        <w:rPr>
          <w:rFonts w:ascii="Verdana" w:hAnsi="Verdana"/>
          <w:i/>
          <w:color w:val="212121"/>
          <w:shd w:val="clear" w:color="auto" w:fill="FFFFFF"/>
        </w:rPr>
        <w:t>The Downing Street Years</w:t>
      </w:r>
      <w:r>
        <w:rPr>
          <w:rFonts w:ascii="Verdana" w:hAnsi="Verdana"/>
          <w:i/>
          <w:color w:val="212121"/>
          <w:shd w:val="clear" w:color="auto" w:fill="FFFFFF"/>
        </w:rPr>
        <w:t xml:space="preserve"> (</w:t>
      </w:r>
      <w:r w:rsidRPr="00EF7C25">
        <w:rPr>
          <w:rFonts w:ascii="Verdana" w:hAnsi="Verdana"/>
          <w:color w:val="212121"/>
          <w:shd w:val="clear" w:color="auto" w:fill="FFFFFF"/>
        </w:rPr>
        <w:t>London;</w:t>
      </w:r>
      <w:r>
        <w:rPr>
          <w:rFonts w:ascii="Verdana" w:hAnsi="Verdana"/>
          <w:color w:val="212121"/>
          <w:shd w:val="clear" w:color="auto" w:fill="FFFFFF"/>
        </w:rPr>
        <w:t xml:space="preserve"> </w:t>
      </w:r>
      <w:r w:rsidRPr="00EF7C25">
        <w:rPr>
          <w:rFonts w:ascii="Verdana" w:hAnsi="Verdana"/>
          <w:color w:val="212121"/>
          <w:shd w:val="clear" w:color="auto" w:fill="FFFFFF"/>
        </w:rPr>
        <w:t>HarperCollinsPublishers</w:t>
      </w:r>
      <w:r>
        <w:rPr>
          <w:rFonts w:ascii="Verdana" w:hAnsi="Verdana"/>
          <w:color w:val="212121"/>
          <w:shd w:val="clear" w:color="auto" w:fill="FFFFFF"/>
        </w:rPr>
        <w:t>,1993)</w:t>
      </w:r>
      <w:r>
        <w:rPr>
          <w:rFonts w:ascii="Verdana" w:hAnsi="Verdana"/>
          <w:i/>
          <w:color w:val="212121"/>
          <w:shd w:val="clear" w:color="auto" w:fill="FFFFFF"/>
        </w:rPr>
        <w:t xml:space="preserve">  </w:t>
      </w:r>
    </w:p>
  </w:footnote>
  <w:footnote w:id="7">
    <w:p w14:paraId="45AF5407" w14:textId="6767358E" w:rsidR="00C44DB8" w:rsidRDefault="00C44DB8">
      <w:pPr>
        <w:pStyle w:val="FootnoteText"/>
      </w:pPr>
      <w:r>
        <w:rPr>
          <w:rStyle w:val="FootnoteReference"/>
        </w:rPr>
        <w:footnoteRef/>
      </w:r>
      <w:r>
        <w:t xml:space="preserve"> </w:t>
      </w:r>
      <w:bookmarkStart w:id="3" w:name="_Hlk501126594"/>
      <w:r>
        <w:t xml:space="preserve">B.Elliot, </w:t>
      </w:r>
      <w:r w:rsidRPr="00A43F8C">
        <w:rPr>
          <w:i/>
        </w:rPr>
        <w:t>Coal Miners (Images of the Past)</w:t>
      </w:r>
      <w:r>
        <w:t xml:space="preserve"> (London: Pen and Sword History,2015) </w:t>
      </w:r>
      <w:bookmarkEnd w:id="3"/>
      <w:r>
        <w:t>Pg 62</w:t>
      </w:r>
    </w:p>
  </w:footnote>
  <w:footnote w:id="8">
    <w:p w14:paraId="59FA9DFF" w14:textId="1C9BC9F8" w:rsidR="00C44DB8" w:rsidRPr="00634C07" w:rsidRDefault="00C44DB8" w:rsidP="00634C07">
      <w:pPr>
        <w:rPr>
          <w:rFonts w:ascii="Verdana" w:hAnsi="Verdana"/>
          <w:color w:val="212121"/>
          <w:shd w:val="clear" w:color="auto" w:fill="FFFFFF"/>
        </w:rPr>
      </w:pPr>
      <w:r>
        <w:rPr>
          <w:rStyle w:val="FootnoteReference"/>
        </w:rPr>
        <w:footnoteRef/>
      </w:r>
      <w:r>
        <w:t xml:space="preserve"> </w:t>
      </w:r>
      <w:r>
        <w:rPr>
          <w:rFonts w:ascii="Verdana" w:hAnsi="Verdana"/>
          <w:color w:val="212121"/>
          <w:shd w:val="clear" w:color="auto" w:fill="FFFFFF"/>
        </w:rPr>
        <w:t>M.Holmes,</w:t>
      </w:r>
      <w:r w:rsidRPr="00EF7C25">
        <w:rPr>
          <w:rFonts w:ascii="Verdana" w:hAnsi="Verdana"/>
          <w:i/>
          <w:color w:val="212121"/>
          <w:shd w:val="clear" w:color="auto" w:fill="FFFFFF"/>
        </w:rPr>
        <w:t>Thatcherism:Scope and Limits, 1983-87</w:t>
      </w:r>
      <w:r>
        <w:rPr>
          <w:rFonts w:ascii="Verdana" w:hAnsi="Verdana"/>
          <w:color w:val="212121"/>
          <w:shd w:val="clear" w:color="auto" w:fill="FFFFFF"/>
        </w:rPr>
        <w:t xml:space="preserve"> (London; The Macmillan Press Ltd, 1989) Pg 53</w:t>
      </w:r>
    </w:p>
  </w:footnote>
  <w:footnote w:id="9">
    <w:p w14:paraId="710ECB0F" w14:textId="0ECA234C" w:rsidR="00C44DB8" w:rsidRDefault="00C44DB8">
      <w:pPr>
        <w:pStyle w:val="FootnoteText"/>
      </w:pPr>
      <w:r>
        <w:rPr>
          <w:rStyle w:val="FootnoteReference"/>
        </w:rPr>
        <w:footnoteRef/>
      </w:r>
      <w:r>
        <w:t xml:space="preserve"> </w:t>
      </w:r>
      <w:bookmarkStart w:id="4" w:name="_Hlk501126643"/>
      <w:r>
        <w:t>Margaret Thatcher Foundation, Speech to the Conservative Party Confrence, Margaret Thatcher Foundation,</w:t>
      </w:r>
      <w:r w:rsidRPr="00190478">
        <w:t xml:space="preserve"> </w:t>
      </w:r>
      <w:hyperlink r:id="rId1" w:history="1">
        <w:r w:rsidRPr="006D2F46">
          <w:rPr>
            <w:rStyle w:val="Hyperlink"/>
          </w:rPr>
          <w:t>https://www.margaretthatcher.org/document/105763</w:t>
        </w:r>
      </w:hyperlink>
      <w:r>
        <w:t>. Accessed on [1</w:t>
      </w:r>
      <w:r w:rsidRPr="00190478">
        <w:rPr>
          <w:vertAlign w:val="superscript"/>
        </w:rPr>
        <w:t>st</w:t>
      </w:r>
      <w:r>
        <w:t xml:space="preserve"> December 2017].</w:t>
      </w:r>
      <w:bookmarkEnd w:id="4"/>
    </w:p>
  </w:footnote>
  <w:footnote w:id="10">
    <w:p w14:paraId="59196493" w14:textId="77777777" w:rsidR="00C44DB8" w:rsidRPr="00505325" w:rsidRDefault="00C44DB8" w:rsidP="00505325">
      <w:pPr>
        <w:pStyle w:val="FootnoteText"/>
        <w:rPr>
          <w:sz w:val="22"/>
          <w:szCs w:val="22"/>
        </w:rPr>
      </w:pPr>
      <w:r w:rsidRPr="00505325">
        <w:rPr>
          <w:rStyle w:val="FootnoteReference"/>
          <w:sz w:val="22"/>
          <w:szCs w:val="22"/>
        </w:rPr>
        <w:footnoteRef/>
      </w:r>
      <w:r w:rsidRPr="00505325">
        <w:rPr>
          <w:sz w:val="22"/>
          <w:szCs w:val="22"/>
        </w:rPr>
        <w:t xml:space="preserve"> P.Routledge, </w:t>
      </w:r>
      <w:r w:rsidRPr="00505325">
        <w:rPr>
          <w:i/>
          <w:sz w:val="22"/>
          <w:szCs w:val="22"/>
        </w:rPr>
        <w:t xml:space="preserve">Scargill: The Unauthorised Bibliography </w:t>
      </w:r>
      <w:r w:rsidRPr="00505325">
        <w:rPr>
          <w:sz w:val="22"/>
          <w:szCs w:val="22"/>
        </w:rPr>
        <w:t>(London: HarperCollins, 1993)</w:t>
      </w:r>
    </w:p>
    <w:p w14:paraId="061D0D34" w14:textId="70946CB4" w:rsidR="00C44DB8" w:rsidRPr="00505325" w:rsidRDefault="00C44DB8">
      <w:pPr>
        <w:pStyle w:val="FootnoteText"/>
        <w:rPr>
          <w:sz w:val="22"/>
          <w:szCs w:val="22"/>
        </w:rPr>
      </w:pPr>
    </w:p>
  </w:footnote>
  <w:footnote w:id="11">
    <w:p w14:paraId="0D84C765" w14:textId="3BA6B07E" w:rsidR="00C44DB8" w:rsidRPr="00505325" w:rsidRDefault="00C44DB8">
      <w:pPr>
        <w:pStyle w:val="FootnoteText"/>
      </w:pPr>
      <w:r w:rsidRPr="00505325">
        <w:rPr>
          <w:rStyle w:val="FootnoteReference"/>
          <w:sz w:val="22"/>
          <w:szCs w:val="22"/>
        </w:rPr>
        <w:footnoteRef/>
      </w:r>
      <w:r w:rsidRPr="00505325">
        <w:rPr>
          <w:sz w:val="22"/>
          <w:szCs w:val="22"/>
        </w:rPr>
        <w:t xml:space="preserve"> </w:t>
      </w:r>
      <w:bookmarkStart w:id="5" w:name="_Hlk501126124"/>
      <w:r w:rsidRPr="00505325">
        <w:rPr>
          <w:sz w:val="22"/>
          <w:szCs w:val="22"/>
        </w:rPr>
        <w:t xml:space="preserve">P.Routledge, </w:t>
      </w:r>
      <w:r w:rsidRPr="00505325">
        <w:rPr>
          <w:i/>
          <w:sz w:val="22"/>
          <w:szCs w:val="22"/>
        </w:rPr>
        <w:t xml:space="preserve">Scargill: The Unauthorised Bibliography </w:t>
      </w:r>
      <w:r w:rsidRPr="00505325">
        <w:rPr>
          <w:sz w:val="22"/>
          <w:szCs w:val="22"/>
        </w:rPr>
        <w:t>(London: HarperCollins, 1993)</w:t>
      </w:r>
    </w:p>
    <w:bookmarkEnd w:id="5"/>
  </w:footnote>
  <w:footnote w:id="12">
    <w:p w14:paraId="0B5CBD30" w14:textId="50ADA1C4" w:rsidR="00C44DB8" w:rsidRPr="00505325" w:rsidRDefault="00C44DB8" w:rsidP="00505325">
      <w:pPr>
        <w:rPr>
          <w:rFonts w:ascii="Verdana" w:hAnsi="Verdana"/>
          <w:color w:val="212121"/>
          <w:shd w:val="clear" w:color="auto" w:fill="FFFFFF"/>
        </w:rPr>
      </w:pPr>
      <w:r w:rsidRPr="00505325">
        <w:rPr>
          <w:rStyle w:val="FootnoteReference"/>
        </w:rPr>
        <w:footnoteRef/>
      </w:r>
      <w:r w:rsidRPr="00505325">
        <w:t xml:space="preserve"> </w:t>
      </w:r>
      <w:bookmarkStart w:id="6" w:name="_Hlk501130158"/>
      <w:r w:rsidRPr="00505325">
        <w:rPr>
          <w:rFonts w:ascii="Verdana" w:hAnsi="Verdana"/>
          <w:color w:val="212121"/>
          <w:shd w:val="clear" w:color="auto" w:fill="FFFFFF"/>
        </w:rPr>
        <w:t xml:space="preserve">M.Thatcher, </w:t>
      </w:r>
      <w:r w:rsidRPr="00505325">
        <w:rPr>
          <w:rFonts w:ascii="Verdana" w:hAnsi="Verdana"/>
          <w:i/>
          <w:color w:val="212121"/>
          <w:shd w:val="clear" w:color="auto" w:fill="FFFFFF"/>
        </w:rPr>
        <w:t>The Downing Street Years (</w:t>
      </w:r>
      <w:r w:rsidRPr="00505325">
        <w:rPr>
          <w:rFonts w:ascii="Verdana" w:hAnsi="Verdana"/>
          <w:color w:val="212121"/>
          <w:shd w:val="clear" w:color="auto" w:fill="FFFFFF"/>
        </w:rPr>
        <w:t>London; HarperCollinsPublishers,1993)</w:t>
      </w:r>
      <w:r w:rsidRPr="00505325">
        <w:rPr>
          <w:rFonts w:ascii="Verdana" w:hAnsi="Verdana"/>
          <w:i/>
          <w:color w:val="212121"/>
          <w:shd w:val="clear" w:color="auto" w:fill="FFFFFF"/>
        </w:rPr>
        <w:t xml:space="preserve">  </w:t>
      </w:r>
      <w:bookmarkEnd w:id="6"/>
    </w:p>
  </w:footnote>
  <w:footnote w:id="13">
    <w:p w14:paraId="36EE8A91" w14:textId="0F849387" w:rsidR="00C44DB8" w:rsidRPr="00930E02" w:rsidRDefault="00C44DB8">
      <w:pPr>
        <w:pStyle w:val="FootnoteText"/>
      </w:pPr>
      <w:r>
        <w:rPr>
          <w:rStyle w:val="FootnoteReference"/>
        </w:rPr>
        <w:footnoteRef/>
      </w:r>
      <w:r>
        <w:t xml:space="preserve"> </w:t>
      </w:r>
      <w:bookmarkStart w:id="7" w:name="_Hlk501130082"/>
      <w:r w:rsidRPr="00930E02">
        <w:rPr>
          <w:i/>
        </w:rPr>
        <w:t>The Battle of Beanfiel</w:t>
      </w:r>
      <w:r>
        <w:rPr>
          <w:i/>
        </w:rPr>
        <w:t xml:space="preserve">d, </w:t>
      </w:r>
      <w:r w:rsidRPr="00930E02">
        <w:t>ed Andy Worthington</w:t>
      </w:r>
      <w:r>
        <w:t xml:space="preserve"> ( Enabler Publication and Training Services, 2005)</w:t>
      </w:r>
    </w:p>
    <w:bookmarkEnd w:id="7"/>
  </w:footnote>
  <w:footnote w:id="14">
    <w:p w14:paraId="48294B1E" w14:textId="2A2AF910" w:rsidR="00C44DB8" w:rsidRDefault="00C44DB8">
      <w:pPr>
        <w:pStyle w:val="FootnoteText"/>
      </w:pPr>
      <w:r>
        <w:rPr>
          <w:rStyle w:val="FootnoteReference"/>
        </w:rPr>
        <w:footnoteRef/>
      </w:r>
      <w:r>
        <w:t xml:space="preserve"> </w:t>
      </w:r>
      <w:r w:rsidRPr="00505325">
        <w:rPr>
          <w:rFonts w:ascii="Verdana" w:hAnsi="Verdana"/>
          <w:color w:val="212121"/>
          <w:shd w:val="clear" w:color="auto" w:fill="FFFFFF"/>
        </w:rPr>
        <w:t xml:space="preserve">M.Thatcher, </w:t>
      </w:r>
      <w:r w:rsidRPr="00505325">
        <w:rPr>
          <w:rFonts w:ascii="Verdana" w:hAnsi="Verdana"/>
          <w:i/>
          <w:color w:val="212121"/>
          <w:shd w:val="clear" w:color="auto" w:fill="FFFFFF"/>
        </w:rPr>
        <w:t>The Downing Street Years (</w:t>
      </w:r>
      <w:r w:rsidRPr="00505325">
        <w:rPr>
          <w:rFonts w:ascii="Verdana" w:hAnsi="Verdana"/>
          <w:color w:val="212121"/>
          <w:shd w:val="clear" w:color="auto" w:fill="FFFFFF"/>
        </w:rPr>
        <w:t>London; HarperCollinsPublishers,1993)</w:t>
      </w:r>
      <w:r w:rsidRPr="00505325">
        <w:rPr>
          <w:rFonts w:ascii="Verdana" w:hAnsi="Verdana"/>
          <w:i/>
          <w:color w:val="212121"/>
          <w:shd w:val="clear" w:color="auto" w:fill="FFFFFF"/>
        </w:rPr>
        <w:t xml:space="preserve">  </w:t>
      </w:r>
    </w:p>
  </w:footnote>
  <w:footnote w:id="15">
    <w:p w14:paraId="55130E87" w14:textId="77777777" w:rsidR="00C44DB8" w:rsidRPr="00EF7C25" w:rsidRDefault="00C44DB8" w:rsidP="00046D65">
      <w:pPr>
        <w:rPr>
          <w:rFonts w:ascii="Verdana" w:hAnsi="Verdana"/>
          <w:color w:val="212121"/>
          <w:shd w:val="clear" w:color="auto" w:fill="FFFFFF"/>
        </w:rPr>
      </w:pPr>
      <w:r w:rsidRPr="00505325">
        <w:rPr>
          <w:rStyle w:val="FootnoteReference"/>
        </w:rPr>
        <w:footnoteRef/>
      </w:r>
      <w:r w:rsidRPr="00505325">
        <w:t xml:space="preserve"> </w:t>
      </w:r>
      <w:bookmarkStart w:id="8" w:name="_Hlk501126367"/>
      <w:r w:rsidRPr="00505325">
        <w:rPr>
          <w:rFonts w:ascii="Verdana" w:hAnsi="Verdana"/>
          <w:color w:val="212121"/>
          <w:shd w:val="clear" w:color="auto" w:fill="FFFFFF"/>
        </w:rPr>
        <w:t xml:space="preserve">M.Thatcher, </w:t>
      </w:r>
      <w:r w:rsidRPr="00505325">
        <w:rPr>
          <w:rFonts w:ascii="Verdana" w:hAnsi="Verdana"/>
          <w:i/>
          <w:color w:val="212121"/>
          <w:shd w:val="clear" w:color="auto" w:fill="FFFFFF"/>
        </w:rPr>
        <w:t>The Downing Street Years (</w:t>
      </w:r>
      <w:r w:rsidRPr="00505325">
        <w:rPr>
          <w:rFonts w:ascii="Verdana" w:hAnsi="Verdana"/>
          <w:color w:val="212121"/>
          <w:shd w:val="clear" w:color="auto" w:fill="FFFFFF"/>
        </w:rPr>
        <w:t>London; HarperCollinsPublishers,1993)</w:t>
      </w:r>
      <w:r>
        <w:rPr>
          <w:rFonts w:ascii="Verdana" w:hAnsi="Verdana"/>
          <w:i/>
          <w:color w:val="212121"/>
          <w:shd w:val="clear" w:color="auto" w:fill="FFFFFF"/>
        </w:rPr>
        <w:t xml:space="preserve">  </w:t>
      </w:r>
    </w:p>
    <w:bookmarkEnd w:id="8"/>
    <w:p w14:paraId="6620B7A7" w14:textId="7785B50B" w:rsidR="00C44DB8" w:rsidRDefault="00C44DB8">
      <w:pPr>
        <w:pStyle w:val="FootnoteText"/>
      </w:pPr>
    </w:p>
  </w:footnote>
  <w:footnote w:id="16">
    <w:p w14:paraId="3E6377F1" w14:textId="12FF7B72" w:rsidR="00C44DB8" w:rsidRPr="00F64547" w:rsidRDefault="00C44DB8">
      <w:pPr>
        <w:pStyle w:val="FootnoteText"/>
      </w:pPr>
      <w:r>
        <w:rPr>
          <w:rStyle w:val="FootnoteReference"/>
        </w:rPr>
        <w:footnoteRef/>
      </w:r>
      <w:r>
        <w:t xml:space="preserve"> </w:t>
      </w:r>
      <w:r w:rsidRPr="00F64547">
        <w:rPr>
          <w:i/>
        </w:rPr>
        <w:t>Still the Enemy Within</w:t>
      </w:r>
      <w:r>
        <w:t>. June 2014. Owen Gower. U.K. Bad Bonobo.</w:t>
      </w:r>
    </w:p>
  </w:footnote>
  <w:footnote w:id="17">
    <w:p w14:paraId="270C9009" w14:textId="79B035F1" w:rsidR="00C44DB8" w:rsidRDefault="00C44DB8" w:rsidP="00F64547">
      <w:r>
        <w:rPr>
          <w:rStyle w:val="FootnoteReference"/>
        </w:rPr>
        <w:footnoteRef/>
      </w:r>
      <w:r>
        <w:t xml:space="preserve"> </w:t>
      </w:r>
      <w:r w:rsidRPr="00F64547">
        <w:t xml:space="preserve">M.Thatcher, The Downing Street Years (London; HarperCollinsPublishers,1993)  </w:t>
      </w:r>
    </w:p>
  </w:footnote>
  <w:footnote w:id="18">
    <w:p w14:paraId="2C69382C" w14:textId="5DA41424" w:rsidR="00C44DB8" w:rsidRPr="00505325" w:rsidRDefault="00C44DB8" w:rsidP="00505325">
      <w:pPr>
        <w:rPr>
          <w:rFonts w:ascii="Verdana" w:hAnsi="Verdana"/>
          <w:color w:val="212121"/>
          <w:shd w:val="clear" w:color="auto" w:fill="FFFFFF"/>
        </w:rPr>
      </w:pPr>
      <w:r>
        <w:rPr>
          <w:rStyle w:val="FootnoteReference"/>
        </w:rPr>
        <w:footnoteRef/>
      </w:r>
      <w:r>
        <w:t xml:space="preserve"> </w:t>
      </w:r>
      <w:bookmarkStart w:id="9" w:name="_Hlk501117057"/>
      <w:r w:rsidRPr="00F64547">
        <w:t xml:space="preserve">M.Thatcher, The Downing Street Years (London; HarperCollinsPublishers,1993)  </w:t>
      </w:r>
      <w:bookmarkEnd w:id="9"/>
    </w:p>
  </w:footnote>
  <w:footnote w:id="19">
    <w:p w14:paraId="19CEBA7B" w14:textId="69AA6596" w:rsidR="00C44DB8" w:rsidRDefault="00C44DB8">
      <w:pPr>
        <w:pStyle w:val="FootnoteText"/>
      </w:pPr>
      <w:r>
        <w:rPr>
          <w:rStyle w:val="FootnoteReference"/>
        </w:rPr>
        <w:footnoteRef/>
      </w:r>
      <w:r>
        <w:t xml:space="preserve"> </w:t>
      </w:r>
      <w:r w:rsidRPr="00F64547">
        <w:t xml:space="preserve">M.Thatcher, The Downing Street Years (London; HarperCollinsPublishers,1993)  </w:t>
      </w:r>
    </w:p>
  </w:footnote>
  <w:footnote w:id="20">
    <w:p w14:paraId="42B835CA" w14:textId="02DF0952" w:rsidR="00C44DB8" w:rsidRPr="00744B78" w:rsidRDefault="00C44DB8" w:rsidP="00744B78">
      <w:pPr>
        <w:rPr>
          <w:rFonts w:ascii="Verdana" w:hAnsi="Verdana"/>
          <w:color w:val="212121"/>
          <w:shd w:val="clear" w:color="auto" w:fill="FFFFFF"/>
        </w:rPr>
      </w:pPr>
      <w:r>
        <w:rPr>
          <w:rStyle w:val="FootnoteReference"/>
        </w:rPr>
        <w:footnoteRef/>
      </w:r>
      <w:r>
        <w:t xml:space="preserve"> </w:t>
      </w:r>
      <w:r w:rsidRPr="00F64547">
        <w:t>M.Holmes,Thatcherism:Scope and Limits, 1983-87 (London; The Macmillan Press Ltd, 1989)</w:t>
      </w:r>
    </w:p>
  </w:footnote>
  <w:footnote w:id="21">
    <w:p w14:paraId="374F2494" w14:textId="7CC04900" w:rsidR="00C44DB8" w:rsidRDefault="00C44DB8">
      <w:pPr>
        <w:pStyle w:val="FootnoteText"/>
      </w:pPr>
      <w:r>
        <w:rPr>
          <w:rStyle w:val="FootnoteReference"/>
        </w:rPr>
        <w:footnoteRef/>
      </w:r>
      <w:r>
        <w:t xml:space="preserve"> Ibid pg 38</w:t>
      </w:r>
    </w:p>
  </w:footnote>
  <w:footnote w:id="22">
    <w:p w14:paraId="1FB39060" w14:textId="701E41A0" w:rsidR="00C44DB8" w:rsidRDefault="00C44DB8">
      <w:pPr>
        <w:pStyle w:val="FootnoteText"/>
      </w:pPr>
      <w:r>
        <w:rPr>
          <w:rStyle w:val="FootnoteReference"/>
        </w:rPr>
        <w:footnoteRef/>
      </w:r>
      <w:r>
        <w:t xml:space="preserve"> Ibid pg 38</w:t>
      </w:r>
    </w:p>
  </w:footnote>
  <w:footnote w:id="23">
    <w:p w14:paraId="516AD104" w14:textId="77777777" w:rsidR="00C44DB8" w:rsidRPr="00EF7C25" w:rsidRDefault="00C44DB8" w:rsidP="00EB4809">
      <w:pPr>
        <w:rPr>
          <w:rFonts w:ascii="Verdana" w:hAnsi="Verdana"/>
          <w:color w:val="212121"/>
          <w:shd w:val="clear" w:color="auto" w:fill="FFFFFF"/>
        </w:rPr>
      </w:pPr>
      <w:r>
        <w:rPr>
          <w:rStyle w:val="FootnoteReference"/>
        </w:rPr>
        <w:footnoteRef/>
      </w:r>
      <w:r>
        <w:t xml:space="preserve"> </w:t>
      </w:r>
      <w:r w:rsidRPr="00EB4809">
        <w:t>M.Thatcher, The Downing Street Years (London; HarperCollinsPublishers,1993)</w:t>
      </w:r>
      <w:r>
        <w:rPr>
          <w:rFonts w:ascii="Verdana" w:hAnsi="Verdana"/>
          <w:i/>
          <w:color w:val="212121"/>
          <w:shd w:val="clear" w:color="auto" w:fill="FFFFFF"/>
        </w:rPr>
        <w:t xml:space="preserve">  </w:t>
      </w:r>
    </w:p>
    <w:p w14:paraId="012DD3B4" w14:textId="0A01076A" w:rsidR="00C44DB8" w:rsidRDefault="00C44DB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C94D9" w14:textId="77777777" w:rsidR="00C44DB8" w:rsidRDefault="00C44DB8">
    <w:pPr>
      <w:pStyle w:val="Header"/>
    </w:pPr>
    <w:r>
      <w:t>AHHI6013-1500629-Donoghue</w:t>
    </w:r>
  </w:p>
  <w:p w14:paraId="1BA73495" w14:textId="77777777" w:rsidR="00C44DB8" w:rsidRDefault="00C44D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BF2"/>
    <w:rsid w:val="0000286A"/>
    <w:rsid w:val="0001184F"/>
    <w:rsid w:val="00024CA0"/>
    <w:rsid w:val="00045841"/>
    <w:rsid w:val="00046D65"/>
    <w:rsid w:val="000562AB"/>
    <w:rsid w:val="000568D7"/>
    <w:rsid w:val="0006483B"/>
    <w:rsid w:val="000668DC"/>
    <w:rsid w:val="00066C2E"/>
    <w:rsid w:val="000679B5"/>
    <w:rsid w:val="000761CB"/>
    <w:rsid w:val="000C350B"/>
    <w:rsid w:val="000E3ED8"/>
    <w:rsid w:val="00110E09"/>
    <w:rsid w:val="001328EC"/>
    <w:rsid w:val="00134163"/>
    <w:rsid w:val="0014041B"/>
    <w:rsid w:val="00142D00"/>
    <w:rsid w:val="00147654"/>
    <w:rsid w:val="00190478"/>
    <w:rsid w:val="00197019"/>
    <w:rsid w:val="001A3F1C"/>
    <w:rsid w:val="001B4703"/>
    <w:rsid w:val="001C4325"/>
    <w:rsid w:val="001F7235"/>
    <w:rsid w:val="00203882"/>
    <w:rsid w:val="002110E3"/>
    <w:rsid w:val="0023395E"/>
    <w:rsid w:val="0025019C"/>
    <w:rsid w:val="00274B70"/>
    <w:rsid w:val="002764E6"/>
    <w:rsid w:val="002930B9"/>
    <w:rsid w:val="002B36F1"/>
    <w:rsid w:val="002C43CF"/>
    <w:rsid w:val="002F2BA3"/>
    <w:rsid w:val="003157FC"/>
    <w:rsid w:val="00316491"/>
    <w:rsid w:val="003201E6"/>
    <w:rsid w:val="00331F35"/>
    <w:rsid w:val="00335DFB"/>
    <w:rsid w:val="003536BD"/>
    <w:rsid w:val="00366416"/>
    <w:rsid w:val="00374808"/>
    <w:rsid w:val="00385519"/>
    <w:rsid w:val="003971BC"/>
    <w:rsid w:val="003A3E76"/>
    <w:rsid w:val="003C6D0B"/>
    <w:rsid w:val="003D1D4F"/>
    <w:rsid w:val="003D3296"/>
    <w:rsid w:val="003E198B"/>
    <w:rsid w:val="003F1E90"/>
    <w:rsid w:val="00410C3B"/>
    <w:rsid w:val="00413F56"/>
    <w:rsid w:val="00417DFE"/>
    <w:rsid w:val="00425330"/>
    <w:rsid w:val="004346BF"/>
    <w:rsid w:val="0044161D"/>
    <w:rsid w:val="00447BC3"/>
    <w:rsid w:val="00495473"/>
    <w:rsid w:val="004A6001"/>
    <w:rsid w:val="004B25A1"/>
    <w:rsid w:val="004C26E0"/>
    <w:rsid w:val="004C682E"/>
    <w:rsid w:val="00505325"/>
    <w:rsid w:val="00512D4F"/>
    <w:rsid w:val="005709F3"/>
    <w:rsid w:val="00575A4D"/>
    <w:rsid w:val="005913AF"/>
    <w:rsid w:val="005A323A"/>
    <w:rsid w:val="006015F7"/>
    <w:rsid w:val="006067CD"/>
    <w:rsid w:val="00627C4C"/>
    <w:rsid w:val="006332B8"/>
    <w:rsid w:val="00634C07"/>
    <w:rsid w:val="00644FE2"/>
    <w:rsid w:val="00677AD7"/>
    <w:rsid w:val="006A6D65"/>
    <w:rsid w:val="006B56DE"/>
    <w:rsid w:val="006C6BD3"/>
    <w:rsid w:val="006D0E2C"/>
    <w:rsid w:val="006D79FA"/>
    <w:rsid w:val="006E29B6"/>
    <w:rsid w:val="006E46C4"/>
    <w:rsid w:val="00700BF2"/>
    <w:rsid w:val="00742163"/>
    <w:rsid w:val="00744B78"/>
    <w:rsid w:val="00750389"/>
    <w:rsid w:val="00774642"/>
    <w:rsid w:val="0077471A"/>
    <w:rsid w:val="00777095"/>
    <w:rsid w:val="007B7D72"/>
    <w:rsid w:val="007D6AAB"/>
    <w:rsid w:val="00812300"/>
    <w:rsid w:val="00816DE9"/>
    <w:rsid w:val="008223B0"/>
    <w:rsid w:val="0083255B"/>
    <w:rsid w:val="00852AD1"/>
    <w:rsid w:val="00854FDD"/>
    <w:rsid w:val="00856872"/>
    <w:rsid w:val="00872C8C"/>
    <w:rsid w:val="0088285B"/>
    <w:rsid w:val="008C162D"/>
    <w:rsid w:val="008D0A43"/>
    <w:rsid w:val="008D4F70"/>
    <w:rsid w:val="008E639D"/>
    <w:rsid w:val="008F018D"/>
    <w:rsid w:val="009305FB"/>
    <w:rsid w:val="00930E02"/>
    <w:rsid w:val="00950842"/>
    <w:rsid w:val="009530B2"/>
    <w:rsid w:val="009574F7"/>
    <w:rsid w:val="00973416"/>
    <w:rsid w:val="009915F7"/>
    <w:rsid w:val="009A1114"/>
    <w:rsid w:val="009A6933"/>
    <w:rsid w:val="009D7480"/>
    <w:rsid w:val="009F6B39"/>
    <w:rsid w:val="00A0667E"/>
    <w:rsid w:val="00A15080"/>
    <w:rsid w:val="00A229E2"/>
    <w:rsid w:val="00A36A0B"/>
    <w:rsid w:val="00A402AF"/>
    <w:rsid w:val="00A43F8C"/>
    <w:rsid w:val="00A5756F"/>
    <w:rsid w:val="00A72196"/>
    <w:rsid w:val="00A92B95"/>
    <w:rsid w:val="00AF03FD"/>
    <w:rsid w:val="00B31922"/>
    <w:rsid w:val="00B31C8C"/>
    <w:rsid w:val="00B528E5"/>
    <w:rsid w:val="00B67C4E"/>
    <w:rsid w:val="00B9255C"/>
    <w:rsid w:val="00BC030B"/>
    <w:rsid w:val="00BD0C60"/>
    <w:rsid w:val="00BE32A5"/>
    <w:rsid w:val="00C153A9"/>
    <w:rsid w:val="00C22E05"/>
    <w:rsid w:val="00C44DB8"/>
    <w:rsid w:val="00CB0B5F"/>
    <w:rsid w:val="00CD0488"/>
    <w:rsid w:val="00CD3E8E"/>
    <w:rsid w:val="00CE6F5A"/>
    <w:rsid w:val="00CF31D5"/>
    <w:rsid w:val="00D069DD"/>
    <w:rsid w:val="00D213BB"/>
    <w:rsid w:val="00D441E9"/>
    <w:rsid w:val="00D47A2B"/>
    <w:rsid w:val="00D64D6A"/>
    <w:rsid w:val="00D902AA"/>
    <w:rsid w:val="00D926C4"/>
    <w:rsid w:val="00D92D53"/>
    <w:rsid w:val="00DB2D46"/>
    <w:rsid w:val="00DB538D"/>
    <w:rsid w:val="00DD40A7"/>
    <w:rsid w:val="00E06AA1"/>
    <w:rsid w:val="00E251C6"/>
    <w:rsid w:val="00E4127C"/>
    <w:rsid w:val="00E41ABE"/>
    <w:rsid w:val="00E44340"/>
    <w:rsid w:val="00E54319"/>
    <w:rsid w:val="00E82E5E"/>
    <w:rsid w:val="00E86DD7"/>
    <w:rsid w:val="00E92DFE"/>
    <w:rsid w:val="00EB4809"/>
    <w:rsid w:val="00EB58BD"/>
    <w:rsid w:val="00EB59B8"/>
    <w:rsid w:val="00EB5C4C"/>
    <w:rsid w:val="00EB5D2E"/>
    <w:rsid w:val="00ED16E1"/>
    <w:rsid w:val="00ED2849"/>
    <w:rsid w:val="00ED61F1"/>
    <w:rsid w:val="00EE6A43"/>
    <w:rsid w:val="00EF7C25"/>
    <w:rsid w:val="00F07088"/>
    <w:rsid w:val="00F267AD"/>
    <w:rsid w:val="00F33BDC"/>
    <w:rsid w:val="00F64547"/>
    <w:rsid w:val="00F714F9"/>
    <w:rsid w:val="00F8396A"/>
    <w:rsid w:val="00F83D42"/>
    <w:rsid w:val="00FA2234"/>
    <w:rsid w:val="00FA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C2332"/>
  <w15:chartTrackingRefBased/>
  <w15:docId w15:val="{CC25AFC3-2454-400C-ADB9-3D74AB020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BF2"/>
  </w:style>
  <w:style w:type="paragraph" w:styleId="Heading1">
    <w:name w:val="heading 1"/>
    <w:basedOn w:val="Normal"/>
    <w:next w:val="Normal"/>
    <w:link w:val="Heading1Char"/>
    <w:uiPriority w:val="9"/>
    <w:qFormat/>
    <w:rsid w:val="00EB58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4703"/>
  </w:style>
  <w:style w:type="paragraph" w:styleId="Footer">
    <w:name w:val="footer"/>
    <w:basedOn w:val="Normal"/>
    <w:link w:val="FooterChar"/>
    <w:uiPriority w:val="99"/>
    <w:unhideWhenUsed/>
    <w:rsid w:val="001B4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4703"/>
  </w:style>
  <w:style w:type="paragraph" w:styleId="FootnoteText">
    <w:name w:val="footnote text"/>
    <w:basedOn w:val="Normal"/>
    <w:link w:val="FootnoteTextChar"/>
    <w:uiPriority w:val="99"/>
    <w:unhideWhenUsed/>
    <w:rsid w:val="00774642"/>
    <w:pPr>
      <w:spacing w:after="0" w:line="240" w:lineRule="auto"/>
    </w:pPr>
    <w:rPr>
      <w:sz w:val="20"/>
      <w:szCs w:val="20"/>
    </w:rPr>
  </w:style>
  <w:style w:type="character" w:customStyle="1" w:styleId="FootnoteTextChar">
    <w:name w:val="Footnote Text Char"/>
    <w:basedOn w:val="DefaultParagraphFont"/>
    <w:link w:val="FootnoteText"/>
    <w:uiPriority w:val="99"/>
    <w:rsid w:val="00774642"/>
    <w:rPr>
      <w:sz w:val="20"/>
      <w:szCs w:val="20"/>
    </w:rPr>
  </w:style>
  <w:style w:type="character" w:styleId="FootnoteReference">
    <w:name w:val="footnote reference"/>
    <w:basedOn w:val="DefaultParagraphFont"/>
    <w:uiPriority w:val="99"/>
    <w:semiHidden/>
    <w:unhideWhenUsed/>
    <w:rsid w:val="00774642"/>
    <w:rPr>
      <w:vertAlign w:val="superscript"/>
    </w:rPr>
  </w:style>
  <w:style w:type="character" w:styleId="CommentReference">
    <w:name w:val="annotation reference"/>
    <w:basedOn w:val="DefaultParagraphFont"/>
    <w:uiPriority w:val="99"/>
    <w:semiHidden/>
    <w:unhideWhenUsed/>
    <w:rsid w:val="0001184F"/>
    <w:rPr>
      <w:sz w:val="16"/>
      <w:szCs w:val="16"/>
    </w:rPr>
  </w:style>
  <w:style w:type="paragraph" w:styleId="CommentText">
    <w:name w:val="annotation text"/>
    <w:basedOn w:val="Normal"/>
    <w:link w:val="CommentTextChar"/>
    <w:uiPriority w:val="99"/>
    <w:semiHidden/>
    <w:unhideWhenUsed/>
    <w:rsid w:val="0001184F"/>
    <w:pPr>
      <w:spacing w:line="240" w:lineRule="auto"/>
    </w:pPr>
    <w:rPr>
      <w:sz w:val="20"/>
      <w:szCs w:val="20"/>
    </w:rPr>
  </w:style>
  <w:style w:type="character" w:customStyle="1" w:styleId="CommentTextChar">
    <w:name w:val="Comment Text Char"/>
    <w:basedOn w:val="DefaultParagraphFont"/>
    <w:link w:val="CommentText"/>
    <w:uiPriority w:val="99"/>
    <w:semiHidden/>
    <w:rsid w:val="0001184F"/>
    <w:rPr>
      <w:sz w:val="20"/>
      <w:szCs w:val="20"/>
    </w:rPr>
  </w:style>
  <w:style w:type="paragraph" w:styleId="CommentSubject">
    <w:name w:val="annotation subject"/>
    <w:basedOn w:val="CommentText"/>
    <w:next w:val="CommentText"/>
    <w:link w:val="CommentSubjectChar"/>
    <w:uiPriority w:val="99"/>
    <w:semiHidden/>
    <w:unhideWhenUsed/>
    <w:rsid w:val="0001184F"/>
    <w:rPr>
      <w:b/>
      <w:bCs/>
    </w:rPr>
  </w:style>
  <w:style w:type="character" w:customStyle="1" w:styleId="CommentSubjectChar">
    <w:name w:val="Comment Subject Char"/>
    <w:basedOn w:val="CommentTextChar"/>
    <w:link w:val="CommentSubject"/>
    <w:uiPriority w:val="99"/>
    <w:semiHidden/>
    <w:rsid w:val="0001184F"/>
    <w:rPr>
      <w:b/>
      <w:bCs/>
      <w:sz w:val="20"/>
      <w:szCs w:val="20"/>
    </w:rPr>
  </w:style>
  <w:style w:type="paragraph" w:styleId="BalloonText">
    <w:name w:val="Balloon Text"/>
    <w:basedOn w:val="Normal"/>
    <w:link w:val="BalloonTextChar"/>
    <w:uiPriority w:val="99"/>
    <w:semiHidden/>
    <w:unhideWhenUsed/>
    <w:rsid w:val="000118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84F"/>
    <w:rPr>
      <w:rFonts w:ascii="Segoe UI" w:hAnsi="Segoe UI" w:cs="Segoe UI"/>
      <w:sz w:val="18"/>
      <w:szCs w:val="18"/>
    </w:rPr>
  </w:style>
  <w:style w:type="paragraph" w:styleId="Revision">
    <w:name w:val="Revision"/>
    <w:hidden/>
    <w:uiPriority w:val="99"/>
    <w:semiHidden/>
    <w:rsid w:val="000761CB"/>
    <w:pPr>
      <w:spacing w:after="0" w:line="240" w:lineRule="auto"/>
    </w:pPr>
  </w:style>
  <w:style w:type="character" w:customStyle="1" w:styleId="Heading1Char">
    <w:name w:val="Heading 1 Char"/>
    <w:basedOn w:val="DefaultParagraphFont"/>
    <w:link w:val="Heading1"/>
    <w:uiPriority w:val="9"/>
    <w:rsid w:val="00EB58B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90478"/>
    <w:rPr>
      <w:color w:val="0563C1" w:themeColor="hyperlink"/>
      <w:u w:val="single"/>
    </w:rPr>
  </w:style>
  <w:style w:type="character" w:styleId="UnresolvedMention">
    <w:name w:val="Unresolved Mention"/>
    <w:basedOn w:val="DefaultParagraphFont"/>
    <w:uiPriority w:val="99"/>
    <w:semiHidden/>
    <w:unhideWhenUsed/>
    <w:rsid w:val="00190478"/>
    <w:rPr>
      <w:color w:val="808080"/>
      <w:shd w:val="clear" w:color="auto" w:fill="E6E6E6"/>
    </w:rPr>
  </w:style>
  <w:style w:type="character" w:styleId="Emphasis">
    <w:name w:val="Emphasis"/>
    <w:basedOn w:val="DefaultParagraphFont"/>
    <w:uiPriority w:val="20"/>
    <w:qFormat/>
    <w:rsid w:val="00A92B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0471924">
      <w:bodyDiv w:val="1"/>
      <w:marLeft w:val="0"/>
      <w:marRight w:val="0"/>
      <w:marTop w:val="0"/>
      <w:marBottom w:val="0"/>
      <w:divBdr>
        <w:top w:val="none" w:sz="0" w:space="0" w:color="auto"/>
        <w:left w:val="none" w:sz="0" w:space="0" w:color="auto"/>
        <w:bottom w:val="none" w:sz="0" w:space="0" w:color="auto"/>
        <w:right w:val="none" w:sz="0" w:space="0" w:color="auto"/>
      </w:divBdr>
      <w:divsChild>
        <w:div w:id="301934172">
          <w:marLeft w:val="0"/>
          <w:marRight w:val="0"/>
          <w:marTop w:val="0"/>
          <w:marBottom w:val="0"/>
          <w:divBdr>
            <w:top w:val="none" w:sz="0" w:space="0" w:color="auto"/>
            <w:left w:val="none" w:sz="0" w:space="0" w:color="auto"/>
            <w:bottom w:val="none" w:sz="0" w:space="0" w:color="auto"/>
            <w:right w:val="none" w:sz="0" w:space="0" w:color="auto"/>
          </w:divBdr>
        </w:div>
      </w:divsChild>
    </w:div>
    <w:div w:id="1348143920">
      <w:bodyDiv w:val="1"/>
      <w:marLeft w:val="0"/>
      <w:marRight w:val="0"/>
      <w:marTop w:val="0"/>
      <w:marBottom w:val="0"/>
      <w:divBdr>
        <w:top w:val="none" w:sz="0" w:space="0" w:color="auto"/>
        <w:left w:val="none" w:sz="0" w:space="0" w:color="auto"/>
        <w:bottom w:val="none" w:sz="0" w:space="0" w:color="auto"/>
        <w:right w:val="none" w:sz="0" w:space="0" w:color="auto"/>
      </w:divBdr>
    </w:div>
    <w:div w:id="138163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margaretthatcher.org/document/10576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margaretthatcher.org/document/1057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A5ED5-97E1-4FBA-8CCA-CADFF41EE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3001</Words>
  <Characters>17106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dc:description/>
  <cp:lastModifiedBy>Adam</cp:lastModifiedBy>
  <cp:revision>2</cp:revision>
  <dcterms:created xsi:type="dcterms:W3CDTF">2017-12-15T20:32:00Z</dcterms:created>
  <dcterms:modified xsi:type="dcterms:W3CDTF">2017-12-15T20:32:00Z</dcterms:modified>
</cp:coreProperties>
</file>