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D2430" w14:textId="77777777" w:rsidR="002C234F" w:rsidRPr="002C234F" w:rsidRDefault="002C234F" w:rsidP="002C234F">
      <w:pPr>
        <w:spacing w:line="360" w:lineRule="auto"/>
        <w:jc w:val="center"/>
        <w:rPr>
          <w:rFonts w:ascii="Aptos" w:eastAsia="Calibri" w:hAnsi="Aptos" w:cs="Arial"/>
          <w:b/>
          <w:bCs/>
          <w:kern w:val="0"/>
          <w:sz w:val="28"/>
          <w:szCs w:val="28"/>
          <w14:ligatures w14:val="none"/>
        </w:rPr>
      </w:pPr>
    </w:p>
    <w:p w14:paraId="3C0591A0" w14:textId="77777777"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STUDENT: SANIA ULLAH</w:t>
      </w:r>
    </w:p>
    <w:p w14:paraId="3CB07CC5" w14:textId="77777777" w:rsidR="001D13B3" w:rsidRPr="001D13B3" w:rsidRDefault="001D13B3" w:rsidP="001D13B3">
      <w:pPr>
        <w:spacing w:line="360" w:lineRule="auto"/>
        <w:jc w:val="center"/>
        <w:rPr>
          <w:rFonts w:ascii="Arial" w:eastAsia="Calibri" w:hAnsi="Arial" w:cs="Arial"/>
          <w:b/>
          <w:kern w:val="0"/>
          <w14:ligatures w14:val="none"/>
        </w:rPr>
      </w:pPr>
    </w:p>
    <w:p w14:paraId="59AF5CA5" w14:textId="77777777"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STUDENT ID: 2314490</w:t>
      </w:r>
    </w:p>
    <w:p w14:paraId="3781FFEE" w14:textId="77777777" w:rsidR="001D13B3" w:rsidRPr="001D13B3" w:rsidRDefault="001D13B3" w:rsidP="001D13B3">
      <w:pPr>
        <w:spacing w:line="360" w:lineRule="auto"/>
        <w:jc w:val="center"/>
        <w:rPr>
          <w:rFonts w:ascii="Arial" w:eastAsia="Calibri" w:hAnsi="Arial" w:cs="Arial"/>
          <w:b/>
          <w:kern w:val="0"/>
          <w14:ligatures w14:val="none"/>
        </w:rPr>
      </w:pPr>
    </w:p>
    <w:p w14:paraId="11442D13" w14:textId="184CE4D5"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MODULE CODE: BMHP60</w:t>
      </w:r>
      <w:r w:rsidR="00FB65C9">
        <w:rPr>
          <w:rFonts w:ascii="Arial" w:eastAsia="Calibri" w:hAnsi="Arial" w:cs="Arial"/>
          <w:b/>
          <w:kern w:val="0"/>
          <w14:ligatures w14:val="none"/>
        </w:rPr>
        <w:t>20</w:t>
      </w:r>
    </w:p>
    <w:p w14:paraId="7F81DCAF" w14:textId="77777777" w:rsidR="001D13B3" w:rsidRPr="001D13B3" w:rsidRDefault="001D13B3" w:rsidP="001D13B3">
      <w:pPr>
        <w:spacing w:line="360" w:lineRule="auto"/>
        <w:jc w:val="center"/>
        <w:rPr>
          <w:rFonts w:ascii="Arial" w:eastAsia="Calibri" w:hAnsi="Arial" w:cs="Arial"/>
          <w:b/>
          <w:kern w:val="0"/>
          <w14:ligatures w14:val="none"/>
        </w:rPr>
      </w:pPr>
    </w:p>
    <w:p w14:paraId="33FC1AEA" w14:textId="502391C9"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 xml:space="preserve">MODULE: </w:t>
      </w:r>
      <w:r w:rsidR="00226FC2">
        <w:rPr>
          <w:rFonts w:ascii="Arial" w:eastAsia="Calibri" w:hAnsi="Arial" w:cs="Arial"/>
          <w:b/>
          <w:kern w:val="0"/>
          <w14:ligatures w14:val="none"/>
        </w:rPr>
        <w:t>Independent Project</w:t>
      </w:r>
    </w:p>
    <w:p w14:paraId="69A147DD" w14:textId="77777777" w:rsidR="001D13B3" w:rsidRPr="001D13B3" w:rsidRDefault="001D13B3" w:rsidP="001D13B3">
      <w:pPr>
        <w:spacing w:line="360" w:lineRule="auto"/>
        <w:jc w:val="center"/>
        <w:rPr>
          <w:rFonts w:ascii="Arial" w:eastAsia="Calibri" w:hAnsi="Arial" w:cs="Arial"/>
          <w:b/>
          <w:kern w:val="0"/>
          <w14:ligatures w14:val="none"/>
        </w:rPr>
      </w:pPr>
    </w:p>
    <w:p w14:paraId="6B4EE6B6" w14:textId="7D4C93C2"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 xml:space="preserve">ASSIGNMENT: </w:t>
      </w:r>
      <w:r w:rsidR="00226FC2">
        <w:rPr>
          <w:rFonts w:ascii="Arial" w:eastAsia="Calibri" w:hAnsi="Arial" w:cs="Arial"/>
          <w:b/>
          <w:kern w:val="0"/>
          <w14:ligatures w14:val="none"/>
        </w:rPr>
        <w:t>Component 1</w:t>
      </w:r>
      <w:r w:rsidR="000B4DCA">
        <w:rPr>
          <w:rFonts w:ascii="Arial" w:eastAsia="Calibri" w:hAnsi="Arial" w:cs="Arial"/>
          <w:b/>
          <w:kern w:val="0"/>
          <w14:ligatures w14:val="none"/>
        </w:rPr>
        <w:t xml:space="preserve">: Project Proposal </w:t>
      </w:r>
    </w:p>
    <w:p w14:paraId="4CF5D6DE" w14:textId="77777777" w:rsidR="001D13B3" w:rsidRPr="001D13B3" w:rsidRDefault="001D13B3" w:rsidP="001D13B3">
      <w:pPr>
        <w:spacing w:line="360" w:lineRule="auto"/>
        <w:jc w:val="center"/>
        <w:rPr>
          <w:rFonts w:ascii="Arial" w:eastAsia="Calibri" w:hAnsi="Arial" w:cs="Arial"/>
          <w:b/>
          <w:kern w:val="0"/>
          <w14:ligatures w14:val="none"/>
        </w:rPr>
      </w:pPr>
    </w:p>
    <w:p w14:paraId="0E40DB24" w14:textId="12E17644" w:rsidR="001D13B3" w:rsidRPr="001D13B3" w:rsidRDefault="001D13B3" w:rsidP="001D13B3">
      <w:pPr>
        <w:spacing w:line="360" w:lineRule="auto"/>
        <w:jc w:val="center"/>
        <w:rPr>
          <w:rFonts w:ascii="Arial" w:eastAsia="Calibri" w:hAnsi="Arial" w:cs="Arial"/>
          <w:b/>
          <w:kern w:val="0"/>
          <w14:ligatures w14:val="none"/>
        </w:rPr>
      </w:pPr>
      <w:r w:rsidRPr="001D13B3">
        <w:rPr>
          <w:rFonts w:ascii="Arial" w:eastAsia="Calibri" w:hAnsi="Arial" w:cs="Arial"/>
          <w:b/>
          <w:kern w:val="0"/>
          <w14:ligatures w14:val="none"/>
        </w:rPr>
        <w:t xml:space="preserve">LECTURER: </w:t>
      </w:r>
      <w:r w:rsidR="000B4DCA">
        <w:rPr>
          <w:rFonts w:ascii="Arial" w:eastAsia="Calibri" w:hAnsi="Arial" w:cs="Arial"/>
          <w:b/>
          <w:kern w:val="0"/>
          <w14:ligatures w14:val="none"/>
        </w:rPr>
        <w:t>Chloe Harries</w:t>
      </w:r>
    </w:p>
    <w:p w14:paraId="2B1808C3" w14:textId="29346CE4" w:rsidR="002C234F" w:rsidRPr="002C234F" w:rsidRDefault="001D13B3" w:rsidP="002C234F">
      <w:pPr>
        <w:spacing w:line="360" w:lineRule="auto"/>
        <w:rPr>
          <w:rFonts w:ascii="Arial" w:eastAsia="Calibri" w:hAnsi="Arial" w:cs="Arial"/>
          <w:b/>
          <w:kern w:val="0"/>
          <w14:ligatures w14:val="none"/>
        </w:rPr>
      </w:pPr>
      <w:r w:rsidRPr="001D13B3">
        <w:rPr>
          <w:rFonts w:ascii="Arial" w:eastAsia="Calibri" w:hAnsi="Arial" w:cs="Arial"/>
          <w:b/>
          <w:kern w:val="0"/>
          <w14:ligatures w14:val="none"/>
        </w:rPr>
        <w:br w:type="page"/>
      </w:r>
    </w:p>
    <w:p w14:paraId="5414F44F" w14:textId="77777777" w:rsidR="002C234F" w:rsidRPr="002C234F" w:rsidRDefault="002C234F" w:rsidP="002C234F">
      <w:pPr>
        <w:spacing w:line="360" w:lineRule="auto"/>
        <w:rPr>
          <w:rFonts w:ascii="Aptos" w:eastAsia="Calibri" w:hAnsi="Aptos" w:cs="Arial"/>
          <w:kern w:val="0"/>
          <w:sz w:val="24"/>
          <w14:ligatures w14:val="none"/>
        </w:rPr>
      </w:pPr>
    </w:p>
    <w:p w14:paraId="42ED61E0" w14:textId="5B423E0B" w:rsidR="002C234F" w:rsidRPr="002C234F" w:rsidRDefault="002C234F" w:rsidP="002C234F">
      <w:pPr>
        <w:spacing w:line="360" w:lineRule="auto"/>
        <w:rPr>
          <w:rFonts w:ascii="Aptos" w:eastAsia="Calibri" w:hAnsi="Aptos" w:cs="Arial"/>
          <w:kern w:val="0"/>
          <w:sz w:val="24"/>
          <w14:ligatures w14:val="none"/>
        </w:rPr>
      </w:pPr>
    </w:p>
    <w:p w14:paraId="27D0ACC9" w14:textId="77777777" w:rsidR="002C234F" w:rsidRPr="002C234F" w:rsidRDefault="002C234F" w:rsidP="002C234F">
      <w:pPr>
        <w:keepNext/>
        <w:keepLines/>
        <w:spacing w:before="240" w:after="0" w:line="360" w:lineRule="auto"/>
        <w:jc w:val="center"/>
        <w:outlineLvl w:val="0"/>
        <w:rPr>
          <w:rFonts w:ascii="Aptos" w:eastAsia="DengXian Light" w:hAnsi="Aptos" w:cs="Times New Roman"/>
          <w:b/>
          <w:kern w:val="0"/>
          <w:sz w:val="32"/>
          <w:szCs w:val="32"/>
          <w14:ligatures w14:val="none"/>
        </w:rPr>
      </w:pPr>
      <w:r w:rsidRPr="002C234F">
        <w:rPr>
          <w:rFonts w:ascii="Aptos" w:eastAsia="DengXian Light" w:hAnsi="Aptos" w:cs="Times New Roman"/>
          <w:b/>
          <w:kern w:val="0"/>
          <w:sz w:val="32"/>
          <w:szCs w:val="32"/>
          <w14:ligatures w14:val="none"/>
        </w:rPr>
        <w:t>Element 1 - Project Proposal</w:t>
      </w:r>
    </w:p>
    <w:p w14:paraId="0B816FC4" w14:textId="77777777" w:rsidR="002C234F" w:rsidRPr="002C234F" w:rsidRDefault="002C234F" w:rsidP="002C234F">
      <w:pPr>
        <w:rPr>
          <w:rFonts w:ascii="Aptos" w:eastAsia="Calibri" w:hAnsi="Aptos" w:cs="Arial"/>
          <w:kern w:val="0"/>
          <w:sz w:val="24"/>
          <w14:ligatures w14:val="none"/>
        </w:rPr>
      </w:pPr>
    </w:p>
    <w:p w14:paraId="7FA97662"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 xml:space="preserve">My project title: </w:t>
      </w:r>
    </w:p>
    <w:p w14:paraId="232F990C"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t>Evaluating the Role of Home-Based Care in Supporting Older Adults</w:t>
      </w:r>
    </w:p>
    <w:p w14:paraId="740F162E"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1) Aim:</w:t>
      </w:r>
    </w:p>
    <w:p w14:paraId="01D2E517"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t>To investigate how home-based care contributes to the well-being and independence of older adults.</w:t>
      </w:r>
    </w:p>
    <w:p w14:paraId="12AB58EF"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2) Objectives:</w:t>
      </w:r>
    </w:p>
    <w:p w14:paraId="527F776E" w14:textId="77777777" w:rsidR="002C234F" w:rsidRPr="002C234F" w:rsidRDefault="002C234F" w:rsidP="002C234F">
      <w:pPr>
        <w:numPr>
          <w:ilvl w:val="0"/>
          <w:numId w:val="1"/>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Define and examine the concept of home-based care, including its models, services, and scope within health and social care.</w:t>
      </w:r>
    </w:p>
    <w:p w14:paraId="7F15A70D" w14:textId="77777777" w:rsidR="002C234F" w:rsidRPr="002C234F" w:rsidRDefault="002C234F" w:rsidP="002C234F">
      <w:pPr>
        <w:numPr>
          <w:ilvl w:val="0"/>
          <w:numId w:val="1"/>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Analyse the benefits and challenges of home-based care for older adults, drawing on evidence from current research, literature and practice.</w:t>
      </w:r>
    </w:p>
    <w:p w14:paraId="7CB693BB" w14:textId="77777777" w:rsidR="002C234F" w:rsidRPr="002C234F" w:rsidRDefault="002C234F" w:rsidP="002C234F">
      <w:pPr>
        <w:numPr>
          <w:ilvl w:val="0"/>
          <w:numId w:val="1"/>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Evaluate the effectiveness through thematic analysis of home-based care towards improving health outcomes, reducing hospital admissions, and enhancing quality of life.</w:t>
      </w:r>
    </w:p>
    <w:p w14:paraId="034E7070" w14:textId="77777777" w:rsidR="002C234F" w:rsidRPr="002C234F" w:rsidRDefault="002C234F" w:rsidP="002C234F">
      <w:pPr>
        <w:numPr>
          <w:ilvl w:val="0"/>
          <w:numId w:val="1"/>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Provide recommendations for policy, practice, and service delivery to strengthen home-based care support for the elderly.</w:t>
      </w:r>
    </w:p>
    <w:p w14:paraId="733C23C5"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3) Background/Rationale:</w:t>
      </w:r>
    </w:p>
    <w:p w14:paraId="6535276A"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t xml:space="preserve">Ageing of the population is as international a construct as the World Health Organisation indicates that by 2050, there will be twice as many individuals aged 60 and above as there are currently (World Health Organization, 2024). Home-based care has become an important part of health and social care strategies, which focus on enabling older adults to go it alone, cope with chronic illnesses, and decrease institutionalisation (Mobasseri et al., 2023). Nevertheless, its increasing significance is accompanied by a research point on limited accessibility, inconsistent service quality, and a lack of coordination between health and social care providers. Literature shows that the quality of life, home-based care, and patient satisfaction may be enhanced through well-organised treatment (Pinkert and Holle, 2023). Nonetheless, few assessments are made on the </w:t>
      </w:r>
      <w:proofErr w:type="gramStart"/>
      <w:r w:rsidRPr="002C234F">
        <w:rPr>
          <w:rFonts w:ascii="Arial" w:eastAsia="Calibri" w:hAnsi="Arial" w:cs="Arial"/>
          <w:kern w:val="0"/>
          <w14:ligatures w14:val="none"/>
        </w:rPr>
        <w:t>particular processes</w:t>
      </w:r>
      <w:proofErr w:type="gramEnd"/>
      <w:r w:rsidRPr="002C234F">
        <w:rPr>
          <w:rFonts w:ascii="Arial" w:eastAsia="Calibri" w:hAnsi="Arial" w:cs="Arial"/>
          <w:kern w:val="0"/>
          <w14:ligatures w14:val="none"/>
        </w:rPr>
        <w:t xml:space="preserve"> that enable home-based care to work, especially in supporting medical and social requirements. This study aims to bridge that gap, making evidence-based contributions to practise and policy.</w:t>
      </w:r>
    </w:p>
    <w:p w14:paraId="4335FF2D"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lastRenderedPageBreak/>
        <w:t>4) Methods:</w:t>
      </w:r>
    </w:p>
    <w:p w14:paraId="098B29E2"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t>In this research, a secondary research design will be used, and the data will centre on high-quality literature in terms of quality peer-reviewed journal articles, government and health organisation reports, and other publications of relevance. The selection of sources will be done according to relevance, publication less than ten years ago, and methodological rigour. Thematic review approach will be used to analyse data due to the necessity to identify the major patterns, advantages, and drawbacks of home-based care and to compare the results across various settings and models (Steindal et al., 2023). Those are ethical issues, such as proper reference of sources, plagiarism, and reporting and interpreting findings that should be honest (Lalwani, 2025).</w:t>
      </w:r>
    </w:p>
    <w:p w14:paraId="3AD26FFC"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 xml:space="preserve">5) Resources: </w:t>
      </w:r>
    </w:p>
    <w:p w14:paraId="361EE8D2" w14:textId="77777777" w:rsidR="002C234F" w:rsidRPr="002C234F" w:rsidRDefault="002C234F" w:rsidP="002C234F">
      <w:pPr>
        <w:numPr>
          <w:ilvl w:val="0"/>
          <w:numId w:val="2"/>
        </w:numPr>
        <w:contextualSpacing/>
        <w:rPr>
          <w:rFonts w:ascii="Arial" w:eastAsia="Calibri" w:hAnsi="Arial" w:cs="Arial"/>
          <w:kern w:val="0"/>
          <w14:ligatures w14:val="none"/>
        </w:rPr>
      </w:pPr>
      <w:r w:rsidRPr="002C234F">
        <w:rPr>
          <w:rFonts w:ascii="Arial" w:eastAsia="Calibri" w:hAnsi="Arial" w:cs="Arial"/>
          <w:kern w:val="0"/>
          <w14:ligatures w14:val="none"/>
        </w:rPr>
        <w:t>PubMed, Scopus, and CINAHL databases</w:t>
      </w:r>
    </w:p>
    <w:p w14:paraId="5AD684B3" w14:textId="77777777" w:rsidR="002C234F" w:rsidRPr="002C234F" w:rsidRDefault="002C234F" w:rsidP="002C234F">
      <w:pPr>
        <w:numPr>
          <w:ilvl w:val="0"/>
          <w:numId w:val="2"/>
        </w:numPr>
        <w:contextualSpacing/>
        <w:rPr>
          <w:rFonts w:ascii="Arial" w:eastAsia="Calibri" w:hAnsi="Arial" w:cs="Arial"/>
          <w:kern w:val="0"/>
          <w14:ligatures w14:val="none"/>
        </w:rPr>
      </w:pPr>
      <w:r w:rsidRPr="002C234F">
        <w:rPr>
          <w:rFonts w:ascii="Arial" w:eastAsia="Calibri" w:hAnsi="Arial" w:cs="Arial"/>
          <w:kern w:val="0"/>
          <w14:ligatures w14:val="none"/>
        </w:rPr>
        <w:t>University library access to journals and books</w:t>
      </w:r>
    </w:p>
    <w:p w14:paraId="72AD9AA5" w14:textId="77777777" w:rsidR="002C234F" w:rsidRPr="002C234F" w:rsidRDefault="002C234F" w:rsidP="002C234F">
      <w:pPr>
        <w:numPr>
          <w:ilvl w:val="0"/>
          <w:numId w:val="2"/>
        </w:numPr>
        <w:contextualSpacing/>
        <w:rPr>
          <w:rFonts w:ascii="Arial" w:eastAsia="Calibri" w:hAnsi="Arial" w:cs="Arial"/>
          <w:kern w:val="0"/>
          <w14:ligatures w14:val="none"/>
        </w:rPr>
      </w:pPr>
      <w:r w:rsidRPr="002C234F">
        <w:rPr>
          <w:rFonts w:ascii="Arial" w:eastAsia="Calibri" w:hAnsi="Arial" w:cs="Arial"/>
          <w:kern w:val="0"/>
          <w14:ligatures w14:val="none"/>
        </w:rPr>
        <w:t>NVivo or similar software for thematic coding and analysis</w:t>
      </w:r>
    </w:p>
    <w:p w14:paraId="0912A10F" w14:textId="77777777" w:rsidR="002C234F" w:rsidRPr="002C234F" w:rsidRDefault="002C234F" w:rsidP="002C234F">
      <w:pPr>
        <w:keepNext/>
        <w:keepLines/>
        <w:spacing w:before="40" w:after="0" w:line="360" w:lineRule="auto"/>
        <w:outlineLvl w:val="1"/>
        <w:rPr>
          <w:rFonts w:ascii="Arial" w:eastAsia="DengXian Light" w:hAnsi="Arial" w:cs="Arial"/>
          <w:b/>
          <w:bCs/>
          <w:i/>
          <w:kern w:val="0"/>
          <w14:ligatures w14:val="none"/>
        </w:rPr>
      </w:pPr>
      <w:r w:rsidRPr="002C234F">
        <w:rPr>
          <w:rFonts w:ascii="Arial" w:eastAsia="DengXian Light" w:hAnsi="Arial" w:cs="Arial"/>
          <w:b/>
          <w:bCs/>
          <w:i/>
          <w:kern w:val="0"/>
          <w14:ligatures w14:val="none"/>
        </w:rPr>
        <w:t>6) Timescale:</w:t>
      </w:r>
    </w:p>
    <w:p w14:paraId="2AB96C54"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 xml:space="preserve">Week 1–4: Literature search, screening of databases, selection of sources  </w:t>
      </w:r>
    </w:p>
    <w:p w14:paraId="267DAEFB"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 xml:space="preserve">Week 5–8: Literature review and data extraction of key themes  </w:t>
      </w:r>
    </w:p>
    <w:p w14:paraId="3EAE8C34"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 xml:space="preserve">Week 9–12: Thematic Analysis and Organization of Findings  </w:t>
      </w:r>
    </w:p>
    <w:p w14:paraId="4945897F"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 xml:space="preserve">Week 13–16: Draft core chapters (literature review, analysis, discussion) </w:t>
      </w:r>
    </w:p>
    <w:p w14:paraId="0BB8A87A"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 xml:space="preserve">Week 17–20: Review, Revise, and Consolidate </w:t>
      </w:r>
    </w:p>
    <w:p w14:paraId="462413E8" w14:textId="77777777" w:rsidR="002C234F" w:rsidRPr="002C234F" w:rsidRDefault="002C234F" w:rsidP="002C234F">
      <w:pPr>
        <w:numPr>
          <w:ilvl w:val="0"/>
          <w:numId w:val="3"/>
        </w:numPr>
        <w:spacing w:line="360" w:lineRule="auto"/>
        <w:contextualSpacing/>
        <w:rPr>
          <w:rFonts w:ascii="Arial" w:eastAsia="Calibri" w:hAnsi="Arial" w:cs="Arial"/>
          <w:kern w:val="0"/>
          <w14:ligatures w14:val="none"/>
        </w:rPr>
      </w:pPr>
      <w:r w:rsidRPr="002C234F">
        <w:rPr>
          <w:rFonts w:ascii="Arial" w:eastAsia="Calibri" w:hAnsi="Arial" w:cs="Arial"/>
          <w:kern w:val="0"/>
          <w14:ligatures w14:val="none"/>
        </w:rPr>
        <w:t>Week 21–24: Final proofreading, formatting, referencing checks, and submission preparation</w:t>
      </w:r>
    </w:p>
    <w:p w14:paraId="711C7EF9" w14:textId="77777777" w:rsidR="002C234F" w:rsidRPr="002C234F" w:rsidRDefault="002C234F" w:rsidP="002C234F">
      <w:pPr>
        <w:spacing w:line="360" w:lineRule="auto"/>
        <w:rPr>
          <w:rFonts w:ascii="Arial" w:eastAsia="Calibri" w:hAnsi="Arial" w:cs="Arial"/>
          <w:b/>
          <w:bCs/>
          <w:i/>
          <w:iCs/>
          <w:kern w:val="0"/>
          <w14:ligatures w14:val="none"/>
        </w:rPr>
      </w:pPr>
      <w:r w:rsidRPr="002C234F">
        <w:rPr>
          <w:rFonts w:ascii="Arial" w:eastAsia="Calibri" w:hAnsi="Arial" w:cs="Arial"/>
          <w:b/>
          <w:bCs/>
          <w:i/>
          <w:iCs/>
          <w:kern w:val="0"/>
          <w14:ligatures w14:val="none"/>
        </w:rPr>
        <w:t>7) Self-reflection as researcher (any strengths or challenges):</w:t>
      </w:r>
    </w:p>
    <w:p w14:paraId="6D401289"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t xml:space="preserve">The researcher displays proficient abilities in literature searching and critical analysis that will benefit in identifying the relevant evidence. A challenge that the researcher may encounter with this research is the complexity of synthesizing the findings based on evidence obtained from other disciplines of knowledge. To improve the clarity of writing with coherence in reporting findings, the researcher needs to develop skills in thematic analysis and academic writing. </w:t>
      </w:r>
    </w:p>
    <w:p w14:paraId="4E140A2E" w14:textId="77777777" w:rsidR="002C234F" w:rsidRPr="002C234F" w:rsidRDefault="002C234F" w:rsidP="002C234F">
      <w:pPr>
        <w:spacing w:line="360" w:lineRule="auto"/>
        <w:rPr>
          <w:rFonts w:ascii="Arial" w:eastAsia="Calibri" w:hAnsi="Arial" w:cs="Arial"/>
          <w:kern w:val="0"/>
          <w14:ligatures w14:val="none"/>
        </w:rPr>
      </w:pPr>
      <w:r w:rsidRPr="002C234F">
        <w:rPr>
          <w:rFonts w:ascii="Arial" w:eastAsia="Calibri" w:hAnsi="Arial" w:cs="Arial"/>
          <w:kern w:val="0"/>
          <w14:ligatures w14:val="none"/>
        </w:rPr>
        <w:br w:type="page"/>
      </w:r>
    </w:p>
    <w:p w14:paraId="71D75CA7" w14:textId="77777777" w:rsidR="002C234F" w:rsidRPr="002C234F" w:rsidRDefault="002C234F" w:rsidP="002C234F">
      <w:pPr>
        <w:keepNext/>
        <w:keepLines/>
        <w:spacing w:before="240" w:after="0" w:line="360" w:lineRule="auto"/>
        <w:jc w:val="center"/>
        <w:outlineLvl w:val="0"/>
        <w:rPr>
          <w:rFonts w:ascii="Aptos" w:eastAsia="DengXian Light" w:hAnsi="Aptos" w:cs="Times New Roman"/>
          <w:b/>
          <w:kern w:val="0"/>
          <w:sz w:val="32"/>
          <w:szCs w:val="32"/>
          <w14:ligatures w14:val="none"/>
        </w:rPr>
      </w:pPr>
      <w:r w:rsidRPr="002C234F">
        <w:rPr>
          <w:rFonts w:ascii="Aptos" w:eastAsia="DengXian Light" w:hAnsi="Aptos" w:cs="Times New Roman"/>
          <w:b/>
          <w:kern w:val="0"/>
          <w:sz w:val="32"/>
          <w:szCs w:val="32"/>
          <w14:ligatures w14:val="none"/>
        </w:rPr>
        <w:lastRenderedPageBreak/>
        <w:t>References</w:t>
      </w:r>
    </w:p>
    <w:p w14:paraId="6E0A599E" w14:textId="77777777" w:rsidR="002C234F" w:rsidRPr="002C234F" w:rsidRDefault="002C234F" w:rsidP="002C234F">
      <w:pPr>
        <w:spacing w:line="360" w:lineRule="auto"/>
        <w:ind w:left="720" w:hanging="720"/>
        <w:rPr>
          <w:rFonts w:ascii="Aptos" w:eastAsia="Calibri" w:hAnsi="Aptos" w:cs="Arial"/>
          <w:kern w:val="0"/>
          <w:sz w:val="24"/>
          <w14:ligatures w14:val="none"/>
        </w:rPr>
      </w:pPr>
      <w:r w:rsidRPr="002C234F">
        <w:rPr>
          <w:rFonts w:ascii="Aptos" w:eastAsia="Calibri" w:hAnsi="Aptos" w:cs="Arial"/>
          <w:kern w:val="0"/>
          <w:sz w:val="24"/>
          <w14:ligatures w14:val="none"/>
        </w:rPr>
        <w:t>Lalwani, N. (2025) ‘Plagiarism in publications: all about being fair!’, Indian Journal of Radiology and Imaging, 35(S1), pp. S36–S45.</w:t>
      </w:r>
    </w:p>
    <w:p w14:paraId="1E1CF26B" w14:textId="77777777" w:rsidR="002C234F" w:rsidRPr="002C234F" w:rsidRDefault="002C234F" w:rsidP="002C234F">
      <w:pPr>
        <w:spacing w:line="360" w:lineRule="auto"/>
        <w:ind w:left="720" w:hanging="720"/>
        <w:rPr>
          <w:rFonts w:ascii="Aptos" w:eastAsia="Calibri" w:hAnsi="Aptos" w:cs="Arial"/>
          <w:kern w:val="0"/>
          <w:sz w:val="24"/>
          <w14:ligatures w14:val="none"/>
        </w:rPr>
      </w:pPr>
      <w:r w:rsidRPr="002C234F">
        <w:rPr>
          <w:rFonts w:ascii="Aptos" w:eastAsia="Calibri" w:hAnsi="Aptos" w:cs="Arial"/>
          <w:kern w:val="0"/>
          <w:sz w:val="24"/>
          <w14:ligatures w14:val="none"/>
        </w:rPr>
        <w:t xml:space="preserve">Mobasseri, K., </w:t>
      </w:r>
      <w:proofErr w:type="spellStart"/>
      <w:r w:rsidRPr="002C234F">
        <w:rPr>
          <w:rFonts w:ascii="Aptos" w:eastAsia="Calibri" w:hAnsi="Aptos" w:cs="Arial"/>
          <w:kern w:val="0"/>
          <w:sz w:val="24"/>
          <w14:ligatures w14:val="none"/>
        </w:rPr>
        <w:t>Matlabi</w:t>
      </w:r>
      <w:proofErr w:type="spellEnd"/>
      <w:r w:rsidRPr="002C234F">
        <w:rPr>
          <w:rFonts w:ascii="Aptos" w:eastAsia="Calibri" w:hAnsi="Aptos" w:cs="Arial"/>
          <w:kern w:val="0"/>
          <w:sz w:val="24"/>
          <w14:ligatures w14:val="none"/>
        </w:rPr>
        <w:t xml:space="preserve">, H., </w:t>
      </w:r>
      <w:proofErr w:type="spellStart"/>
      <w:r w:rsidRPr="002C234F">
        <w:rPr>
          <w:rFonts w:ascii="Aptos" w:eastAsia="Calibri" w:hAnsi="Aptos" w:cs="Arial"/>
          <w:kern w:val="0"/>
          <w:sz w:val="24"/>
          <w14:ligatures w14:val="none"/>
        </w:rPr>
        <w:t>Allahverdipour</w:t>
      </w:r>
      <w:proofErr w:type="spellEnd"/>
      <w:r w:rsidRPr="002C234F">
        <w:rPr>
          <w:rFonts w:ascii="Aptos" w:eastAsia="Calibri" w:hAnsi="Aptos" w:cs="Arial"/>
          <w:kern w:val="0"/>
          <w:sz w:val="24"/>
          <w14:ligatures w14:val="none"/>
        </w:rPr>
        <w:t xml:space="preserve">, H., </w:t>
      </w:r>
      <w:proofErr w:type="spellStart"/>
      <w:r w:rsidRPr="002C234F">
        <w:rPr>
          <w:rFonts w:ascii="Aptos" w:eastAsia="Calibri" w:hAnsi="Aptos" w:cs="Arial"/>
          <w:kern w:val="0"/>
          <w:sz w:val="24"/>
          <w14:ligatures w14:val="none"/>
        </w:rPr>
        <w:t>Pashazadeh</w:t>
      </w:r>
      <w:proofErr w:type="spellEnd"/>
      <w:r w:rsidRPr="002C234F">
        <w:rPr>
          <w:rFonts w:ascii="Aptos" w:eastAsia="Calibri" w:hAnsi="Aptos" w:cs="Arial"/>
          <w:kern w:val="0"/>
          <w:sz w:val="24"/>
          <w14:ligatures w14:val="none"/>
        </w:rPr>
        <w:t>, F. and Kousha, A. (2023) ‘Structure and organizing of home-based care for older adults in different countries: scoping review’.</w:t>
      </w:r>
    </w:p>
    <w:p w14:paraId="578CBBA0" w14:textId="77777777" w:rsidR="002C234F" w:rsidRPr="002C234F" w:rsidRDefault="002C234F" w:rsidP="002C234F">
      <w:pPr>
        <w:spacing w:line="360" w:lineRule="auto"/>
        <w:ind w:left="720" w:hanging="720"/>
        <w:rPr>
          <w:rFonts w:ascii="Aptos" w:eastAsia="Calibri" w:hAnsi="Aptos" w:cs="Arial"/>
          <w:kern w:val="0"/>
          <w:sz w:val="24"/>
          <w14:ligatures w14:val="none"/>
        </w:rPr>
      </w:pPr>
      <w:r w:rsidRPr="002C234F">
        <w:rPr>
          <w:rFonts w:ascii="Aptos" w:eastAsia="Calibri" w:hAnsi="Aptos" w:cs="Arial"/>
          <w:kern w:val="0"/>
          <w:sz w:val="24"/>
          <w14:ligatures w14:val="none"/>
        </w:rPr>
        <w:t>Pinkert, C. and Holle, B. (2023) ‘Home-based care for people living with dementia at the end of life: the perspective of experts’, BMC Palliative Care, 22(1), p. 123.</w:t>
      </w:r>
    </w:p>
    <w:p w14:paraId="4D06D146" w14:textId="77777777" w:rsidR="002C234F" w:rsidRPr="002C234F" w:rsidRDefault="002C234F" w:rsidP="002C234F">
      <w:pPr>
        <w:spacing w:line="360" w:lineRule="auto"/>
        <w:ind w:left="720" w:hanging="720"/>
        <w:rPr>
          <w:rFonts w:ascii="Aptos" w:eastAsia="Calibri" w:hAnsi="Aptos" w:cs="Arial"/>
          <w:kern w:val="0"/>
          <w:sz w:val="24"/>
          <w14:ligatures w14:val="none"/>
        </w:rPr>
      </w:pPr>
      <w:r w:rsidRPr="002C234F">
        <w:rPr>
          <w:rFonts w:ascii="Aptos" w:eastAsia="Calibri" w:hAnsi="Aptos" w:cs="Arial"/>
          <w:kern w:val="0"/>
          <w:sz w:val="24"/>
          <w14:ligatures w14:val="none"/>
        </w:rPr>
        <w:t xml:space="preserve">Steindal, S.A., Nes, A.A.G., Godskesen, T.E., Holmen, H., Winger, A., </w:t>
      </w:r>
      <w:proofErr w:type="spellStart"/>
      <w:r w:rsidRPr="002C234F">
        <w:rPr>
          <w:rFonts w:ascii="Aptos" w:eastAsia="Calibri" w:hAnsi="Aptos" w:cs="Arial"/>
          <w:kern w:val="0"/>
          <w:sz w:val="24"/>
          <w14:ligatures w14:val="none"/>
        </w:rPr>
        <w:t>Österlind</w:t>
      </w:r>
      <w:proofErr w:type="spellEnd"/>
      <w:r w:rsidRPr="002C234F">
        <w:rPr>
          <w:rFonts w:ascii="Aptos" w:eastAsia="Calibri" w:hAnsi="Aptos" w:cs="Arial"/>
          <w:kern w:val="0"/>
          <w:sz w:val="24"/>
          <w14:ligatures w14:val="none"/>
        </w:rPr>
        <w:t xml:space="preserve">, J., Dihle, A. and </w:t>
      </w:r>
      <w:proofErr w:type="spellStart"/>
      <w:r w:rsidRPr="002C234F">
        <w:rPr>
          <w:rFonts w:ascii="Aptos" w:eastAsia="Calibri" w:hAnsi="Aptos" w:cs="Arial"/>
          <w:kern w:val="0"/>
          <w:sz w:val="24"/>
          <w14:ligatures w14:val="none"/>
        </w:rPr>
        <w:t>Klarare</w:t>
      </w:r>
      <w:proofErr w:type="spellEnd"/>
      <w:r w:rsidRPr="002C234F">
        <w:rPr>
          <w:rFonts w:ascii="Aptos" w:eastAsia="Calibri" w:hAnsi="Aptos" w:cs="Arial"/>
          <w:kern w:val="0"/>
          <w:sz w:val="24"/>
          <w14:ligatures w14:val="none"/>
        </w:rPr>
        <w:t>, A. (2023) ‘Advantages and challenges of using telehealth for home-based palliative care: systematic mixed studies review’, Journal of Medical Internet Research, 25, p. e43684.</w:t>
      </w:r>
    </w:p>
    <w:p w14:paraId="199756B4" w14:textId="77777777" w:rsidR="002C234F" w:rsidRPr="002C234F" w:rsidRDefault="002C234F" w:rsidP="002C234F">
      <w:pPr>
        <w:spacing w:line="360" w:lineRule="auto"/>
        <w:ind w:left="720" w:hanging="720"/>
        <w:rPr>
          <w:rFonts w:ascii="Aptos" w:eastAsia="Calibri" w:hAnsi="Aptos" w:cs="Arial"/>
          <w:kern w:val="0"/>
          <w:sz w:val="24"/>
          <w14:ligatures w14:val="none"/>
        </w:rPr>
      </w:pPr>
      <w:r w:rsidRPr="002C234F">
        <w:rPr>
          <w:rFonts w:ascii="Aptos" w:eastAsia="Calibri" w:hAnsi="Aptos" w:cs="Arial"/>
          <w:kern w:val="0"/>
          <w:sz w:val="24"/>
          <w14:ligatures w14:val="none"/>
        </w:rPr>
        <w:t xml:space="preserve">World Health Organization (2024) Ageing and health. Available at: </w:t>
      </w:r>
      <w:hyperlink r:id="rId5" w:history="1">
        <w:r w:rsidRPr="002C234F">
          <w:rPr>
            <w:rFonts w:ascii="Aptos" w:eastAsia="Calibri" w:hAnsi="Aptos" w:cs="Arial"/>
            <w:color w:val="0563C1"/>
            <w:kern w:val="0"/>
            <w:sz w:val="24"/>
            <w:u w:val="single"/>
            <w14:ligatures w14:val="none"/>
          </w:rPr>
          <w:t>https://www.who.int/news-room/fact-sheets/detail/ageing-and-health</w:t>
        </w:r>
      </w:hyperlink>
      <w:r w:rsidRPr="002C234F">
        <w:rPr>
          <w:rFonts w:ascii="Aptos" w:eastAsia="Calibri" w:hAnsi="Aptos" w:cs="Arial"/>
          <w:kern w:val="0"/>
          <w:sz w:val="24"/>
          <w14:ligatures w14:val="none"/>
        </w:rPr>
        <w:br/>
        <w:t>(Accessed: 27 January 2026).</w:t>
      </w:r>
    </w:p>
    <w:p w14:paraId="526A645C" w14:textId="77777777" w:rsidR="008571E8" w:rsidRDefault="008571E8"/>
    <w:sectPr w:rsidR="008571E8" w:rsidSect="002C234F">
      <w:footerReference w:type="default" r:id="rId6"/>
      <w:pgSz w:w="11906" w:h="16838" w:code="9"/>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5DE5FCEC" w14:textId="77777777" w:rsidR="002C234F" w:rsidRDefault="002C23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24D927" w14:textId="77777777" w:rsidR="002C234F" w:rsidRDefault="002C234F">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6C16"/>
    <w:multiLevelType w:val="hybridMultilevel"/>
    <w:tmpl w:val="96188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66E18"/>
    <w:multiLevelType w:val="hybridMultilevel"/>
    <w:tmpl w:val="95CC4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A4AA3"/>
    <w:multiLevelType w:val="hybridMultilevel"/>
    <w:tmpl w:val="45067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3006297">
    <w:abstractNumId w:val="1"/>
  </w:num>
  <w:num w:numId="2" w16cid:durableId="1344278581">
    <w:abstractNumId w:val="0"/>
  </w:num>
  <w:num w:numId="3" w16cid:durableId="111751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34F"/>
    <w:rsid w:val="000B4DCA"/>
    <w:rsid w:val="000B7321"/>
    <w:rsid w:val="00110A64"/>
    <w:rsid w:val="001D13B3"/>
    <w:rsid w:val="00226FC2"/>
    <w:rsid w:val="002C234F"/>
    <w:rsid w:val="00307282"/>
    <w:rsid w:val="004E0029"/>
    <w:rsid w:val="0069331D"/>
    <w:rsid w:val="008571E8"/>
    <w:rsid w:val="00CC5800"/>
    <w:rsid w:val="00F6061C"/>
    <w:rsid w:val="00FB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1AF4"/>
  <w15:chartTrackingRefBased/>
  <w15:docId w15:val="{42B29884-2DE7-40DE-868C-2EB445E9A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3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3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3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3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3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3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3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3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3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3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34F"/>
    <w:rPr>
      <w:rFonts w:eastAsiaTheme="majorEastAsia" w:cstheme="majorBidi"/>
      <w:color w:val="272727" w:themeColor="text1" w:themeTint="D8"/>
    </w:rPr>
  </w:style>
  <w:style w:type="paragraph" w:styleId="Title">
    <w:name w:val="Title"/>
    <w:basedOn w:val="Normal"/>
    <w:next w:val="Normal"/>
    <w:link w:val="TitleChar"/>
    <w:uiPriority w:val="10"/>
    <w:qFormat/>
    <w:rsid w:val="002C23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3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3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3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34F"/>
    <w:pPr>
      <w:spacing w:before="160"/>
      <w:jc w:val="center"/>
    </w:pPr>
    <w:rPr>
      <w:i/>
      <w:iCs/>
      <w:color w:val="404040" w:themeColor="text1" w:themeTint="BF"/>
    </w:rPr>
  </w:style>
  <w:style w:type="character" w:customStyle="1" w:styleId="QuoteChar">
    <w:name w:val="Quote Char"/>
    <w:basedOn w:val="DefaultParagraphFont"/>
    <w:link w:val="Quote"/>
    <w:uiPriority w:val="29"/>
    <w:rsid w:val="002C234F"/>
    <w:rPr>
      <w:i/>
      <w:iCs/>
      <w:color w:val="404040" w:themeColor="text1" w:themeTint="BF"/>
    </w:rPr>
  </w:style>
  <w:style w:type="paragraph" w:styleId="ListParagraph">
    <w:name w:val="List Paragraph"/>
    <w:basedOn w:val="Normal"/>
    <w:uiPriority w:val="34"/>
    <w:qFormat/>
    <w:rsid w:val="002C234F"/>
    <w:pPr>
      <w:ind w:left="720"/>
      <w:contextualSpacing/>
    </w:pPr>
  </w:style>
  <w:style w:type="character" w:styleId="IntenseEmphasis">
    <w:name w:val="Intense Emphasis"/>
    <w:basedOn w:val="DefaultParagraphFont"/>
    <w:uiPriority w:val="21"/>
    <w:qFormat/>
    <w:rsid w:val="002C234F"/>
    <w:rPr>
      <w:i/>
      <w:iCs/>
      <w:color w:val="0F4761" w:themeColor="accent1" w:themeShade="BF"/>
    </w:rPr>
  </w:style>
  <w:style w:type="paragraph" w:styleId="IntenseQuote">
    <w:name w:val="Intense Quote"/>
    <w:basedOn w:val="Normal"/>
    <w:next w:val="Normal"/>
    <w:link w:val="IntenseQuoteChar"/>
    <w:uiPriority w:val="30"/>
    <w:qFormat/>
    <w:rsid w:val="002C2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34F"/>
    <w:rPr>
      <w:i/>
      <w:iCs/>
      <w:color w:val="0F4761" w:themeColor="accent1" w:themeShade="BF"/>
    </w:rPr>
  </w:style>
  <w:style w:type="character" w:styleId="IntenseReference">
    <w:name w:val="Intense Reference"/>
    <w:basedOn w:val="DefaultParagraphFont"/>
    <w:uiPriority w:val="32"/>
    <w:qFormat/>
    <w:rsid w:val="002C234F"/>
    <w:rPr>
      <w:b/>
      <w:bCs/>
      <w:smallCaps/>
      <w:color w:val="0F4761" w:themeColor="accent1" w:themeShade="BF"/>
      <w:spacing w:val="5"/>
    </w:rPr>
  </w:style>
  <w:style w:type="paragraph" w:styleId="Footer">
    <w:name w:val="footer"/>
    <w:basedOn w:val="Normal"/>
    <w:link w:val="FooterChar"/>
    <w:uiPriority w:val="99"/>
    <w:unhideWhenUsed/>
    <w:rsid w:val="002C234F"/>
    <w:pPr>
      <w:tabs>
        <w:tab w:val="center" w:pos="4513"/>
        <w:tab w:val="right" w:pos="9026"/>
      </w:tabs>
      <w:spacing w:after="0" w:line="240" w:lineRule="auto"/>
    </w:pPr>
    <w:rPr>
      <w:rFonts w:ascii="Times New Roman" w:hAnsi="Times New Roman"/>
      <w:kern w:val="0"/>
      <w:sz w:val="24"/>
      <w14:ligatures w14:val="none"/>
    </w:rPr>
  </w:style>
  <w:style w:type="character" w:customStyle="1" w:styleId="FooterChar">
    <w:name w:val="Footer Char"/>
    <w:basedOn w:val="DefaultParagraphFont"/>
    <w:link w:val="Footer"/>
    <w:uiPriority w:val="99"/>
    <w:rsid w:val="002C234F"/>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yperlink" Target="https://www.who.int/news-room/fact-sheets/detail/ageing-and-healt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745</Words>
  <Characters>4248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Sania Ullah (2314490)</dc:creator>
  <cp:keywords/>
  <dc:description/>
  <cp:lastModifiedBy>Sania Ullah (2314490)</cp:lastModifiedBy>
  <cp:revision>6</cp:revision>
  <dcterms:created xsi:type="dcterms:W3CDTF">2026-02-17T21:06:00Z</dcterms:created>
  <dcterms:modified xsi:type="dcterms:W3CDTF">2026-02-17T21:21:00Z</dcterms:modified>
</cp:coreProperties>
</file>