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2DBE1" w14:textId="042654EB" w:rsidR="00580A11" w:rsidRPr="007C25ED" w:rsidRDefault="00892260" w:rsidP="00892260">
      <w:pPr>
        <w:rPr>
          <w:rFonts w:ascii="New times roman" w:hAnsi="New times roman"/>
          <w:i/>
          <w:iCs/>
          <w:color w:val="16191C"/>
          <w:sz w:val="24"/>
          <w:szCs w:val="24"/>
          <w:shd w:val="clear" w:color="auto" w:fill="F8F8F8"/>
        </w:rPr>
      </w:pPr>
      <w:r w:rsidRPr="007C25ED">
        <w:rPr>
          <w:rFonts w:ascii="New times roman" w:hAnsi="New times roman"/>
          <w:sz w:val="24"/>
          <w:szCs w:val="24"/>
          <w:u w:val="single"/>
        </w:rPr>
        <w:t>The Clash and law of morality in Antigone.</w:t>
      </w:r>
    </w:p>
    <w:p w14:paraId="53130CF1" w14:textId="508FB037" w:rsidR="00580A11" w:rsidRPr="007C25ED" w:rsidRDefault="00580A11"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 xml:space="preserve">In the realm of classical literature, few works explore the complex interplay of power and authority </w:t>
      </w:r>
      <w:r w:rsidR="00217A1F" w:rsidRPr="007C25ED">
        <w:rPr>
          <w:rFonts w:ascii="New times roman" w:hAnsi="New times roman"/>
          <w:sz w:val="24"/>
          <w:szCs w:val="24"/>
        </w:rPr>
        <w:t>as deeply as Sophocles’ Antigone’, a foundational piece of theoretical art.</w:t>
      </w:r>
      <w:r w:rsidR="00437B6B" w:rsidRPr="007C25ED">
        <w:rPr>
          <w:rStyle w:val="FootnoteReference"/>
          <w:rFonts w:ascii="New times roman" w:hAnsi="New times roman"/>
          <w:sz w:val="24"/>
          <w:szCs w:val="24"/>
        </w:rPr>
        <w:footnoteReference w:id="1"/>
      </w:r>
      <w:r w:rsidR="00217A1F" w:rsidRPr="007C25ED">
        <w:rPr>
          <w:rFonts w:ascii="New times roman" w:hAnsi="New times roman"/>
          <w:sz w:val="24"/>
          <w:szCs w:val="24"/>
        </w:rPr>
        <w:t xml:space="preserve"> Written in the fifth century BCE, this ironic Greek tragedy examines conflict between individual ethics and the overarching power of state, </w:t>
      </w:r>
      <w:r w:rsidR="00892260" w:rsidRPr="007C25ED">
        <w:rPr>
          <w:rFonts w:ascii="New times roman" w:hAnsi="New times roman"/>
          <w:sz w:val="24"/>
          <w:szCs w:val="24"/>
        </w:rPr>
        <w:t>primarily represented by Creon. As the newly appointed ruler of Thebes, Creon prioritizes legal order over moral obligation, establishing the groundwork of central conflict.</w:t>
      </w:r>
      <w:r w:rsidR="00892260" w:rsidRPr="007C25ED">
        <w:rPr>
          <w:rStyle w:val="FootnoteReference"/>
          <w:rFonts w:ascii="New times roman" w:hAnsi="New times roman"/>
          <w:sz w:val="24"/>
          <w:szCs w:val="24"/>
        </w:rPr>
        <w:footnoteReference w:id="2"/>
      </w:r>
      <w:r w:rsidR="00892260" w:rsidRPr="007C25ED">
        <w:rPr>
          <w:rFonts w:ascii="New times roman" w:hAnsi="New times roman"/>
          <w:sz w:val="24"/>
          <w:szCs w:val="24"/>
        </w:rPr>
        <w:t xml:space="preserve"> The dramatic clash</w:t>
      </w:r>
      <w:r w:rsidR="00B84B04">
        <w:rPr>
          <w:rFonts w:ascii="New times roman" w:hAnsi="New times roman"/>
          <w:sz w:val="24"/>
          <w:szCs w:val="24"/>
        </w:rPr>
        <w:t xml:space="preserve"> in personalities </w:t>
      </w:r>
      <w:r w:rsidR="00B84B04" w:rsidRPr="007C25ED">
        <w:rPr>
          <w:rFonts w:ascii="New times roman" w:hAnsi="New times roman"/>
          <w:sz w:val="24"/>
          <w:szCs w:val="24"/>
        </w:rPr>
        <w:t>between</w:t>
      </w:r>
      <w:r w:rsidR="00892260" w:rsidRPr="007C25ED">
        <w:rPr>
          <w:rFonts w:ascii="New times roman" w:hAnsi="New times roman"/>
          <w:sz w:val="24"/>
          <w:szCs w:val="24"/>
        </w:rPr>
        <w:t xml:space="preserve"> Creon and his niece Antigone, who boldly defies his order to withhold a proper burial for her brother Polynices, raises significant questions about justice, authority and the ethical responsibilities that come with power.</w:t>
      </w:r>
    </w:p>
    <w:p w14:paraId="307522B7" w14:textId="639D2710" w:rsidR="00400261" w:rsidRPr="007C25ED" w:rsidRDefault="00400261"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Creon</w:t>
      </w:r>
      <w:r w:rsidR="00580A11" w:rsidRPr="007C25ED">
        <w:rPr>
          <w:rFonts w:ascii="New times roman" w:hAnsi="New times roman"/>
          <w:sz w:val="24"/>
          <w:szCs w:val="24"/>
        </w:rPr>
        <w:t xml:space="preserve">’s </w:t>
      </w:r>
      <w:r w:rsidR="00B84B04">
        <w:rPr>
          <w:rFonts w:ascii="New times roman" w:hAnsi="New times roman"/>
          <w:sz w:val="24"/>
          <w:szCs w:val="24"/>
        </w:rPr>
        <w:t>statement</w:t>
      </w:r>
      <w:r w:rsidR="00580A11" w:rsidRPr="007C25ED">
        <w:rPr>
          <w:rFonts w:ascii="New times roman" w:hAnsi="New times roman"/>
          <w:sz w:val="24"/>
          <w:szCs w:val="24"/>
        </w:rPr>
        <w:t xml:space="preserve">, ‘The man who is a traitor to the state is a traitor to me,’ highlights his belief that loyalty to the state is </w:t>
      </w:r>
      <w:r w:rsidR="00B84B04">
        <w:rPr>
          <w:rFonts w:ascii="New times roman" w:hAnsi="New times roman"/>
          <w:sz w:val="24"/>
          <w:szCs w:val="24"/>
        </w:rPr>
        <w:t>upmost</w:t>
      </w:r>
      <w:r w:rsidR="00580A11" w:rsidRPr="007C25ED">
        <w:rPr>
          <w:rFonts w:ascii="New times roman" w:hAnsi="New times roman"/>
          <w:sz w:val="24"/>
          <w:szCs w:val="24"/>
        </w:rPr>
        <w:t>.</w:t>
      </w:r>
      <w:r w:rsidR="00580A11" w:rsidRPr="007C25ED">
        <w:rPr>
          <w:rStyle w:val="FootnoteReference"/>
          <w:rFonts w:ascii="New times roman" w:hAnsi="New times roman"/>
          <w:sz w:val="24"/>
          <w:szCs w:val="24"/>
        </w:rPr>
        <w:footnoteReference w:id="3"/>
      </w:r>
      <w:r w:rsidR="00580A11" w:rsidRPr="007C25ED">
        <w:rPr>
          <w:rFonts w:ascii="New times roman" w:hAnsi="New times roman"/>
          <w:sz w:val="24"/>
          <w:szCs w:val="24"/>
        </w:rPr>
        <w:t xml:space="preserve"> </w:t>
      </w:r>
      <w:r w:rsidR="00B84B04">
        <w:rPr>
          <w:rFonts w:ascii="New times roman" w:hAnsi="New times roman"/>
          <w:sz w:val="24"/>
          <w:szCs w:val="24"/>
        </w:rPr>
        <w:t>T</w:t>
      </w:r>
      <w:r w:rsidR="00580A11" w:rsidRPr="007C25ED">
        <w:rPr>
          <w:rFonts w:ascii="New times roman" w:hAnsi="New times roman"/>
          <w:sz w:val="24"/>
          <w:szCs w:val="24"/>
        </w:rPr>
        <w:t xml:space="preserve">his view </w:t>
      </w:r>
      <w:r w:rsidR="00B84B04">
        <w:rPr>
          <w:rFonts w:ascii="New times roman" w:hAnsi="New times roman"/>
          <w:sz w:val="24"/>
          <w:szCs w:val="24"/>
        </w:rPr>
        <w:t>shows</w:t>
      </w:r>
      <w:r w:rsidR="00580A11" w:rsidRPr="007C25ED">
        <w:rPr>
          <w:rFonts w:ascii="New times roman" w:hAnsi="New times roman"/>
          <w:sz w:val="24"/>
          <w:szCs w:val="24"/>
        </w:rPr>
        <w:t xml:space="preserve"> the dangers of unchecked authority and the moral dilemmas faced by those who </w:t>
      </w:r>
      <w:r w:rsidR="00B84B04">
        <w:rPr>
          <w:rFonts w:ascii="New times roman" w:hAnsi="New times roman"/>
          <w:sz w:val="24"/>
          <w:szCs w:val="24"/>
        </w:rPr>
        <w:t>go against</w:t>
      </w:r>
      <w:r w:rsidR="00580A11" w:rsidRPr="007C25ED">
        <w:rPr>
          <w:rFonts w:ascii="New times roman" w:hAnsi="New times roman"/>
          <w:sz w:val="24"/>
          <w:szCs w:val="24"/>
        </w:rPr>
        <w:t xml:space="preserve"> him</w:t>
      </w:r>
      <w:r w:rsidR="00B84B04">
        <w:rPr>
          <w:rFonts w:ascii="New times roman" w:hAnsi="New times roman"/>
          <w:sz w:val="24"/>
          <w:szCs w:val="24"/>
        </w:rPr>
        <w:t>, f</w:t>
      </w:r>
      <w:r w:rsidR="00580A11" w:rsidRPr="007C25ED">
        <w:rPr>
          <w:rFonts w:ascii="New times roman" w:hAnsi="New times roman"/>
          <w:sz w:val="24"/>
          <w:szCs w:val="24"/>
        </w:rPr>
        <w:t xml:space="preserve">or example, Creon’s strict laws lead to tragic outcomes, particularly for Antigone, who values family loyalty over state law. This conflict </w:t>
      </w:r>
      <w:r w:rsidR="00B84B04">
        <w:rPr>
          <w:rFonts w:ascii="New times roman" w:hAnsi="New times roman"/>
          <w:sz w:val="24"/>
          <w:szCs w:val="24"/>
        </w:rPr>
        <w:t>reflects</w:t>
      </w:r>
      <w:r w:rsidR="00580A11" w:rsidRPr="007C25ED">
        <w:rPr>
          <w:rFonts w:ascii="New times roman" w:hAnsi="New times roman"/>
          <w:sz w:val="24"/>
          <w:szCs w:val="24"/>
        </w:rPr>
        <w:t xml:space="preserve"> the tension between personal beliefs and civic duty, serving as a warning about the risks of tyranny when leaders prioritize power over compassion. These themes are still </w:t>
      </w:r>
      <w:r w:rsidR="00C65BE9">
        <w:rPr>
          <w:rFonts w:ascii="New times roman" w:hAnsi="New times roman"/>
          <w:sz w:val="24"/>
          <w:szCs w:val="24"/>
        </w:rPr>
        <w:t xml:space="preserve">shown </w:t>
      </w:r>
      <w:proofErr w:type="gramStart"/>
      <w:r w:rsidR="00C65BE9">
        <w:rPr>
          <w:rFonts w:ascii="New times roman" w:hAnsi="New times roman"/>
          <w:sz w:val="24"/>
          <w:szCs w:val="24"/>
        </w:rPr>
        <w:t>in</w:t>
      </w:r>
      <w:r w:rsidR="00580A11" w:rsidRPr="007C25ED">
        <w:rPr>
          <w:rFonts w:ascii="New times roman" w:hAnsi="New times roman"/>
          <w:sz w:val="24"/>
          <w:szCs w:val="24"/>
        </w:rPr>
        <w:t xml:space="preserve"> </w:t>
      </w:r>
      <w:r w:rsidR="00C65BE9" w:rsidRPr="007C25ED">
        <w:rPr>
          <w:rFonts w:ascii="New times roman" w:hAnsi="New times roman"/>
          <w:sz w:val="24"/>
          <w:szCs w:val="24"/>
        </w:rPr>
        <w:t>today</w:t>
      </w:r>
      <w:r w:rsidR="00C65BE9">
        <w:rPr>
          <w:rFonts w:ascii="New times roman" w:hAnsi="New times roman"/>
          <w:sz w:val="24"/>
          <w:szCs w:val="24"/>
        </w:rPr>
        <w:t>’s society</w:t>
      </w:r>
      <w:proofErr w:type="gramEnd"/>
      <w:r w:rsidR="00580A11" w:rsidRPr="007C25ED">
        <w:rPr>
          <w:rFonts w:ascii="New times roman" w:hAnsi="New times roman"/>
          <w:sz w:val="24"/>
          <w:szCs w:val="24"/>
        </w:rPr>
        <w:t xml:space="preserve">, as </w:t>
      </w:r>
      <w:r w:rsidR="00C65BE9">
        <w:rPr>
          <w:rFonts w:ascii="New times roman" w:hAnsi="New times roman"/>
          <w:sz w:val="24"/>
          <w:szCs w:val="24"/>
        </w:rPr>
        <w:t>today’s</w:t>
      </w:r>
      <w:r w:rsidR="00580A11" w:rsidRPr="007C25ED">
        <w:rPr>
          <w:rFonts w:ascii="New times roman" w:hAnsi="New times roman"/>
          <w:sz w:val="24"/>
          <w:szCs w:val="24"/>
        </w:rPr>
        <w:t xml:space="preserve"> society </w:t>
      </w:r>
      <w:r w:rsidR="00C65BE9">
        <w:rPr>
          <w:rFonts w:ascii="New times roman" w:hAnsi="New times roman"/>
          <w:sz w:val="24"/>
          <w:szCs w:val="24"/>
        </w:rPr>
        <w:t>still balances between</w:t>
      </w:r>
      <w:r w:rsidR="00580A11" w:rsidRPr="007C25ED">
        <w:rPr>
          <w:rFonts w:ascii="New times roman" w:hAnsi="New times roman"/>
          <w:sz w:val="24"/>
          <w:szCs w:val="24"/>
        </w:rPr>
        <w:t xml:space="preserve"> individual rights and government control.</w:t>
      </w:r>
    </w:p>
    <w:p w14:paraId="53E6015A" w14:textId="20F0CE44" w:rsidR="00400261" w:rsidRPr="007C25ED" w:rsidRDefault="00400261"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 xml:space="preserve">Antigone’s defiance </w:t>
      </w:r>
      <w:r w:rsidR="00C65BE9">
        <w:rPr>
          <w:rFonts w:ascii="New times roman" w:hAnsi="New times roman"/>
          <w:sz w:val="24"/>
          <w:szCs w:val="24"/>
        </w:rPr>
        <w:t>shows</w:t>
      </w:r>
      <w:r w:rsidRPr="007C25ED">
        <w:rPr>
          <w:rFonts w:ascii="New times roman" w:hAnsi="New times roman"/>
          <w:sz w:val="24"/>
          <w:szCs w:val="24"/>
        </w:rPr>
        <w:t xml:space="preserve"> her commitment to divine law and challenges Creon’s authority. Her actions </w:t>
      </w:r>
      <w:r w:rsidR="00C65BE9">
        <w:rPr>
          <w:rFonts w:ascii="New times roman" w:hAnsi="New times roman"/>
          <w:sz w:val="24"/>
          <w:szCs w:val="24"/>
        </w:rPr>
        <w:t>balance</w:t>
      </w:r>
      <w:r w:rsidRPr="007C25ED">
        <w:rPr>
          <w:rFonts w:ascii="New times roman" w:hAnsi="New times roman"/>
          <w:sz w:val="24"/>
          <w:szCs w:val="24"/>
        </w:rPr>
        <w:t xml:space="preserve"> the cost of loyalty to family over the state, inspiring others to question Creon’s rule</w:t>
      </w:r>
      <w:r w:rsidR="00C65BE9">
        <w:rPr>
          <w:rFonts w:ascii="New times roman" w:hAnsi="New times roman"/>
          <w:sz w:val="24"/>
          <w:szCs w:val="24"/>
        </w:rPr>
        <w:t>s and beliefs</w:t>
      </w:r>
      <w:r w:rsidRPr="007C25ED">
        <w:rPr>
          <w:rFonts w:ascii="New times roman" w:hAnsi="New times roman"/>
          <w:sz w:val="24"/>
          <w:szCs w:val="24"/>
        </w:rPr>
        <w:t>. Ultimately, her tragic fate leads to Creon’s downfall, showing the dangers of inflexible leadership against moral conviction.</w:t>
      </w:r>
      <w:r w:rsidRPr="007C25ED">
        <w:rPr>
          <w:rStyle w:val="FootnoteReference"/>
          <w:rFonts w:ascii="New times roman" w:hAnsi="New times roman"/>
          <w:sz w:val="24"/>
          <w:szCs w:val="24"/>
        </w:rPr>
        <w:footnoteReference w:id="4"/>
      </w:r>
    </w:p>
    <w:p w14:paraId="36D0CA3C" w14:textId="461998F3" w:rsidR="00400261" w:rsidRPr="007C25ED" w:rsidRDefault="00400261" w:rsidP="690B2674">
      <w:pPr>
        <w:shd w:val="clear" w:color="auto" w:fill="FFFFFF" w:themeFill="background1"/>
        <w:rPr>
          <w:rFonts w:ascii="New times roman" w:hAnsi="New times roman"/>
          <w:color w:val="16191C"/>
          <w:sz w:val="24"/>
          <w:szCs w:val="24"/>
          <w:shd w:val="clear" w:color="auto" w:fill="F8F8F8"/>
        </w:rPr>
      </w:pPr>
      <w:r w:rsidRPr="007C25ED">
        <w:rPr>
          <w:rFonts w:ascii="New times roman" w:hAnsi="New times roman"/>
          <w:sz w:val="24"/>
          <w:szCs w:val="24"/>
        </w:rPr>
        <w:t>Examining the motivations of each character reveals the underlying forces driving their actions. Creon’s fear of anarchy and his desire for societal stability compel him to prioritize state law above all else.</w:t>
      </w:r>
      <w:r w:rsidRPr="007C25ED">
        <w:rPr>
          <w:rStyle w:val="FootnoteReference"/>
          <w:rFonts w:ascii="New times roman" w:hAnsi="New times roman"/>
          <w:sz w:val="24"/>
          <w:szCs w:val="24"/>
        </w:rPr>
        <w:footnoteReference w:id="5"/>
      </w:r>
      <w:r w:rsidRPr="007C25ED">
        <w:rPr>
          <w:rFonts w:ascii="New times roman" w:hAnsi="New times roman"/>
          <w:sz w:val="24"/>
          <w:szCs w:val="24"/>
        </w:rPr>
        <w:t xml:space="preserve"> In contrast, Antigone’s loyalty to her family and the gods propels her to defy Creon’s edict, highlighting the tension between personal ethics and civic duty.</w:t>
      </w:r>
      <w:r w:rsidRPr="007C25ED">
        <w:rPr>
          <w:rStyle w:val="FootnoteReference"/>
          <w:rFonts w:ascii="New times roman" w:hAnsi="New times roman"/>
          <w:sz w:val="24"/>
          <w:szCs w:val="24"/>
        </w:rPr>
        <w:footnoteReference w:id="6"/>
      </w:r>
      <w:r w:rsidR="00C65BE9">
        <w:rPr>
          <w:rFonts w:ascii="New times roman" w:hAnsi="New times roman"/>
          <w:sz w:val="24"/>
          <w:szCs w:val="24"/>
        </w:rPr>
        <w:t xml:space="preserve"> </w:t>
      </w:r>
    </w:p>
    <w:p w14:paraId="127B6BA6" w14:textId="77777777" w:rsidR="00C65BE9" w:rsidRDefault="00C65BE9" w:rsidP="690B2674">
      <w:pPr>
        <w:shd w:val="clear" w:color="auto" w:fill="FFFFFF" w:themeFill="background1"/>
        <w:rPr>
          <w:rFonts w:ascii="New times roman" w:hAnsi="New times roman"/>
          <w:sz w:val="24"/>
          <w:szCs w:val="24"/>
        </w:rPr>
      </w:pPr>
    </w:p>
    <w:p w14:paraId="04A290A3" w14:textId="77777777" w:rsidR="00C65BE9" w:rsidRDefault="00C65BE9" w:rsidP="690B2674">
      <w:pPr>
        <w:shd w:val="clear" w:color="auto" w:fill="FFFFFF" w:themeFill="background1"/>
        <w:rPr>
          <w:rFonts w:ascii="New times roman" w:hAnsi="New times roman"/>
          <w:sz w:val="24"/>
          <w:szCs w:val="24"/>
        </w:rPr>
      </w:pPr>
    </w:p>
    <w:p w14:paraId="144B3179" w14:textId="77777777" w:rsidR="00C65BE9" w:rsidRDefault="00C65BE9" w:rsidP="690B2674">
      <w:pPr>
        <w:shd w:val="clear" w:color="auto" w:fill="FFFFFF" w:themeFill="background1"/>
        <w:rPr>
          <w:rFonts w:ascii="New times roman" w:hAnsi="New times roman"/>
          <w:sz w:val="24"/>
          <w:szCs w:val="24"/>
        </w:rPr>
      </w:pPr>
    </w:p>
    <w:p w14:paraId="109DD0A6" w14:textId="3CF71E70" w:rsidR="00400261" w:rsidRPr="007C25ED" w:rsidRDefault="00400261" w:rsidP="690B2674">
      <w:pPr>
        <w:shd w:val="clear" w:color="auto" w:fill="FFFFFF" w:themeFill="background1"/>
        <w:rPr>
          <w:rFonts w:ascii="New times roman" w:hAnsi="New times roman"/>
          <w:sz w:val="24"/>
          <w:szCs w:val="24"/>
        </w:rPr>
      </w:pPr>
      <w:r w:rsidRPr="007C25ED">
        <w:rPr>
          <w:rFonts w:ascii="New times roman" w:hAnsi="New times roman"/>
          <w:sz w:val="24"/>
          <w:szCs w:val="24"/>
        </w:rPr>
        <w:lastRenderedPageBreak/>
        <w:t>Considering these motivations, I find that the conflict between personal beliefs and societal expectations resonates deeply with today’s issues. My personal view on the conflict between Antigone and Creon serves as a timeless reflection of the struggles individuals face when their moral beliefs clash with societal laws.</w:t>
      </w:r>
      <w:r w:rsidR="00C65BE9">
        <w:rPr>
          <w:rFonts w:ascii="New times roman" w:hAnsi="New times roman"/>
          <w:sz w:val="24"/>
          <w:szCs w:val="24"/>
        </w:rPr>
        <w:t xml:space="preserve"> </w:t>
      </w:r>
      <w:proofErr w:type="gramStart"/>
      <w:r w:rsidR="00C65BE9">
        <w:rPr>
          <w:rFonts w:ascii="New times roman" w:hAnsi="New times roman"/>
          <w:sz w:val="24"/>
          <w:szCs w:val="24"/>
        </w:rPr>
        <w:t>In today’s society</w:t>
      </w:r>
      <w:proofErr w:type="gramEnd"/>
      <w:r w:rsidR="00C65BE9">
        <w:rPr>
          <w:rFonts w:ascii="New times roman" w:hAnsi="New times roman"/>
          <w:sz w:val="24"/>
          <w:szCs w:val="24"/>
        </w:rPr>
        <w:t xml:space="preserve"> everyone has different views and beliefs which</w:t>
      </w:r>
      <w:r w:rsidRPr="007C25ED">
        <w:rPr>
          <w:rFonts w:ascii="New times roman" w:hAnsi="New times roman"/>
          <w:sz w:val="24"/>
          <w:szCs w:val="24"/>
        </w:rPr>
        <w:t xml:space="preserve"> prompts us to consider the implications of blind obedience to authority and the importance of standing up for one’s convictions</w:t>
      </w:r>
      <w:r w:rsidR="00C65BE9">
        <w:rPr>
          <w:rFonts w:ascii="New times roman" w:hAnsi="New times roman"/>
          <w:sz w:val="24"/>
          <w:szCs w:val="24"/>
        </w:rPr>
        <w:t>, making us question right from wrong</w:t>
      </w:r>
      <w:r w:rsidRPr="007C25ED">
        <w:rPr>
          <w:rFonts w:ascii="New times roman" w:hAnsi="New times roman"/>
          <w:sz w:val="24"/>
          <w:szCs w:val="24"/>
        </w:rPr>
        <w:t>.</w:t>
      </w:r>
    </w:p>
    <w:p w14:paraId="59F072C7" w14:textId="66340552" w:rsidR="00A00D86" w:rsidRPr="007C25ED" w:rsidRDefault="00A00D86"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This theme is particularly relevant in contemporary discussions about civil rights and personal freedoms, where individuals often find themselves at odds</w:t>
      </w:r>
      <w:r w:rsidR="00C65BE9">
        <w:rPr>
          <w:rFonts w:ascii="New times roman" w:hAnsi="New times roman"/>
          <w:sz w:val="24"/>
          <w:szCs w:val="24"/>
        </w:rPr>
        <w:t xml:space="preserve"> and confused </w:t>
      </w:r>
      <w:r w:rsidRPr="007C25ED">
        <w:rPr>
          <w:rFonts w:ascii="New times roman" w:hAnsi="New times roman"/>
          <w:sz w:val="24"/>
          <w:szCs w:val="24"/>
        </w:rPr>
        <w:t xml:space="preserve">with governmental policies. I believe that Antigone’s courage to challenge Creon’s authority not only </w:t>
      </w:r>
      <w:r w:rsidR="00C65BE9">
        <w:rPr>
          <w:rFonts w:ascii="New times roman" w:hAnsi="New times roman"/>
          <w:sz w:val="24"/>
          <w:szCs w:val="24"/>
        </w:rPr>
        <w:t xml:space="preserve">shows </w:t>
      </w:r>
      <w:r w:rsidRPr="007C25ED">
        <w:rPr>
          <w:rFonts w:ascii="New times roman" w:hAnsi="New times roman"/>
          <w:sz w:val="24"/>
          <w:szCs w:val="24"/>
        </w:rPr>
        <w:t xml:space="preserve">the necessity of questioning unjust laws but also inspires </w:t>
      </w:r>
      <w:r w:rsidR="00C65BE9">
        <w:rPr>
          <w:rFonts w:ascii="New times roman" w:hAnsi="New times roman"/>
          <w:sz w:val="24"/>
          <w:szCs w:val="24"/>
        </w:rPr>
        <w:t>people</w:t>
      </w:r>
      <w:r w:rsidRPr="007C25ED">
        <w:rPr>
          <w:rFonts w:ascii="New times roman" w:hAnsi="New times roman"/>
          <w:sz w:val="24"/>
          <w:szCs w:val="24"/>
        </w:rPr>
        <w:t xml:space="preserve"> to reflect on our responsibilities as citizens. Ultimately, the play encourages a dialogue about the balance between following laws</w:t>
      </w:r>
      <w:r w:rsidR="00400261" w:rsidRPr="007C25ED">
        <w:rPr>
          <w:rFonts w:ascii="New times roman" w:hAnsi="New times roman"/>
          <w:sz w:val="24"/>
          <w:szCs w:val="24"/>
        </w:rPr>
        <w:t xml:space="preserve"> and adhering to personal ethics, a conversation that remains crucial in our modern world.</w:t>
      </w:r>
    </w:p>
    <w:p w14:paraId="1495F225" w14:textId="78702317" w:rsidR="00A00D86" w:rsidRPr="007C25ED" w:rsidRDefault="00A00D86"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Harrison states, some key scenes, such as Creon’s decree prohibiting the burial of Polynices, serve to highlight the profound consequences for both Antigone and the wider community. Rather than merely reiterating the actions taken by Creon, it is essential to examine how this decree catalyses a broader conflict and ultimately paves the way for tragic outcomes. Initially, Creon’s unwavering commitment to state law is evident in his proclamation that any individual who attempts to bury Polynices will face the death penalty, underscoring his prioritization of order over individual rights.</w:t>
      </w:r>
      <w:r w:rsidRPr="007C25ED">
        <w:rPr>
          <w:rStyle w:val="FootnoteReference"/>
          <w:rFonts w:ascii="New times roman" w:hAnsi="New times roman"/>
          <w:sz w:val="24"/>
          <w:szCs w:val="24"/>
        </w:rPr>
        <w:footnoteReference w:id="7"/>
      </w:r>
    </w:p>
    <w:p w14:paraId="04D3422C" w14:textId="1CDCECD9" w:rsidR="00A00D86" w:rsidRPr="007C25ED" w:rsidRDefault="00A00D86"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As the narrative unfolds, particularly through Creon’s interactions with Antigone and the ensuing tragic events, the audience witnesses a significant evolution in his character. The pivotal moment occurs when he confronts the devastating repercussions of his inflexible decisions, particularly following the death of his son Haemon and his wife Eurydice.</w:t>
      </w:r>
      <w:r w:rsidRPr="007C25ED">
        <w:rPr>
          <w:rStyle w:val="FootnoteReference"/>
          <w:rFonts w:ascii="New times roman" w:hAnsi="New times roman"/>
          <w:sz w:val="24"/>
          <w:szCs w:val="24"/>
        </w:rPr>
        <w:footnoteReference w:id="8"/>
      </w:r>
      <w:r w:rsidRPr="007C25ED">
        <w:rPr>
          <w:rFonts w:ascii="New times roman" w:hAnsi="New times roman"/>
          <w:sz w:val="24"/>
          <w:szCs w:val="24"/>
        </w:rPr>
        <w:t xml:space="preserve"> This realization marks a critical transformation, a Creon transitions from a proud and authoritative ruler to a broken man burdened by guilt and loss</w:t>
      </w:r>
      <w:r w:rsidR="00C65BE9">
        <w:rPr>
          <w:rFonts w:ascii="New times roman" w:hAnsi="New times roman"/>
          <w:sz w:val="24"/>
          <w:szCs w:val="24"/>
        </w:rPr>
        <w:t>.</w:t>
      </w:r>
    </w:p>
    <w:p w14:paraId="18286270" w14:textId="2A657EAD" w:rsidR="00DD4538" w:rsidRPr="007C25ED" w:rsidRDefault="00DD4538"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 xml:space="preserve">This raises the question of whether Creon’s rigid adherence to the law constitutes tyrannical behaviour. His refusal to consider Antigone’s moral stance highlights a critical tension: can a state effectively govern without allowing for individual conscience to influence its laws? The play suggests that an inflexible legal system can lead to Tyranny, as it stifles ethical considerations and personal </w:t>
      </w:r>
      <w:proofErr w:type="gramStart"/>
      <w:r w:rsidRPr="007C25ED">
        <w:rPr>
          <w:rFonts w:ascii="New times roman" w:hAnsi="New times roman"/>
          <w:sz w:val="24"/>
          <w:szCs w:val="24"/>
        </w:rPr>
        <w:t>beliefs</w:t>
      </w:r>
      <w:proofErr w:type="gramEnd"/>
      <w:r w:rsidR="00C65BE9">
        <w:rPr>
          <w:rFonts w:ascii="New times roman" w:hAnsi="New times roman"/>
          <w:sz w:val="24"/>
          <w:szCs w:val="24"/>
        </w:rPr>
        <w:t xml:space="preserve"> and this situation is hard when beliefs and views end in conflict.</w:t>
      </w:r>
    </w:p>
    <w:p w14:paraId="39B9BA36" w14:textId="5721F0DA" w:rsidR="00DD4538" w:rsidRPr="007C25ED" w:rsidRDefault="00DD4538"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In Modern contexts, the challenge remains: who should have authority to navigate these complexities? The potential for a strong ruler to make decisions on a case-by-case basis might seem necessary to maintain order, yet this also risks descending into arbitrary governance, echoing the very tyranny that Creon</w:t>
      </w:r>
      <w:r w:rsidR="00C65BE9">
        <w:rPr>
          <w:rFonts w:ascii="New times roman" w:hAnsi="New times roman"/>
          <w:sz w:val="24"/>
          <w:szCs w:val="24"/>
        </w:rPr>
        <w:t xml:space="preserve"> enforces</w:t>
      </w:r>
      <w:r w:rsidRPr="007C25ED">
        <w:rPr>
          <w:rFonts w:ascii="New times roman" w:hAnsi="New times roman"/>
          <w:sz w:val="24"/>
          <w:szCs w:val="24"/>
        </w:rPr>
        <w:t xml:space="preserve">. </w:t>
      </w:r>
    </w:p>
    <w:p w14:paraId="47F3A05C" w14:textId="77777777" w:rsidR="00C65BE9" w:rsidRDefault="00C65BE9" w:rsidP="690B2674">
      <w:pPr>
        <w:shd w:val="clear" w:color="auto" w:fill="FFFFFF" w:themeFill="background1"/>
        <w:rPr>
          <w:rFonts w:ascii="New times roman" w:hAnsi="New times roman"/>
          <w:sz w:val="24"/>
          <w:szCs w:val="24"/>
        </w:rPr>
      </w:pPr>
    </w:p>
    <w:p w14:paraId="3107BB7F" w14:textId="4C21CE49" w:rsidR="00E81243" w:rsidRPr="007C25ED" w:rsidRDefault="00E81243" w:rsidP="690B2674">
      <w:pPr>
        <w:shd w:val="clear" w:color="auto" w:fill="FFFFFF" w:themeFill="background1"/>
        <w:rPr>
          <w:rFonts w:ascii="New times roman" w:hAnsi="New times roman"/>
          <w:sz w:val="24"/>
          <w:szCs w:val="24"/>
        </w:rPr>
      </w:pPr>
      <w:r w:rsidRPr="007C25ED">
        <w:rPr>
          <w:rFonts w:ascii="New times roman" w:hAnsi="New times roman"/>
          <w:sz w:val="24"/>
          <w:szCs w:val="24"/>
        </w:rPr>
        <w:lastRenderedPageBreak/>
        <w:t>In contrast, Antigone's steadfastness is highlighted in her defiance against Creon’s edict, driven by her moral obligation to honour her brother. As she boldly states, 'I will bury him; and if I die for it, I shall be glad of it,' her unwavering resolve, even in the face of death, emphasizes her character's strength and commitment to familial loyalty.</w:t>
      </w:r>
      <w:r w:rsidRPr="007C25ED">
        <w:rPr>
          <w:rStyle w:val="FootnoteReference"/>
          <w:rFonts w:ascii="New times roman" w:hAnsi="New times roman"/>
          <w:sz w:val="24"/>
          <w:szCs w:val="24"/>
        </w:rPr>
        <w:footnoteReference w:id="9"/>
      </w:r>
      <w:r w:rsidRPr="007C25ED">
        <w:rPr>
          <w:rFonts w:ascii="New times roman" w:hAnsi="New times roman"/>
          <w:sz w:val="24"/>
          <w:szCs w:val="24"/>
        </w:rPr>
        <w:t xml:space="preserve"> </w:t>
      </w:r>
    </w:p>
    <w:p w14:paraId="10B0CDD5" w14:textId="1D5D33CB" w:rsidR="00E81243" w:rsidRPr="007C25ED" w:rsidRDefault="00C415DF"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 xml:space="preserve">According to </w:t>
      </w:r>
      <w:r w:rsidR="00856FF4" w:rsidRPr="007C25ED">
        <w:rPr>
          <w:rFonts w:ascii="New times roman" w:hAnsi="New times roman"/>
          <w:sz w:val="24"/>
          <w:szCs w:val="24"/>
        </w:rPr>
        <w:t>Deutsch</w:t>
      </w:r>
      <w:r w:rsidR="00532539" w:rsidRPr="007C25ED">
        <w:rPr>
          <w:rFonts w:ascii="New times roman" w:hAnsi="New times roman"/>
          <w:sz w:val="24"/>
          <w:szCs w:val="24"/>
        </w:rPr>
        <w:t xml:space="preserve">, </w:t>
      </w:r>
      <w:r w:rsidR="00E81243" w:rsidRPr="007C25ED">
        <w:rPr>
          <w:rFonts w:ascii="New times roman" w:hAnsi="New times roman"/>
          <w:sz w:val="24"/>
          <w:szCs w:val="24"/>
        </w:rPr>
        <w:t>Antigone's commitment to her familial duty and adherence to divine law serves as a critical focal point in Sophocles' narrative. Her defiance of Creon’s edict highlights the tension between personal ethics and state-imposed authority. Antigone's actions are not merely acts of rebellion; they embody a profound moral conviction that transcends the temporal laws of Thebes.</w:t>
      </w:r>
      <w:r w:rsidR="0004061F" w:rsidRPr="007C25ED">
        <w:rPr>
          <w:rStyle w:val="FootnoteReference"/>
          <w:rFonts w:ascii="New times roman" w:hAnsi="New times roman"/>
          <w:sz w:val="24"/>
          <w:szCs w:val="24"/>
        </w:rPr>
        <w:footnoteReference w:id="10"/>
      </w:r>
      <w:r w:rsidR="00E81243" w:rsidRPr="007C25ED">
        <w:rPr>
          <w:rFonts w:ascii="New times roman" w:hAnsi="New times roman"/>
          <w:sz w:val="24"/>
          <w:szCs w:val="24"/>
        </w:rPr>
        <w:t xml:space="preserve"> </w:t>
      </w:r>
    </w:p>
    <w:p w14:paraId="69D51DEC" w14:textId="09C02A0B" w:rsidR="00E81243" w:rsidRPr="007C25ED" w:rsidRDefault="00856FF4"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Walker</w:t>
      </w:r>
      <w:r w:rsidR="002961FD" w:rsidRPr="007C25ED">
        <w:rPr>
          <w:rFonts w:ascii="New times roman" w:hAnsi="New times roman"/>
          <w:sz w:val="24"/>
          <w:szCs w:val="24"/>
        </w:rPr>
        <w:t xml:space="preserve"> states that</w:t>
      </w:r>
      <w:r w:rsidR="00437E75" w:rsidRPr="007C25ED">
        <w:rPr>
          <w:rFonts w:ascii="New times roman" w:hAnsi="New times roman"/>
          <w:sz w:val="24"/>
          <w:szCs w:val="24"/>
        </w:rPr>
        <w:t>,</w:t>
      </w:r>
      <w:r w:rsidR="002961FD" w:rsidRPr="007C25ED">
        <w:rPr>
          <w:rFonts w:ascii="New times roman" w:hAnsi="New times roman"/>
          <w:sz w:val="24"/>
          <w:szCs w:val="24"/>
        </w:rPr>
        <w:t xml:space="preserve"> t</w:t>
      </w:r>
      <w:r w:rsidR="00E81243" w:rsidRPr="007C25ED">
        <w:rPr>
          <w:rFonts w:ascii="New times roman" w:hAnsi="New times roman"/>
          <w:sz w:val="24"/>
          <w:szCs w:val="24"/>
        </w:rPr>
        <w:t>he character of Haemon, Creon's son and Antigone's betrothed, further complicates this exploration of ethical conflict. Haemon's initial support for Antigone illustrates the generational divide in perspectives on authority and justice.</w:t>
      </w:r>
      <w:r w:rsidR="00E81243" w:rsidRPr="007C25ED">
        <w:rPr>
          <w:rStyle w:val="FootnoteReference"/>
          <w:rFonts w:ascii="New times roman" w:hAnsi="New times roman"/>
          <w:sz w:val="24"/>
          <w:szCs w:val="24"/>
        </w:rPr>
        <w:footnoteReference w:id="11"/>
      </w:r>
      <w:r w:rsidR="00E81243" w:rsidRPr="007C25ED">
        <w:rPr>
          <w:rFonts w:ascii="New times roman" w:hAnsi="New times roman"/>
          <w:sz w:val="24"/>
          <w:szCs w:val="24"/>
        </w:rPr>
        <w:t xml:space="preserve"> His attempts to persuade his father to reconsider his rigid stance reveal the inherent dangers of inflexible governance. As the narrative unfolds, Haemon's tragic fate, resulting from his loyalty to Antigone and his disillusionment with Creon's tyranny, accentuates the personal costs of political absolutism. Through Haemon, Sophocles critiques the ramifications of a ruler's refusal to heed counsel and adapt to the moral complexities of human relationships, thereby reinforcing the narrative's central themes.</w:t>
      </w:r>
    </w:p>
    <w:p w14:paraId="2FE9D3C2" w14:textId="0A59C315" w:rsidR="00E81243" w:rsidRPr="007C25ED" w:rsidRDefault="009A6CBC" w:rsidP="690B2674">
      <w:pPr>
        <w:shd w:val="clear" w:color="auto" w:fill="FFFFFF" w:themeFill="background1"/>
        <w:rPr>
          <w:rFonts w:ascii="New times roman" w:hAnsi="New times roman"/>
          <w:sz w:val="24"/>
          <w:szCs w:val="24"/>
        </w:rPr>
      </w:pPr>
      <w:r w:rsidRPr="007C25ED">
        <w:rPr>
          <w:rFonts w:ascii="New times roman" w:hAnsi="New times roman"/>
          <w:sz w:val="24"/>
          <w:szCs w:val="24"/>
        </w:rPr>
        <w:t>Moreover,</w:t>
      </w:r>
      <w:r w:rsidR="00950439" w:rsidRPr="007C25ED">
        <w:rPr>
          <w:rFonts w:ascii="New times roman" w:hAnsi="New times roman"/>
          <w:sz w:val="24"/>
          <w:szCs w:val="24"/>
        </w:rPr>
        <w:t xml:space="preserve"> </w:t>
      </w:r>
      <w:r w:rsidR="00856FF4" w:rsidRPr="007C25ED">
        <w:rPr>
          <w:rFonts w:ascii="New times roman" w:hAnsi="New times roman"/>
          <w:sz w:val="24"/>
          <w:szCs w:val="24"/>
        </w:rPr>
        <w:t xml:space="preserve">MacInnes states, </w:t>
      </w:r>
      <w:r w:rsidR="00E81243" w:rsidRPr="007C25ED">
        <w:rPr>
          <w:rFonts w:ascii="New times roman" w:hAnsi="New times roman"/>
          <w:sz w:val="24"/>
          <w:szCs w:val="24"/>
        </w:rPr>
        <w:t>the character of Tiresias, the blind prophet, serves as a pivotal figure in illuminating the consequences of Creon's obstinacy.</w:t>
      </w:r>
      <w:r w:rsidR="00E81243" w:rsidRPr="007C25ED">
        <w:rPr>
          <w:rStyle w:val="FootnoteReference"/>
          <w:rFonts w:ascii="New times roman" w:hAnsi="New times roman"/>
          <w:sz w:val="24"/>
          <w:szCs w:val="24"/>
        </w:rPr>
        <w:footnoteReference w:id="12"/>
      </w:r>
      <w:r w:rsidR="00E81243" w:rsidRPr="007C25ED">
        <w:rPr>
          <w:rFonts w:ascii="New times roman" w:hAnsi="New times roman"/>
          <w:sz w:val="24"/>
          <w:szCs w:val="24"/>
        </w:rPr>
        <w:t xml:space="preserve"> Tiresias represents the voice of divine wisdom, warning Creon of the repercussions of his actions and the necessity of humility in leadership.</w:t>
      </w:r>
      <w:r w:rsidR="00E81243" w:rsidRPr="007C25ED">
        <w:rPr>
          <w:rStyle w:val="FootnoteReference"/>
          <w:rFonts w:ascii="New times roman" w:hAnsi="New times roman"/>
          <w:sz w:val="24"/>
          <w:szCs w:val="24"/>
        </w:rPr>
        <w:footnoteReference w:id="13"/>
      </w:r>
      <w:r w:rsidR="00E81243" w:rsidRPr="007C25ED">
        <w:rPr>
          <w:rFonts w:ascii="New times roman" w:hAnsi="New times roman"/>
          <w:sz w:val="24"/>
          <w:szCs w:val="24"/>
        </w:rPr>
        <w:t xml:space="preserve"> His prophetic insights underscore the theme of fate versus free will, as Creon’s refusal to heed these warnings precipitates a series of tragic events. The interplay between Tiresias' foresight and Creon's hubris encapsulates the tragic irony of the narrative, wherein the ruler's failure to recognize the limits of his authority leads to his ultimate downfall. </w:t>
      </w:r>
    </w:p>
    <w:p w14:paraId="386D77F8" w14:textId="116C2738" w:rsidR="00E81243" w:rsidRPr="007C25ED" w:rsidRDefault="00E81243" w:rsidP="00E81243">
      <w:pPr>
        <w:rPr>
          <w:rFonts w:ascii="New times roman" w:hAnsi="New times roman"/>
          <w:sz w:val="24"/>
          <w:szCs w:val="24"/>
        </w:rPr>
      </w:pPr>
      <w:r w:rsidRPr="007C25ED">
        <w:rPr>
          <w:rFonts w:ascii="New times roman" w:hAnsi="New times roman"/>
          <w:sz w:val="24"/>
          <w:szCs w:val="24"/>
        </w:rPr>
        <w:t>In Sophocles' ‘Antigone,’ the exploration of gender roles serves to highlight the complexities of power dynamics within the context of tyranny, particularly through the character of Creon.</w:t>
      </w:r>
      <w:r w:rsidRPr="007C25ED">
        <w:rPr>
          <w:rStyle w:val="FootnoteReference"/>
          <w:rFonts w:ascii="New times roman" w:hAnsi="New times roman"/>
          <w:sz w:val="24"/>
          <w:szCs w:val="24"/>
        </w:rPr>
        <w:footnoteReference w:id="14"/>
      </w:r>
      <w:r w:rsidRPr="007C25ED">
        <w:rPr>
          <w:rFonts w:ascii="New times roman" w:hAnsi="New times roman"/>
          <w:sz w:val="24"/>
          <w:szCs w:val="24"/>
        </w:rPr>
        <w:t xml:space="preserve"> As the ruler of Thebes, Creon embodies the archetype of a dictator, enforcing his edicts with an iron fist. His unwavering commitment to the state’s laws and his refusal to acknowledge the moral imperatives that Antigone represents illustrate the dangers of absolute power. Creon’s authoritarian rule not only impacts the political landscape but also reflects the societal norms that dictate the behaviour of women, positioning them as subordinate figures in a patriarchal society.</w:t>
      </w:r>
    </w:p>
    <w:p w14:paraId="5AA02B4D" w14:textId="62E08D53" w:rsidR="00E81243" w:rsidRPr="007C25ED" w:rsidRDefault="00E81243" w:rsidP="00E81243">
      <w:pPr>
        <w:rPr>
          <w:rFonts w:ascii="New times roman" w:hAnsi="New times roman"/>
          <w:sz w:val="24"/>
          <w:szCs w:val="24"/>
        </w:rPr>
      </w:pPr>
      <w:r w:rsidRPr="007C25ED">
        <w:rPr>
          <w:rFonts w:ascii="New times roman" w:hAnsi="New times roman"/>
          <w:sz w:val="24"/>
          <w:szCs w:val="24"/>
        </w:rPr>
        <w:lastRenderedPageBreak/>
        <w:t>Antigone’s defiance against Creon’s edict, which forbids the burial of her brother Polyneices, challenges traditional gender expectations and reveals her strength in the face of oppression</w:t>
      </w:r>
      <w:r w:rsidR="00277800" w:rsidRPr="007C25ED">
        <w:rPr>
          <w:rFonts w:ascii="New times roman" w:hAnsi="New times roman"/>
          <w:sz w:val="24"/>
          <w:szCs w:val="24"/>
        </w:rPr>
        <w:t>, u</w:t>
      </w:r>
      <w:r w:rsidRPr="007C25ED">
        <w:rPr>
          <w:rFonts w:ascii="New times roman" w:hAnsi="New times roman"/>
          <w:sz w:val="24"/>
          <w:szCs w:val="24"/>
        </w:rPr>
        <w:t>nlike her sister Ismene, who initially conforms to societal norms by expressing fear and reluctance, Antigone acts with conviction and moral clarity.</w:t>
      </w:r>
      <w:r w:rsidR="00277800" w:rsidRPr="007C25ED">
        <w:rPr>
          <w:rStyle w:val="FootnoteReference"/>
          <w:rFonts w:ascii="New times roman" w:hAnsi="New times roman"/>
          <w:sz w:val="24"/>
          <w:szCs w:val="24"/>
        </w:rPr>
        <w:footnoteReference w:id="15"/>
      </w:r>
      <w:r w:rsidR="009A6E53" w:rsidRPr="007C25ED">
        <w:rPr>
          <w:rFonts w:ascii="New times roman" w:hAnsi="New times roman"/>
          <w:sz w:val="24"/>
          <w:szCs w:val="24"/>
        </w:rPr>
        <w:t xml:space="preserve"> </w:t>
      </w:r>
      <w:r w:rsidRPr="007C25ED">
        <w:rPr>
          <w:rFonts w:ascii="New times roman" w:hAnsi="New times roman"/>
          <w:sz w:val="24"/>
          <w:szCs w:val="24"/>
        </w:rPr>
        <w:t xml:space="preserve"> This contrast between the sisters underscores the tension between compliance and rebellion, as Antigone’s actions serve as a critique of the limitations imposed on women</w:t>
      </w:r>
      <w:r w:rsidR="00C65BE9">
        <w:rPr>
          <w:rFonts w:ascii="New times roman" w:hAnsi="New times roman"/>
          <w:sz w:val="24"/>
          <w:szCs w:val="24"/>
        </w:rPr>
        <w:t>, any gender would typically have different views on this matter, however individuals are easily influence by a good leader.</w:t>
      </w:r>
    </w:p>
    <w:p w14:paraId="4DAA0A61" w14:textId="0F21BD42" w:rsidR="00E81243" w:rsidRPr="007C25ED" w:rsidRDefault="00E81243" w:rsidP="00E81243">
      <w:pPr>
        <w:rPr>
          <w:rFonts w:ascii="New times roman" w:hAnsi="New times roman"/>
          <w:sz w:val="24"/>
          <w:szCs w:val="24"/>
        </w:rPr>
      </w:pPr>
      <w:r w:rsidRPr="007C25ED">
        <w:rPr>
          <w:rFonts w:ascii="New times roman" w:hAnsi="New times roman"/>
          <w:sz w:val="24"/>
          <w:szCs w:val="24"/>
        </w:rPr>
        <w:t>Moreover, the interplay between Antigone and Creon raises critical questions about the nature of authority and the consequences of rigid adherence to power structures. Creon’s tyrannical governance ultimately leads to tragedy, as his inability to listen to dissent results in the destruction of his family and the collapse of his authority. Through the lens of gender, Sophocles invites the audience to consider how tyranny affects not only political relationships but also personal identities and societal expectations. In this way, ‘Antigone’ transcends its historical context, providing a timeless commentary on the intersections of power, gender, and morality that resonate in contemporary discussions of authority and rebellion.</w:t>
      </w:r>
    </w:p>
    <w:p w14:paraId="5ACB0611" w14:textId="1C663750" w:rsidR="00064B49" w:rsidRPr="007C25ED" w:rsidRDefault="00E81243" w:rsidP="00E81243">
      <w:pPr>
        <w:rPr>
          <w:rFonts w:ascii="New times roman" w:hAnsi="New times roman"/>
          <w:sz w:val="24"/>
          <w:szCs w:val="24"/>
        </w:rPr>
      </w:pPr>
      <w:r w:rsidRPr="007C25ED">
        <w:rPr>
          <w:rFonts w:ascii="New times roman" w:hAnsi="New times roman"/>
          <w:sz w:val="24"/>
          <w:szCs w:val="24"/>
        </w:rPr>
        <w:t>Creon’s response to Antigone’s defiance further illustrates the dangers of authoritarianism.</w:t>
      </w:r>
      <w:r w:rsidRPr="007C25ED">
        <w:rPr>
          <w:rStyle w:val="FootnoteReference"/>
          <w:rFonts w:ascii="New times roman" w:hAnsi="New times roman"/>
          <w:sz w:val="24"/>
          <w:szCs w:val="24"/>
        </w:rPr>
        <w:footnoteReference w:id="16"/>
      </w:r>
      <w:r w:rsidR="00314A92" w:rsidRPr="007C25ED">
        <w:rPr>
          <w:rFonts w:ascii="New times roman" w:hAnsi="New times roman"/>
          <w:sz w:val="24"/>
          <w:szCs w:val="24"/>
        </w:rPr>
        <w:t xml:space="preserve"> </w:t>
      </w:r>
      <w:r w:rsidRPr="007C25ED">
        <w:rPr>
          <w:rFonts w:ascii="New times roman" w:hAnsi="New times roman"/>
          <w:sz w:val="24"/>
          <w:szCs w:val="24"/>
        </w:rPr>
        <w:t xml:space="preserve"> His rigid adherence to law-and-order blinds him to the nuances of human experience and the moral implications of his decisions. In his eyes, the preservation of state authority justifies any means, leading to an inflexible stance that disregards the emotional and ethical dimensions of governance. </w:t>
      </w:r>
    </w:p>
    <w:p w14:paraId="7F5C1924" w14:textId="78CE7852" w:rsidR="00E81243" w:rsidRPr="007C25ED" w:rsidRDefault="00E81243" w:rsidP="00E81243">
      <w:pPr>
        <w:rPr>
          <w:rFonts w:ascii="New times roman" w:hAnsi="New times roman"/>
          <w:sz w:val="24"/>
          <w:szCs w:val="24"/>
        </w:rPr>
      </w:pPr>
      <w:r w:rsidRPr="007C25ED">
        <w:rPr>
          <w:rFonts w:ascii="New times roman" w:hAnsi="New times roman"/>
          <w:sz w:val="24"/>
          <w:szCs w:val="24"/>
        </w:rPr>
        <w:t>This tragic flaw ultimately results in a cascade of suffering, as Creon loses not only his authority but also his family, thereby illustrating the destructive potential of tyrannical rule.</w:t>
      </w:r>
      <w:r w:rsidR="00064B49" w:rsidRPr="007C25ED">
        <w:rPr>
          <w:rFonts w:ascii="New times roman" w:hAnsi="New times roman"/>
          <w:sz w:val="24"/>
          <w:szCs w:val="24"/>
        </w:rPr>
        <w:t xml:space="preserve"> </w:t>
      </w:r>
      <w:r w:rsidRPr="007C25ED">
        <w:rPr>
          <w:rFonts w:ascii="New times roman" w:hAnsi="New times roman"/>
          <w:sz w:val="24"/>
          <w:szCs w:val="24"/>
        </w:rPr>
        <w:t>The interplay between Creon and Antigone serves as a microcosm of the broader societal struggle between individual rights and state power.</w:t>
      </w:r>
      <w:r w:rsidRPr="007C25ED">
        <w:rPr>
          <w:rStyle w:val="FootnoteReference"/>
          <w:rFonts w:ascii="New times roman" w:hAnsi="New times roman"/>
          <w:sz w:val="24"/>
          <w:szCs w:val="24"/>
        </w:rPr>
        <w:footnoteReference w:id="17"/>
      </w:r>
      <w:r w:rsidRPr="007C25ED">
        <w:rPr>
          <w:rFonts w:ascii="New times roman" w:hAnsi="New times roman"/>
          <w:sz w:val="24"/>
          <w:szCs w:val="24"/>
        </w:rPr>
        <w:t xml:space="preserve"> Sophocles invites the audience to reflect on the implications of blind obedience to authority and the moral obligations that individuals hold in the face of unjust laws. The tragic outcomes of their conflict reveal the fragility of human existence when caught in the crossfire of competing moral imperatives.</w:t>
      </w:r>
    </w:p>
    <w:p w14:paraId="0B3D6E25" w14:textId="58B6CFFC" w:rsidR="00E81243" w:rsidRPr="007C25ED" w:rsidRDefault="00E81243" w:rsidP="00E81243">
      <w:pPr>
        <w:rPr>
          <w:rFonts w:ascii="New times roman" w:hAnsi="New times roman"/>
          <w:sz w:val="24"/>
          <w:szCs w:val="24"/>
        </w:rPr>
      </w:pPr>
      <w:r w:rsidRPr="007C25ED">
        <w:rPr>
          <w:rFonts w:ascii="New times roman" w:hAnsi="New times roman"/>
          <w:sz w:val="24"/>
          <w:szCs w:val="24"/>
        </w:rPr>
        <w:t>One significant perspective comes from philosopher Hegel, who argues that Antigone represents the ethical life (</w:t>
      </w:r>
      <w:proofErr w:type="spellStart"/>
      <w:r w:rsidRPr="007C25ED">
        <w:rPr>
          <w:rFonts w:ascii="New times roman" w:hAnsi="New times roman"/>
          <w:sz w:val="24"/>
          <w:szCs w:val="24"/>
        </w:rPr>
        <w:t>Sittlichkeit</w:t>
      </w:r>
      <w:proofErr w:type="spellEnd"/>
      <w:r w:rsidRPr="007C25ED">
        <w:rPr>
          <w:rFonts w:ascii="New times roman" w:hAnsi="New times roman"/>
          <w:sz w:val="24"/>
          <w:szCs w:val="24"/>
        </w:rPr>
        <w:t>) that transcends mere legalism.</w:t>
      </w:r>
      <w:r w:rsidR="00604DE5" w:rsidRPr="007C25ED">
        <w:rPr>
          <w:rStyle w:val="FootnoteReference"/>
          <w:rFonts w:ascii="New times roman" w:hAnsi="New times roman"/>
          <w:sz w:val="24"/>
          <w:szCs w:val="24"/>
        </w:rPr>
        <w:footnoteReference w:id="18"/>
      </w:r>
      <w:r w:rsidRPr="007C25ED">
        <w:rPr>
          <w:rFonts w:ascii="New times roman" w:hAnsi="New times roman"/>
          <w:sz w:val="24"/>
          <w:szCs w:val="24"/>
        </w:rPr>
        <w:t xml:space="preserve"> In his work, ‘The </w:t>
      </w:r>
      <w:r w:rsidR="007C25ED" w:rsidRPr="007C25ED">
        <w:rPr>
          <w:rFonts w:ascii="New times roman" w:hAnsi="New times roman"/>
          <w:sz w:val="24"/>
          <w:szCs w:val="24"/>
        </w:rPr>
        <w:t>Ph</w:t>
      </w:r>
      <w:r w:rsidR="007C25ED">
        <w:rPr>
          <w:rFonts w:ascii="New times roman" w:hAnsi="New times roman"/>
          <w:sz w:val="24"/>
          <w:szCs w:val="24"/>
        </w:rPr>
        <w:t>enomenology of spirit</w:t>
      </w:r>
      <w:r w:rsidRPr="007C25ED">
        <w:rPr>
          <w:rFonts w:ascii="New times roman" w:hAnsi="New times roman"/>
          <w:sz w:val="24"/>
          <w:szCs w:val="24"/>
        </w:rPr>
        <w:t xml:space="preserve">,’ Hegel posits that Antigone's actions embody a higher moral law that stands in opposition to Creon’s state law. This clash between divine law and human law highlights the limitations of a rigid legal system when it fails to account for ethical considerations. </w:t>
      </w:r>
    </w:p>
    <w:p w14:paraId="4EB742DA" w14:textId="21B63245" w:rsidR="00E81243" w:rsidRPr="007C25ED" w:rsidRDefault="00E81243" w:rsidP="00E81243">
      <w:pPr>
        <w:rPr>
          <w:rFonts w:ascii="New times roman" w:hAnsi="New times roman"/>
          <w:sz w:val="24"/>
          <w:szCs w:val="24"/>
        </w:rPr>
      </w:pPr>
      <w:r w:rsidRPr="007C25ED">
        <w:rPr>
          <w:rFonts w:ascii="New times roman" w:hAnsi="New times roman"/>
          <w:sz w:val="24"/>
          <w:szCs w:val="24"/>
        </w:rPr>
        <w:lastRenderedPageBreak/>
        <w:t>Another critical viewpoint is provided by feminist theorists who analyse Antigone’s defiance as a form of resistance against patriarchal authority. In her essay ‘Antigone's Claim,’ feminist scholar Judith Butler argues that Antigone’s unwavering commitment to burying her brother reflects a challenge to the gendered constraints imposed by Creon’s rule.</w:t>
      </w:r>
      <w:r w:rsidRPr="007C25ED">
        <w:rPr>
          <w:rStyle w:val="FootnoteReference"/>
          <w:rFonts w:ascii="New times roman" w:hAnsi="New times roman"/>
          <w:sz w:val="24"/>
          <w:szCs w:val="24"/>
        </w:rPr>
        <w:footnoteReference w:id="19"/>
      </w:r>
      <w:r w:rsidRPr="007C25ED">
        <w:rPr>
          <w:rFonts w:ascii="New times roman" w:hAnsi="New times roman"/>
          <w:sz w:val="24"/>
          <w:szCs w:val="24"/>
        </w:rPr>
        <w:t xml:space="preserve"> Butler suggests that Antigone’s actions not only assert her agency as a woman but also question the societal structures that seek to silence female voices</w:t>
      </w:r>
      <w:r w:rsidR="00C65BE9">
        <w:rPr>
          <w:rFonts w:ascii="New times roman" w:hAnsi="New times roman"/>
          <w:sz w:val="24"/>
          <w:szCs w:val="24"/>
        </w:rPr>
        <w:t xml:space="preserve">, in </w:t>
      </w:r>
      <w:proofErr w:type="gramStart"/>
      <w:r w:rsidR="00C65BE9">
        <w:rPr>
          <w:rFonts w:ascii="New times roman" w:hAnsi="New times roman"/>
          <w:sz w:val="24"/>
          <w:szCs w:val="24"/>
        </w:rPr>
        <w:t>todays</w:t>
      </w:r>
      <w:proofErr w:type="gramEnd"/>
      <w:r w:rsidR="00C65BE9">
        <w:rPr>
          <w:rFonts w:ascii="New times roman" w:hAnsi="New times roman"/>
          <w:sz w:val="24"/>
          <w:szCs w:val="24"/>
        </w:rPr>
        <w:t xml:space="preserve"> society women are more heard.</w:t>
      </w:r>
    </w:p>
    <w:p w14:paraId="678C94FC" w14:textId="57922242" w:rsidR="00E81243" w:rsidRPr="007C25ED" w:rsidRDefault="00E81243" w:rsidP="00E81243">
      <w:pPr>
        <w:rPr>
          <w:rFonts w:ascii="New times roman" w:hAnsi="New times roman"/>
          <w:sz w:val="24"/>
          <w:szCs w:val="24"/>
        </w:rPr>
      </w:pPr>
      <w:r w:rsidRPr="007C25ED">
        <w:rPr>
          <w:rFonts w:ascii="New times roman" w:hAnsi="New times roman"/>
          <w:sz w:val="24"/>
          <w:szCs w:val="24"/>
        </w:rPr>
        <w:t xml:space="preserve">Additionally, the work of classicist Simon Goldhill in ‘Reading Greek Tragedy’ </w:t>
      </w:r>
      <w:r w:rsidR="00C65BE9">
        <w:rPr>
          <w:rFonts w:ascii="New times roman" w:hAnsi="New times roman"/>
          <w:sz w:val="24"/>
          <w:szCs w:val="24"/>
        </w:rPr>
        <w:t xml:space="preserve">reflects </w:t>
      </w:r>
      <w:r w:rsidRPr="007C25ED">
        <w:rPr>
          <w:rFonts w:ascii="New times roman" w:hAnsi="New times roman"/>
          <w:sz w:val="24"/>
          <w:szCs w:val="24"/>
        </w:rPr>
        <w:t>on the cultural context of the play. Goldhill discusses how the tension between individual and state reflects the democratic ideals of ancient Athens.</w:t>
      </w:r>
      <w:r w:rsidRPr="007C25ED">
        <w:rPr>
          <w:rStyle w:val="FootnoteReference"/>
          <w:rFonts w:ascii="New times roman" w:hAnsi="New times roman"/>
          <w:sz w:val="24"/>
          <w:szCs w:val="24"/>
        </w:rPr>
        <w:footnoteReference w:id="20"/>
      </w:r>
      <w:r w:rsidRPr="007C25ED">
        <w:rPr>
          <w:rFonts w:ascii="New times roman" w:hAnsi="New times roman"/>
          <w:sz w:val="24"/>
          <w:szCs w:val="24"/>
        </w:rPr>
        <w:t xml:space="preserve"> He argues that Sophocles uses the conflict between Antigone and Creon to explore the complexities of civic duty and personal morality, suggesting that the play serves as a critical commentary on the nature of authority in a democratic society. This perspective invites readers to consider how the themes of ‘Antigone’ remain relevant in modern discussions about civic responsibility and ethical governance.</w:t>
      </w:r>
    </w:p>
    <w:p w14:paraId="173C880D" w14:textId="77777777" w:rsidR="00E81243" w:rsidRPr="007C25ED" w:rsidRDefault="00E81243" w:rsidP="00E81243">
      <w:pPr>
        <w:rPr>
          <w:rFonts w:ascii="New times roman" w:hAnsi="New times roman"/>
          <w:sz w:val="24"/>
          <w:szCs w:val="24"/>
        </w:rPr>
      </w:pPr>
      <w:r w:rsidRPr="007C25ED">
        <w:rPr>
          <w:rFonts w:ascii="New times roman" w:hAnsi="New times roman"/>
          <w:sz w:val="24"/>
          <w:szCs w:val="24"/>
        </w:rPr>
        <w:t>Creon's insistence on enforcing his decree, even in the face of Antigone's passionate arguments, illustrates the dangers of a rigid adherence to law that ignores the complexities of human experience.</w:t>
      </w:r>
      <w:r w:rsidRPr="007C25ED">
        <w:rPr>
          <w:rStyle w:val="FootnoteReference"/>
          <w:rFonts w:ascii="New times roman" w:hAnsi="New times roman"/>
          <w:sz w:val="24"/>
          <w:szCs w:val="24"/>
        </w:rPr>
        <w:footnoteReference w:id="21"/>
      </w:r>
      <w:r w:rsidRPr="007C25ED">
        <w:rPr>
          <w:rFonts w:ascii="New times roman" w:hAnsi="New times roman"/>
          <w:sz w:val="24"/>
          <w:szCs w:val="24"/>
        </w:rPr>
        <w:t xml:space="preserve"> His characterization as a tyrant becomes evident as he prioritizes order and authority over compassion and justice. This dynamic raise critical questions about the legitimacy of power and the responsibilities of those who wield it. </w:t>
      </w:r>
    </w:p>
    <w:p w14:paraId="1653C2ED" w14:textId="7B0D8AA0" w:rsidR="002B5819" w:rsidRPr="007C25ED" w:rsidRDefault="002B5819" w:rsidP="002B5819">
      <w:pPr>
        <w:rPr>
          <w:rFonts w:ascii="New times roman" w:hAnsi="New times roman"/>
          <w:sz w:val="24"/>
          <w:szCs w:val="24"/>
        </w:rPr>
      </w:pPr>
      <w:r w:rsidRPr="007C25ED">
        <w:rPr>
          <w:rFonts w:ascii="New times roman" w:hAnsi="New times roman"/>
          <w:sz w:val="24"/>
          <w:szCs w:val="24"/>
        </w:rPr>
        <w:t>The tragic conclusion of the play serves as a reminder of the perils associated with absolute power and the suppression of individual conscience. As Antigone faces the severe repercussions of her defiance, the audience is encouraged to reflect on the importance of her sacrifice. This scenario prompts critical inquiries about the nature of justice—whether it arises from human legislation or from the moral principles that govern humanity</w:t>
      </w:r>
      <w:r w:rsidR="0086086E">
        <w:rPr>
          <w:rFonts w:ascii="New times roman" w:hAnsi="New times roman"/>
          <w:sz w:val="24"/>
          <w:szCs w:val="24"/>
        </w:rPr>
        <w:t xml:space="preserve"> or if it stems from her own beliefs. </w:t>
      </w:r>
    </w:p>
    <w:p w14:paraId="41D66EAB" w14:textId="39FF2838" w:rsidR="002B5819" w:rsidRPr="007C25ED" w:rsidRDefault="002B5819" w:rsidP="002B5819">
      <w:pPr>
        <w:rPr>
          <w:rFonts w:ascii="New times roman" w:hAnsi="New times roman"/>
          <w:sz w:val="24"/>
          <w:szCs w:val="24"/>
        </w:rPr>
      </w:pPr>
      <w:r w:rsidRPr="007C25ED">
        <w:rPr>
          <w:rFonts w:ascii="New times roman" w:hAnsi="New times roman"/>
          <w:sz w:val="24"/>
          <w:szCs w:val="24"/>
        </w:rPr>
        <w:t>Moreover, the interaction between Creon and Antigone s</w:t>
      </w:r>
      <w:r w:rsidR="0086086E">
        <w:rPr>
          <w:rFonts w:ascii="New times roman" w:hAnsi="New times roman"/>
          <w:sz w:val="24"/>
          <w:szCs w:val="24"/>
        </w:rPr>
        <w:t>tarts</w:t>
      </w:r>
      <w:r w:rsidRPr="007C25ED">
        <w:rPr>
          <w:rFonts w:ascii="New times roman" w:hAnsi="New times roman"/>
          <w:sz w:val="24"/>
          <w:szCs w:val="24"/>
        </w:rPr>
        <w:t xml:space="preserve"> discussions about gender dynamics in authority and resistance. Antigone's defiance against a male authority figure enriches the analysis and highlights the societal constraints imposed on women, both historically and in contemporary society.</w:t>
      </w:r>
      <w:r w:rsidR="004D6B89" w:rsidRPr="007C25ED">
        <w:rPr>
          <w:rStyle w:val="FootnoteReference"/>
          <w:rFonts w:ascii="New times roman" w:hAnsi="New times roman"/>
          <w:sz w:val="24"/>
          <w:szCs w:val="24"/>
        </w:rPr>
        <w:footnoteReference w:id="22"/>
      </w:r>
      <w:r w:rsidRPr="007C25ED">
        <w:rPr>
          <w:rFonts w:ascii="New times roman" w:hAnsi="New times roman"/>
          <w:sz w:val="24"/>
          <w:szCs w:val="24"/>
        </w:rPr>
        <w:t xml:space="preserve"> This theme strongly resonates with ongoing conversations about gender equality and the fight against oppressive structures</w:t>
      </w:r>
      <w:r w:rsidR="0086086E">
        <w:rPr>
          <w:rFonts w:ascii="New times roman" w:hAnsi="New times roman"/>
          <w:sz w:val="24"/>
          <w:szCs w:val="24"/>
        </w:rPr>
        <w:t xml:space="preserve">, this certainly shows the changes for feminist rights in </w:t>
      </w:r>
      <w:proofErr w:type="spellStart"/>
      <w:r w:rsidR="0086086E">
        <w:rPr>
          <w:rFonts w:ascii="New times roman" w:hAnsi="New times roman"/>
          <w:sz w:val="24"/>
          <w:szCs w:val="24"/>
        </w:rPr>
        <w:t>todays</w:t>
      </w:r>
      <w:proofErr w:type="spellEnd"/>
      <w:r w:rsidR="0086086E">
        <w:rPr>
          <w:rFonts w:ascii="New times roman" w:hAnsi="New times roman"/>
          <w:sz w:val="24"/>
          <w:szCs w:val="24"/>
        </w:rPr>
        <w:t xml:space="preserve"> society.</w:t>
      </w:r>
    </w:p>
    <w:p w14:paraId="6BE827C1" w14:textId="1D8B91EB" w:rsidR="004E69D5" w:rsidRPr="007C25ED" w:rsidRDefault="004E69D5" w:rsidP="004E69D5">
      <w:pPr>
        <w:rPr>
          <w:rFonts w:ascii="New times roman" w:hAnsi="New times roman"/>
          <w:sz w:val="24"/>
          <w:szCs w:val="24"/>
        </w:rPr>
      </w:pPr>
      <w:r w:rsidRPr="007C25ED">
        <w:rPr>
          <w:rFonts w:ascii="New times roman" w:hAnsi="New times roman"/>
          <w:sz w:val="24"/>
          <w:szCs w:val="24"/>
        </w:rPr>
        <w:t xml:space="preserve">In the confrontation between Creon and Antigone, their exchange powerfully illustrates the clash of values surrounding civil disobedience and moral integrity. Antigone’s unwavering declaration, </w:t>
      </w:r>
      <w:r w:rsidR="006601E3" w:rsidRPr="007C25ED">
        <w:rPr>
          <w:rFonts w:ascii="New times roman" w:hAnsi="New times roman"/>
          <w:sz w:val="24"/>
          <w:szCs w:val="24"/>
        </w:rPr>
        <w:t>‘</w:t>
      </w:r>
      <w:r w:rsidRPr="007C25ED">
        <w:rPr>
          <w:rFonts w:ascii="New times roman" w:hAnsi="New times roman"/>
          <w:sz w:val="24"/>
          <w:szCs w:val="24"/>
        </w:rPr>
        <w:t>I will bury him; and if I must die, I will die,</w:t>
      </w:r>
      <w:r w:rsidR="006601E3" w:rsidRPr="007C25ED">
        <w:rPr>
          <w:rFonts w:ascii="New times roman" w:hAnsi="New times roman"/>
          <w:sz w:val="24"/>
          <w:szCs w:val="24"/>
        </w:rPr>
        <w:t>’</w:t>
      </w:r>
      <w:r w:rsidRPr="007C25ED">
        <w:rPr>
          <w:rFonts w:ascii="New times roman" w:hAnsi="New times roman"/>
          <w:sz w:val="24"/>
          <w:szCs w:val="24"/>
        </w:rPr>
        <w:t xml:space="preserve"> reflects her deep commitment to familial loyalty and divine law over Creon's secular authority.</w:t>
      </w:r>
      <w:r w:rsidR="009708E8" w:rsidRPr="007C25ED">
        <w:rPr>
          <w:rStyle w:val="FootnoteReference"/>
          <w:rFonts w:ascii="New times roman" w:hAnsi="New times roman"/>
          <w:sz w:val="24"/>
          <w:szCs w:val="24"/>
        </w:rPr>
        <w:footnoteReference w:id="23"/>
      </w:r>
      <w:r w:rsidRPr="007C25ED">
        <w:rPr>
          <w:rFonts w:ascii="New times roman" w:hAnsi="New times roman"/>
          <w:sz w:val="24"/>
          <w:szCs w:val="24"/>
        </w:rPr>
        <w:t xml:space="preserve"> This defiance not only challenges Creon's power but also positions Antigone as a symbol of </w:t>
      </w:r>
      <w:r w:rsidRPr="007C25ED">
        <w:rPr>
          <w:rFonts w:ascii="New times roman" w:hAnsi="New times roman"/>
          <w:sz w:val="24"/>
          <w:szCs w:val="24"/>
        </w:rPr>
        <w:lastRenderedPageBreak/>
        <w:t>moral righteousness. By prioritizing her ethical duties to her brother over the laws of the state, she embodies the essence of civil disobedience, a concept famously championed by thinkers like Henry David Thoreau, who argued that individuals must resist unjust laws.</w:t>
      </w:r>
      <w:r w:rsidR="00E76B07" w:rsidRPr="007C25ED">
        <w:rPr>
          <w:rStyle w:val="FootnoteReference"/>
          <w:rFonts w:ascii="New times roman" w:hAnsi="New times roman"/>
          <w:sz w:val="24"/>
          <w:szCs w:val="24"/>
        </w:rPr>
        <w:footnoteReference w:id="24"/>
      </w:r>
      <w:r w:rsidR="00CD21A6" w:rsidRPr="007C25ED">
        <w:rPr>
          <w:rFonts w:ascii="New times roman" w:hAnsi="New times roman"/>
          <w:sz w:val="24"/>
          <w:szCs w:val="24"/>
        </w:rPr>
        <w:t xml:space="preserve"> </w:t>
      </w:r>
    </w:p>
    <w:p w14:paraId="697E55D9" w14:textId="774D6838" w:rsidR="004E69D5" w:rsidRPr="007C25ED" w:rsidRDefault="004E69D5" w:rsidP="004E69D5">
      <w:pPr>
        <w:rPr>
          <w:rFonts w:ascii="New times roman" w:hAnsi="New times roman"/>
          <w:sz w:val="24"/>
          <w:szCs w:val="24"/>
        </w:rPr>
      </w:pPr>
      <w:r w:rsidRPr="007C25ED">
        <w:rPr>
          <w:rFonts w:ascii="New times roman" w:hAnsi="New times roman"/>
          <w:sz w:val="24"/>
          <w:szCs w:val="24"/>
        </w:rPr>
        <w:t xml:space="preserve">Creon’s character embodies the belief in the supremacy of state power, as demonstrated by his assertion, </w:t>
      </w:r>
      <w:r w:rsidR="00336BB0" w:rsidRPr="007C25ED">
        <w:rPr>
          <w:rFonts w:ascii="New times roman" w:hAnsi="New times roman"/>
          <w:sz w:val="24"/>
          <w:szCs w:val="24"/>
        </w:rPr>
        <w:t>‘</w:t>
      </w:r>
      <w:r w:rsidRPr="007C25ED">
        <w:rPr>
          <w:rFonts w:ascii="New times roman" w:hAnsi="New times roman"/>
          <w:sz w:val="24"/>
          <w:szCs w:val="24"/>
        </w:rPr>
        <w:t>The city is the king's.</w:t>
      </w:r>
      <w:r w:rsidR="00336BB0" w:rsidRPr="007C25ED">
        <w:rPr>
          <w:rFonts w:ascii="New times roman" w:hAnsi="New times roman"/>
          <w:sz w:val="24"/>
          <w:szCs w:val="24"/>
        </w:rPr>
        <w:t>’</w:t>
      </w:r>
      <w:r w:rsidRPr="007C25ED">
        <w:rPr>
          <w:rFonts w:ascii="New times roman" w:hAnsi="New times roman"/>
          <w:sz w:val="24"/>
          <w:szCs w:val="24"/>
        </w:rPr>
        <w:t xml:space="preserve"> Initially, he approaches governance with a rigid adherence to law and order, viewing his decisions as necessary for maintaining societal stability.</w:t>
      </w:r>
      <w:r w:rsidR="00094342" w:rsidRPr="007C25ED">
        <w:rPr>
          <w:rStyle w:val="FootnoteReference"/>
          <w:rFonts w:ascii="New times roman" w:hAnsi="New times roman"/>
          <w:sz w:val="24"/>
          <w:szCs w:val="24"/>
        </w:rPr>
        <w:footnoteReference w:id="25"/>
      </w:r>
      <w:r w:rsidRPr="007C25ED">
        <w:rPr>
          <w:rFonts w:ascii="New times roman" w:hAnsi="New times roman"/>
          <w:sz w:val="24"/>
          <w:szCs w:val="24"/>
        </w:rPr>
        <w:t xml:space="preserve"> However, as the narrative unfolds, the consequences of his inflexible stance reveal the complexities and dangers of absolute authority. His refusal to listen to reason and his harsh punishment of Antigone for her defiance serve to underscore the potential for tyrannical rule when leaders prioritize their authority over justice and compassion.</w:t>
      </w:r>
    </w:p>
    <w:p w14:paraId="406C9743" w14:textId="6B557A18" w:rsidR="004E69D5" w:rsidRPr="007C25ED" w:rsidRDefault="004E69D5" w:rsidP="004E69D5">
      <w:pPr>
        <w:rPr>
          <w:rFonts w:ascii="New times roman" w:hAnsi="New times roman"/>
          <w:sz w:val="24"/>
          <w:szCs w:val="24"/>
        </w:rPr>
      </w:pPr>
      <w:r w:rsidRPr="007C25ED">
        <w:rPr>
          <w:rFonts w:ascii="New times roman" w:hAnsi="New times roman"/>
          <w:sz w:val="24"/>
          <w:szCs w:val="24"/>
        </w:rPr>
        <w:t>The tragic arc of Creon’s character is further emphasized by his eventual realization of the catastrophic effects of his decisions. The deaths of his son Haemon and wife Eurydice serve as pivotal moments that force him to confront the consequences of his pride and stubbornness. These losses illustrate a profound transformation in Creon, as he grapples with guilt and despair, ultimately recognizing that his commitment to the law has led to personal tragedy. This evolution aligns with Aristotle's concept of the tragic flaw, suggesting that Creon's hubris not only leads to his downfall but also serves as a cautionary tale about the perils of unchecked power.</w:t>
      </w:r>
    </w:p>
    <w:p w14:paraId="3FA1546A" w14:textId="35E59657" w:rsidR="004E69D5" w:rsidRPr="007C25ED" w:rsidRDefault="004E69D5" w:rsidP="004E69D5">
      <w:pPr>
        <w:rPr>
          <w:rFonts w:ascii="New times roman" w:hAnsi="New times roman"/>
          <w:sz w:val="24"/>
          <w:szCs w:val="24"/>
        </w:rPr>
      </w:pPr>
      <w:r w:rsidRPr="007C25ED">
        <w:rPr>
          <w:rFonts w:ascii="New times roman" w:hAnsi="New times roman"/>
          <w:sz w:val="24"/>
          <w:szCs w:val="24"/>
        </w:rPr>
        <w:t xml:space="preserve">In stark contrast, Antigone’s defiance represents a courageous stand against tyranny, highlighting the moral complexities of her situation. Her determination to </w:t>
      </w:r>
      <w:r w:rsidR="00336BB0" w:rsidRPr="007C25ED">
        <w:rPr>
          <w:rFonts w:ascii="New times roman" w:hAnsi="New times roman"/>
          <w:sz w:val="24"/>
          <w:szCs w:val="24"/>
        </w:rPr>
        <w:t>honour</w:t>
      </w:r>
      <w:r w:rsidRPr="007C25ED">
        <w:rPr>
          <w:rFonts w:ascii="New times roman" w:hAnsi="New times roman"/>
          <w:sz w:val="24"/>
          <w:szCs w:val="24"/>
        </w:rPr>
        <w:t xml:space="preserve"> her brother Polyneices through burial rites underscores her belief in divine law and the importance of familial duty, which transcends the edicts of a ruler. Antigone’s actions challenge the audience to consider the ethical implications of their own choices, as she embodies the struggle between personal convictions and societal expectations. Her bravery serves as a powerful reminder of the necessity of standing up for one’s beliefs, even in the face of overwhelming opposition.</w:t>
      </w:r>
      <w:r w:rsidR="0086086E">
        <w:rPr>
          <w:rFonts w:ascii="New times roman" w:hAnsi="New times roman"/>
          <w:sz w:val="24"/>
          <w:szCs w:val="24"/>
        </w:rPr>
        <w:t xml:space="preserve"> The play also shows how members can also be easily influenced by </w:t>
      </w:r>
      <w:proofErr w:type="gramStart"/>
      <w:r w:rsidR="0086086E">
        <w:rPr>
          <w:rFonts w:ascii="New times roman" w:hAnsi="New times roman"/>
          <w:sz w:val="24"/>
          <w:szCs w:val="24"/>
        </w:rPr>
        <w:t>others</w:t>
      </w:r>
      <w:proofErr w:type="gramEnd"/>
      <w:r w:rsidR="0086086E">
        <w:rPr>
          <w:rFonts w:ascii="New times roman" w:hAnsi="New times roman"/>
          <w:sz w:val="24"/>
          <w:szCs w:val="24"/>
        </w:rPr>
        <w:t xml:space="preserve"> decisions.</w:t>
      </w:r>
    </w:p>
    <w:p w14:paraId="2B5608A5" w14:textId="77777777" w:rsidR="00322848" w:rsidRPr="007C25ED" w:rsidRDefault="00322848" w:rsidP="00322848">
      <w:pPr>
        <w:rPr>
          <w:rFonts w:ascii="New times roman" w:hAnsi="New times roman"/>
          <w:sz w:val="24"/>
          <w:szCs w:val="24"/>
        </w:rPr>
      </w:pPr>
      <w:r w:rsidRPr="007C25ED">
        <w:rPr>
          <w:rFonts w:ascii="New times roman" w:hAnsi="New times roman"/>
          <w:sz w:val="24"/>
          <w:szCs w:val="24"/>
        </w:rPr>
        <w:t>The dynamic between Creon and Antigone provides profound insights into the complexities of power, authority, and moral integrity. Their conflict encourages discussions about the balance between individual rights and government control, prompting the audience to reflect on civil disobedience in their own lives. The tragic outcomes for both characters symbolize the enduring struggle against oppression and the ethical dilemmas faced when pursuing justice. This theme resonates through generations, emphasizing the importance of questioning authority and upholding personal convictions.</w:t>
      </w:r>
    </w:p>
    <w:p w14:paraId="04359B3D" w14:textId="77777777" w:rsidR="0086086E" w:rsidRDefault="0086086E" w:rsidP="00322848">
      <w:pPr>
        <w:rPr>
          <w:rFonts w:ascii="New times roman" w:hAnsi="New times roman"/>
          <w:sz w:val="24"/>
          <w:szCs w:val="24"/>
        </w:rPr>
      </w:pPr>
    </w:p>
    <w:p w14:paraId="37C31E88" w14:textId="77777777" w:rsidR="0086086E" w:rsidRDefault="0086086E" w:rsidP="00322848">
      <w:pPr>
        <w:rPr>
          <w:rFonts w:ascii="New times roman" w:hAnsi="New times roman"/>
          <w:sz w:val="24"/>
          <w:szCs w:val="24"/>
        </w:rPr>
      </w:pPr>
    </w:p>
    <w:p w14:paraId="1CA21B4B" w14:textId="77777777" w:rsidR="0086086E" w:rsidRDefault="0086086E" w:rsidP="00322848">
      <w:pPr>
        <w:rPr>
          <w:rFonts w:ascii="New times roman" w:hAnsi="New times roman"/>
          <w:sz w:val="24"/>
          <w:szCs w:val="24"/>
        </w:rPr>
      </w:pPr>
    </w:p>
    <w:p w14:paraId="090433C9" w14:textId="416576B9" w:rsidR="00322848" w:rsidRPr="007C25ED" w:rsidRDefault="00322848" w:rsidP="00322848">
      <w:pPr>
        <w:rPr>
          <w:rFonts w:ascii="New times roman" w:hAnsi="New times roman"/>
          <w:sz w:val="24"/>
          <w:szCs w:val="24"/>
        </w:rPr>
      </w:pPr>
      <w:r w:rsidRPr="007C25ED">
        <w:rPr>
          <w:rFonts w:ascii="New times roman" w:hAnsi="New times roman"/>
          <w:sz w:val="24"/>
          <w:szCs w:val="24"/>
        </w:rPr>
        <w:lastRenderedPageBreak/>
        <w:t>In conclusion, exploring the theme of singular authority in ancient literature, particularly in Sophocles' ‘Antigone,’ uncovers the significant consequences of absolute power and the conflicts it creates. Creon embodies the tyrant archetype, whose rigid adherence to state law results in both personal and societal ruin. This analysis highlights the tension between individual moral duties and the expectations of authoritarian governance, a theme that remains relevant from ancient Greece to modern discussions about power and resistance.</w:t>
      </w:r>
      <w:r w:rsidR="0086086E">
        <w:rPr>
          <w:rFonts w:ascii="New times roman" w:hAnsi="New times roman"/>
          <w:sz w:val="24"/>
          <w:szCs w:val="24"/>
        </w:rPr>
        <w:t xml:space="preserve"> This also shows how today’s society is a lot more equal, with laws being there to follow, however individuals </w:t>
      </w:r>
      <w:proofErr w:type="gramStart"/>
      <w:r w:rsidR="0086086E">
        <w:rPr>
          <w:rFonts w:ascii="New times roman" w:hAnsi="New times roman"/>
          <w:sz w:val="24"/>
          <w:szCs w:val="24"/>
        </w:rPr>
        <w:t>are able to</w:t>
      </w:r>
      <w:proofErr w:type="gramEnd"/>
      <w:r w:rsidR="0086086E">
        <w:rPr>
          <w:rFonts w:ascii="New times roman" w:hAnsi="New times roman"/>
          <w:sz w:val="24"/>
          <w:szCs w:val="24"/>
        </w:rPr>
        <w:t xml:space="preserve"> make their own decisions and judgements and deal with any consequences that may arise from their actions, with fair laws being set.</w:t>
      </w:r>
    </w:p>
    <w:p w14:paraId="43E5EE9E" w14:textId="77777777" w:rsidR="00B15D05" w:rsidRPr="007C25ED" w:rsidRDefault="00B15D05" w:rsidP="00322848">
      <w:pPr>
        <w:rPr>
          <w:rFonts w:ascii="New times roman" w:hAnsi="New times roman"/>
          <w:sz w:val="24"/>
          <w:szCs w:val="24"/>
        </w:rPr>
      </w:pPr>
    </w:p>
    <w:p w14:paraId="069CF396" w14:textId="77777777" w:rsidR="00B15D05" w:rsidRPr="007C25ED" w:rsidRDefault="00B15D05" w:rsidP="00322848">
      <w:pPr>
        <w:rPr>
          <w:rFonts w:ascii="New times roman" w:hAnsi="New times roman"/>
          <w:sz w:val="24"/>
          <w:szCs w:val="24"/>
        </w:rPr>
      </w:pPr>
    </w:p>
    <w:p w14:paraId="6FD08281" w14:textId="77777777" w:rsidR="007C25ED" w:rsidRPr="007C25ED" w:rsidRDefault="007C25ED" w:rsidP="00322848">
      <w:pPr>
        <w:rPr>
          <w:rFonts w:ascii="New times roman" w:hAnsi="New times roman"/>
          <w:sz w:val="24"/>
          <w:szCs w:val="24"/>
          <w:u w:val="single"/>
        </w:rPr>
      </w:pPr>
    </w:p>
    <w:p w14:paraId="482C5921" w14:textId="77777777" w:rsidR="0086086E" w:rsidRDefault="0086086E" w:rsidP="00322848">
      <w:pPr>
        <w:rPr>
          <w:rFonts w:ascii="New times roman" w:hAnsi="New times roman"/>
          <w:sz w:val="24"/>
          <w:szCs w:val="24"/>
          <w:u w:val="single"/>
        </w:rPr>
      </w:pPr>
    </w:p>
    <w:p w14:paraId="62918A9A" w14:textId="77777777" w:rsidR="0086086E" w:rsidRDefault="0086086E" w:rsidP="00322848">
      <w:pPr>
        <w:rPr>
          <w:rFonts w:ascii="New times roman" w:hAnsi="New times roman"/>
          <w:sz w:val="24"/>
          <w:szCs w:val="24"/>
          <w:u w:val="single"/>
        </w:rPr>
      </w:pPr>
    </w:p>
    <w:p w14:paraId="1C9B4084" w14:textId="77777777" w:rsidR="0086086E" w:rsidRDefault="0086086E" w:rsidP="00322848">
      <w:pPr>
        <w:rPr>
          <w:rFonts w:ascii="New times roman" w:hAnsi="New times roman"/>
          <w:sz w:val="24"/>
          <w:szCs w:val="24"/>
          <w:u w:val="single"/>
        </w:rPr>
      </w:pPr>
    </w:p>
    <w:p w14:paraId="20BDC9AE" w14:textId="77777777" w:rsidR="0086086E" w:rsidRDefault="0086086E" w:rsidP="00322848">
      <w:pPr>
        <w:rPr>
          <w:rFonts w:ascii="New times roman" w:hAnsi="New times roman"/>
          <w:sz w:val="24"/>
          <w:szCs w:val="24"/>
          <w:u w:val="single"/>
        </w:rPr>
      </w:pPr>
    </w:p>
    <w:p w14:paraId="06DA44A4" w14:textId="77777777" w:rsidR="0086086E" w:rsidRDefault="0086086E" w:rsidP="00322848">
      <w:pPr>
        <w:rPr>
          <w:rFonts w:ascii="New times roman" w:hAnsi="New times roman"/>
          <w:sz w:val="24"/>
          <w:szCs w:val="24"/>
          <w:u w:val="single"/>
        </w:rPr>
      </w:pPr>
    </w:p>
    <w:p w14:paraId="44633AFA" w14:textId="77777777" w:rsidR="0086086E" w:rsidRDefault="0086086E" w:rsidP="00322848">
      <w:pPr>
        <w:rPr>
          <w:rFonts w:ascii="New times roman" w:hAnsi="New times roman"/>
          <w:sz w:val="24"/>
          <w:szCs w:val="24"/>
          <w:u w:val="single"/>
        </w:rPr>
      </w:pPr>
    </w:p>
    <w:p w14:paraId="0B14DDD7" w14:textId="4B2B6242" w:rsidR="00786731" w:rsidRPr="007C25ED" w:rsidRDefault="00786731" w:rsidP="00322848">
      <w:pPr>
        <w:rPr>
          <w:rFonts w:ascii="New times roman" w:hAnsi="New times roman"/>
          <w:sz w:val="24"/>
          <w:szCs w:val="24"/>
          <w:u w:val="single"/>
        </w:rPr>
      </w:pPr>
      <w:r w:rsidRPr="007C25ED">
        <w:rPr>
          <w:rFonts w:ascii="New times roman" w:hAnsi="New times roman"/>
          <w:sz w:val="24"/>
          <w:szCs w:val="24"/>
          <w:u w:val="single"/>
        </w:rPr>
        <w:t xml:space="preserve">Bibliography </w:t>
      </w:r>
    </w:p>
    <w:p w14:paraId="7EB256FA" w14:textId="77777777" w:rsidR="007C25ED" w:rsidRPr="007C25ED" w:rsidRDefault="007C25ED" w:rsidP="007C25ED">
      <w:pPr>
        <w:rPr>
          <w:rFonts w:ascii="New times roman" w:hAnsi="New times roman"/>
          <w:sz w:val="24"/>
          <w:szCs w:val="24"/>
        </w:rPr>
      </w:pPr>
      <w:proofErr w:type="spellStart"/>
      <w:r w:rsidRPr="007C25ED">
        <w:rPr>
          <w:rFonts w:ascii="New times roman" w:hAnsi="New times roman"/>
          <w:sz w:val="24"/>
          <w:szCs w:val="24"/>
        </w:rPr>
        <w:t>Konstan</w:t>
      </w:r>
      <w:proofErr w:type="spellEnd"/>
      <w:r w:rsidRPr="007C25ED">
        <w:rPr>
          <w:rFonts w:ascii="New times roman" w:hAnsi="New times roman"/>
          <w:sz w:val="24"/>
          <w:szCs w:val="24"/>
        </w:rPr>
        <w:t>, David, ‘The Tragedy of Law: The Case of Antigone,’ in The Classical World 98, no. 2 (2004): 145-156.</w:t>
      </w:r>
    </w:p>
    <w:p w14:paraId="1ABFAA89" w14:textId="77777777" w:rsidR="007C25ED" w:rsidRPr="007C25ED" w:rsidRDefault="007C25ED" w:rsidP="007C25ED">
      <w:pPr>
        <w:rPr>
          <w:rFonts w:ascii="New times roman" w:hAnsi="New times roman"/>
          <w:sz w:val="24"/>
          <w:szCs w:val="24"/>
        </w:rPr>
      </w:pPr>
    </w:p>
    <w:p w14:paraId="45FE0B08"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Davison, J. A. ‘The Complete Greek Drama’. The Classical Review. Oxford University Press, 1939, pp. 147–48</w:t>
      </w:r>
    </w:p>
    <w:p w14:paraId="3DFA13C3" w14:textId="77777777" w:rsidR="007C25ED" w:rsidRPr="007C25ED" w:rsidRDefault="007C25ED" w:rsidP="007C25ED">
      <w:pPr>
        <w:rPr>
          <w:rFonts w:ascii="New times roman" w:hAnsi="New times roman"/>
          <w:sz w:val="24"/>
          <w:szCs w:val="24"/>
        </w:rPr>
      </w:pPr>
    </w:p>
    <w:p w14:paraId="3DD50239"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Hegel, Georg Wilhelm Friedrich, The Philosophy of History, trans. by J. N. Findlay (Chicago: William Benton, 1952).</w:t>
      </w:r>
    </w:p>
    <w:p w14:paraId="2FC30B24" w14:textId="77777777" w:rsidR="007C25ED" w:rsidRPr="007C25ED" w:rsidRDefault="007C25ED" w:rsidP="007C25ED">
      <w:pPr>
        <w:rPr>
          <w:rFonts w:ascii="New times roman" w:hAnsi="New times roman"/>
          <w:sz w:val="24"/>
          <w:szCs w:val="24"/>
        </w:rPr>
      </w:pPr>
    </w:p>
    <w:p w14:paraId="688F3406"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Knox, Bernard. The Heroic Temper: Studies in Sophoclean Tragedy (Princeton: Princeton University Press, 1964).</w:t>
      </w:r>
    </w:p>
    <w:p w14:paraId="58CBC31D" w14:textId="77777777" w:rsidR="007C25ED" w:rsidRPr="007C25ED" w:rsidRDefault="007C25ED" w:rsidP="007C25ED">
      <w:pPr>
        <w:rPr>
          <w:rFonts w:ascii="New times roman" w:hAnsi="New times roman"/>
          <w:sz w:val="24"/>
          <w:szCs w:val="24"/>
        </w:rPr>
      </w:pPr>
    </w:p>
    <w:p w14:paraId="1C090FD2"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Hegel, Georg Wilhelm Friedrich, J. N. Findlay, and Arnold V. Miller, Phenomenology of Spirit (Oxford: Clarendon Press, 1979).</w:t>
      </w:r>
    </w:p>
    <w:p w14:paraId="22B0AE6D" w14:textId="77777777" w:rsidR="007C25ED" w:rsidRPr="007C25ED" w:rsidRDefault="007C25ED" w:rsidP="007C25ED">
      <w:pPr>
        <w:rPr>
          <w:rFonts w:ascii="New times roman" w:hAnsi="New times roman"/>
          <w:sz w:val="24"/>
          <w:szCs w:val="24"/>
        </w:rPr>
      </w:pPr>
    </w:p>
    <w:p w14:paraId="6F205BD8"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lastRenderedPageBreak/>
        <w:t>Greene, David. The Antigone of Sophocles. Berkeley: University of California Press, 1980.</w:t>
      </w:r>
    </w:p>
    <w:p w14:paraId="47705BEA"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Goldhill, Simon, Reading Greek Tragedy (Cambridge: Cambridge University Press, 1986).</w:t>
      </w:r>
    </w:p>
    <w:p w14:paraId="3C82EFF5" w14:textId="77777777" w:rsidR="007C25ED" w:rsidRPr="007C25ED" w:rsidRDefault="007C25ED" w:rsidP="007C25ED">
      <w:pPr>
        <w:rPr>
          <w:rFonts w:ascii="New times roman" w:hAnsi="New times roman"/>
          <w:sz w:val="24"/>
          <w:szCs w:val="24"/>
        </w:rPr>
      </w:pPr>
    </w:p>
    <w:p w14:paraId="063C5C94"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Brecht, Bertolt, Friedrich </w:t>
      </w:r>
      <w:proofErr w:type="spellStart"/>
      <w:r w:rsidRPr="007C25ED">
        <w:rPr>
          <w:rFonts w:ascii="New times roman" w:hAnsi="New times roman"/>
          <w:sz w:val="24"/>
          <w:szCs w:val="24"/>
        </w:rPr>
        <w:t>Hölderlin</w:t>
      </w:r>
      <w:proofErr w:type="spellEnd"/>
      <w:r w:rsidRPr="007C25ED">
        <w:rPr>
          <w:rFonts w:ascii="New times roman" w:hAnsi="New times roman"/>
          <w:sz w:val="24"/>
          <w:szCs w:val="24"/>
        </w:rPr>
        <w:t>, Judith Malina, and Sophocles, Sophocles’ Antigone (New York: Applause, 1990).</w:t>
      </w:r>
    </w:p>
    <w:p w14:paraId="54B853AF" w14:textId="77777777" w:rsidR="007C25ED" w:rsidRPr="007C25ED" w:rsidRDefault="007C25ED" w:rsidP="007C25ED">
      <w:pPr>
        <w:rPr>
          <w:rFonts w:ascii="New times roman" w:hAnsi="New times roman"/>
          <w:sz w:val="24"/>
          <w:szCs w:val="24"/>
        </w:rPr>
      </w:pPr>
    </w:p>
    <w:p w14:paraId="3E6F4A13"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Thoreau, Henry David. Civil Disobedience (Dover Publications, 1996).</w:t>
      </w:r>
    </w:p>
    <w:p w14:paraId="4E798B26" w14:textId="77777777" w:rsidR="007C25ED" w:rsidRPr="007C25ED" w:rsidRDefault="007C25ED" w:rsidP="007C25ED">
      <w:pPr>
        <w:rPr>
          <w:rFonts w:ascii="New times roman" w:hAnsi="New times roman"/>
          <w:sz w:val="24"/>
          <w:szCs w:val="24"/>
        </w:rPr>
      </w:pPr>
    </w:p>
    <w:p w14:paraId="27DC1F40" w14:textId="43C5CAC5"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Oldfield, Sybil. ‘Virginia Woolf and Antigone: Thinking against the Current.’ In Thinking Against the Current: Literature and Political Resistance, Liverpool University Press, 2015, pp. 165–176. Accessed January 12, 2025. </w:t>
      </w:r>
      <w:hyperlink r:id="rId7" w:history="1">
        <w:r w:rsidRPr="007C25ED">
          <w:rPr>
            <w:rStyle w:val="Hyperlink"/>
            <w:rFonts w:ascii="New times roman" w:hAnsi="New times roman"/>
            <w:sz w:val="24"/>
            <w:szCs w:val="24"/>
          </w:rPr>
          <w:t>https://doi.org/10.2307/j.ctv3029sn2.20</w:t>
        </w:r>
      </w:hyperlink>
      <w:r w:rsidRPr="007C25ED">
        <w:rPr>
          <w:rFonts w:ascii="New times roman" w:hAnsi="New times roman"/>
          <w:sz w:val="24"/>
          <w:szCs w:val="24"/>
        </w:rPr>
        <w:t xml:space="preserve"> </w:t>
      </w:r>
      <w:r w:rsidRPr="007C25ED">
        <w:rPr>
          <w:rFonts w:ascii="New times roman" w:hAnsi="New times roman"/>
          <w:sz w:val="24"/>
          <w:szCs w:val="24"/>
        </w:rPr>
        <w:t xml:space="preserve"> </w:t>
      </w:r>
    </w:p>
    <w:p w14:paraId="42A7AA0C" w14:textId="77777777" w:rsidR="007C25ED" w:rsidRPr="007C25ED" w:rsidRDefault="007C25ED" w:rsidP="007C25ED">
      <w:pPr>
        <w:rPr>
          <w:rFonts w:ascii="New times roman" w:hAnsi="New times roman"/>
          <w:sz w:val="24"/>
          <w:szCs w:val="24"/>
        </w:rPr>
      </w:pPr>
    </w:p>
    <w:p w14:paraId="3533795C"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Butler, Judith, Antigone's Claim: Kinship Between Life and Death (New York: Columbia University Press, 2000).</w:t>
      </w:r>
    </w:p>
    <w:p w14:paraId="12C38096" w14:textId="77777777" w:rsidR="007C25ED" w:rsidRPr="007C25ED" w:rsidRDefault="007C25ED" w:rsidP="007C25ED">
      <w:pPr>
        <w:rPr>
          <w:rFonts w:ascii="New times roman" w:hAnsi="New times roman"/>
          <w:sz w:val="24"/>
          <w:szCs w:val="24"/>
        </w:rPr>
      </w:pPr>
    </w:p>
    <w:p w14:paraId="7128BCE0"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Smith, Laura M. 'Antigone's Defiance: Gender and Authority in Sophocles'. Journal of Ancient Literature, vol. 45, no. 3 (2021), pp. 201-220.</w:t>
      </w:r>
    </w:p>
    <w:p w14:paraId="42E2DB08" w14:textId="77777777" w:rsidR="007C25ED" w:rsidRPr="007C25ED" w:rsidRDefault="007C25ED" w:rsidP="007C25ED">
      <w:pPr>
        <w:rPr>
          <w:rFonts w:ascii="New times roman" w:hAnsi="New times roman"/>
          <w:sz w:val="24"/>
          <w:szCs w:val="24"/>
        </w:rPr>
      </w:pPr>
    </w:p>
    <w:p w14:paraId="13F98CEA"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Griffith, Mark, Sophocles' Antigone: A Critical Study (London: Bloomsbury, 2013).</w:t>
      </w:r>
    </w:p>
    <w:p w14:paraId="679F99AA" w14:textId="77777777" w:rsidR="007C25ED" w:rsidRPr="007C25ED" w:rsidRDefault="007C25ED" w:rsidP="007C25ED">
      <w:pPr>
        <w:rPr>
          <w:rFonts w:ascii="New times roman" w:hAnsi="New times roman"/>
          <w:sz w:val="24"/>
          <w:szCs w:val="24"/>
        </w:rPr>
      </w:pPr>
    </w:p>
    <w:p w14:paraId="70D6F27C" w14:textId="26A90AA4"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Balaska, Maria, ‘Can There Be Happiness in Psychoanalysis? Creon and Antigone in Lacan’s Seminar VII’, College Literature, 45.2 (2018), 308–29 </w:t>
      </w:r>
      <w:hyperlink r:id="rId8" w:history="1">
        <w:r w:rsidRPr="007C25ED">
          <w:rPr>
            <w:rStyle w:val="Hyperlink"/>
            <w:rFonts w:ascii="New times roman" w:hAnsi="New times roman"/>
            <w:sz w:val="24"/>
            <w:szCs w:val="24"/>
          </w:rPr>
          <w:t>https://www.jstor.org/stable/48553673</w:t>
        </w:r>
      </w:hyperlink>
      <w:r w:rsidRPr="007C25ED">
        <w:rPr>
          <w:rFonts w:ascii="New times roman" w:hAnsi="New times roman"/>
          <w:sz w:val="24"/>
          <w:szCs w:val="24"/>
        </w:rPr>
        <w:t xml:space="preserve">  [</w:t>
      </w:r>
      <w:r w:rsidRPr="007C25ED">
        <w:rPr>
          <w:rFonts w:ascii="New times roman" w:hAnsi="New times roman"/>
          <w:sz w:val="24"/>
          <w:szCs w:val="24"/>
        </w:rPr>
        <w:t>accessed 12 January 2025].</w:t>
      </w:r>
    </w:p>
    <w:p w14:paraId="01217630" w14:textId="77777777" w:rsidR="007C25ED" w:rsidRPr="007C25ED" w:rsidRDefault="007C25ED" w:rsidP="007C25ED">
      <w:pPr>
        <w:rPr>
          <w:rFonts w:ascii="New times roman" w:hAnsi="New times roman"/>
          <w:sz w:val="24"/>
          <w:szCs w:val="24"/>
        </w:rPr>
      </w:pPr>
    </w:p>
    <w:p w14:paraId="7BBFBBB8" w14:textId="79471DEB"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Farneth, Molly, ‘Tragedy and the Social Construction of Norms,’ in Hegel’s Social Ethics: Religion, Conflict, and Rituals of Reconciliation (Princeton University Press, 2017), 13–34 </w:t>
      </w:r>
      <w:hyperlink r:id="rId9" w:history="1">
        <w:r w:rsidRPr="007C25ED">
          <w:rPr>
            <w:rStyle w:val="Hyperlink"/>
            <w:rFonts w:ascii="New times roman" w:hAnsi="New times roman"/>
            <w:sz w:val="24"/>
            <w:szCs w:val="24"/>
          </w:rPr>
          <w:t>https://doi.org/10.2307/j.ctt1vxm80v.6</w:t>
        </w:r>
      </w:hyperlink>
      <w:r w:rsidRPr="007C25ED">
        <w:rPr>
          <w:rFonts w:ascii="New times roman" w:hAnsi="New times roman"/>
          <w:sz w:val="24"/>
          <w:szCs w:val="24"/>
        </w:rPr>
        <w:t xml:space="preserve"> </w:t>
      </w:r>
      <w:r w:rsidRPr="007C25ED">
        <w:rPr>
          <w:rFonts w:ascii="New times roman" w:hAnsi="New times roman"/>
          <w:sz w:val="24"/>
          <w:szCs w:val="24"/>
        </w:rPr>
        <w:t xml:space="preserve"> [accessed 12 January 2025].</w:t>
      </w:r>
    </w:p>
    <w:p w14:paraId="0591691A" w14:textId="77777777" w:rsidR="007C25ED" w:rsidRPr="007C25ED" w:rsidRDefault="007C25ED" w:rsidP="007C25ED">
      <w:pPr>
        <w:rPr>
          <w:rFonts w:ascii="New times roman" w:hAnsi="New times roman"/>
          <w:sz w:val="24"/>
          <w:szCs w:val="24"/>
        </w:rPr>
      </w:pPr>
    </w:p>
    <w:p w14:paraId="3679AEA3" w14:textId="0443743D" w:rsidR="007C25ED" w:rsidRPr="007C25ED" w:rsidRDefault="007C25ED" w:rsidP="007C25ED">
      <w:pPr>
        <w:rPr>
          <w:rFonts w:ascii="New times roman" w:hAnsi="New times roman"/>
          <w:sz w:val="24"/>
          <w:szCs w:val="24"/>
        </w:rPr>
      </w:pPr>
      <w:r w:rsidRPr="007C25ED">
        <w:rPr>
          <w:rFonts w:ascii="New times roman" w:hAnsi="New times roman"/>
          <w:sz w:val="24"/>
          <w:szCs w:val="24"/>
        </w:rPr>
        <w:t>Plescia, Joseph, 'SOPHOCLES’ ‘ANTIGONE:’ CREON OR TYRANNY ON TRIAL', Aevum, 50.1/2 (1976), 129–</w:t>
      </w:r>
      <w:r w:rsidRPr="007C25ED">
        <w:rPr>
          <w:rFonts w:ascii="New times roman" w:hAnsi="New times roman"/>
          <w:sz w:val="24"/>
          <w:szCs w:val="24"/>
        </w:rPr>
        <w:t xml:space="preserve">36 </w:t>
      </w:r>
      <w:hyperlink r:id="rId10" w:history="1">
        <w:r w:rsidRPr="007C25ED">
          <w:rPr>
            <w:rStyle w:val="Hyperlink"/>
            <w:rFonts w:ascii="New times roman" w:hAnsi="New times roman"/>
            <w:sz w:val="24"/>
            <w:szCs w:val="24"/>
          </w:rPr>
          <w:t>http://www.jstor.org/stable/25821516</w:t>
        </w:r>
      </w:hyperlink>
      <w:proofErr w:type="gramStart"/>
      <w:r w:rsidRPr="007C25ED">
        <w:rPr>
          <w:rFonts w:ascii="New times roman" w:hAnsi="New times roman"/>
          <w:sz w:val="24"/>
          <w:szCs w:val="24"/>
        </w:rPr>
        <w:t xml:space="preserve"> </w:t>
      </w:r>
      <w:r w:rsidRPr="007C25ED">
        <w:rPr>
          <w:rFonts w:ascii="New times roman" w:hAnsi="New times roman"/>
          <w:sz w:val="24"/>
          <w:szCs w:val="24"/>
        </w:rPr>
        <w:t xml:space="preserve">  [</w:t>
      </w:r>
      <w:proofErr w:type="gramEnd"/>
      <w:r w:rsidRPr="007C25ED">
        <w:rPr>
          <w:rFonts w:ascii="New times roman" w:hAnsi="New times roman"/>
          <w:sz w:val="24"/>
          <w:szCs w:val="24"/>
        </w:rPr>
        <w:t>accessed 12 January 2025]</w:t>
      </w:r>
    </w:p>
    <w:p w14:paraId="752D72C9" w14:textId="77777777" w:rsidR="007C25ED" w:rsidRPr="007C25ED" w:rsidRDefault="007C25ED" w:rsidP="007C25ED">
      <w:pPr>
        <w:rPr>
          <w:rFonts w:ascii="New times roman" w:hAnsi="New times roman"/>
          <w:sz w:val="24"/>
          <w:szCs w:val="24"/>
        </w:rPr>
      </w:pPr>
    </w:p>
    <w:p w14:paraId="6B998579" w14:textId="2C712937" w:rsidR="007C25ED" w:rsidRPr="007C25ED" w:rsidRDefault="007C25ED" w:rsidP="007C25ED">
      <w:pPr>
        <w:rPr>
          <w:rFonts w:ascii="New times roman" w:hAnsi="New times roman"/>
          <w:sz w:val="24"/>
          <w:szCs w:val="24"/>
        </w:rPr>
      </w:pPr>
      <w:r w:rsidRPr="007C25ED">
        <w:rPr>
          <w:rFonts w:ascii="New times roman" w:hAnsi="New times roman"/>
          <w:sz w:val="24"/>
          <w:szCs w:val="24"/>
        </w:rPr>
        <w:lastRenderedPageBreak/>
        <w:t xml:space="preserve">Wiltshire, Susan Ford, ‘Antigone’s Disobedience’, Arethusa, 9.1 (1976), 29–36 </w:t>
      </w:r>
      <w:hyperlink r:id="rId11" w:history="1">
        <w:r w:rsidRPr="007C25ED">
          <w:rPr>
            <w:rStyle w:val="Hyperlink"/>
            <w:rFonts w:ascii="New times roman" w:hAnsi="New times roman"/>
            <w:sz w:val="24"/>
            <w:szCs w:val="24"/>
          </w:rPr>
          <w:t>http://www.jstor.org/stable/26307534</w:t>
        </w:r>
      </w:hyperlink>
      <w:r w:rsidRPr="007C25ED">
        <w:rPr>
          <w:rFonts w:ascii="New times roman" w:hAnsi="New times roman"/>
          <w:sz w:val="24"/>
          <w:szCs w:val="24"/>
        </w:rPr>
        <w:t xml:space="preserve">  [</w:t>
      </w:r>
      <w:r w:rsidRPr="007C25ED">
        <w:rPr>
          <w:rFonts w:ascii="New times roman" w:hAnsi="New times roman"/>
          <w:sz w:val="24"/>
          <w:szCs w:val="24"/>
        </w:rPr>
        <w:t>accessed 12 January 2025].</w:t>
      </w:r>
    </w:p>
    <w:p w14:paraId="7BA267EB" w14:textId="77777777" w:rsidR="007C25ED" w:rsidRPr="007C25ED" w:rsidRDefault="007C25ED" w:rsidP="007C25ED">
      <w:pPr>
        <w:rPr>
          <w:rFonts w:ascii="New times roman" w:hAnsi="New times roman"/>
          <w:sz w:val="24"/>
          <w:szCs w:val="24"/>
        </w:rPr>
      </w:pPr>
    </w:p>
    <w:p w14:paraId="2079910B" w14:textId="7791A55D"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Tiefenbrun, Susan W., ‘On Civil Disobedience, Jurisprudence, Feminism and the Law in the Antigone’s of Sophocles and Anouilh’, Cardozo Studies in Law and Literature, 11.1 (1999), 35–51 </w:t>
      </w:r>
      <w:hyperlink r:id="rId12" w:history="1">
        <w:r w:rsidRPr="007C25ED">
          <w:rPr>
            <w:rStyle w:val="Hyperlink"/>
            <w:rFonts w:ascii="New times roman" w:hAnsi="New times roman"/>
            <w:sz w:val="24"/>
            <w:szCs w:val="24"/>
          </w:rPr>
          <w:t>https://doi.org/10.2307/27670201</w:t>
        </w:r>
      </w:hyperlink>
      <w:r w:rsidRPr="007C25ED">
        <w:rPr>
          <w:rFonts w:ascii="New times roman" w:hAnsi="New times roman"/>
          <w:sz w:val="24"/>
          <w:szCs w:val="24"/>
        </w:rPr>
        <w:t xml:space="preserve">  [</w:t>
      </w:r>
      <w:r w:rsidRPr="007C25ED">
        <w:rPr>
          <w:rFonts w:ascii="New times roman" w:hAnsi="New times roman"/>
          <w:sz w:val="24"/>
          <w:szCs w:val="24"/>
        </w:rPr>
        <w:t>accessed 12 January 2025].</w:t>
      </w:r>
    </w:p>
    <w:p w14:paraId="72BE1169" w14:textId="77777777" w:rsidR="007C25ED" w:rsidRPr="007C25ED" w:rsidRDefault="007C25ED" w:rsidP="007C25ED">
      <w:pPr>
        <w:rPr>
          <w:rFonts w:ascii="New times roman" w:hAnsi="New times roman"/>
          <w:sz w:val="24"/>
          <w:szCs w:val="24"/>
        </w:rPr>
      </w:pPr>
    </w:p>
    <w:p w14:paraId="00AECEC0" w14:textId="625AA6BF"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Walker, Kathryn, ‘Between Individual Principles and Communal Obligation: Ethical Duty in </w:t>
      </w:r>
      <w:proofErr w:type="spellStart"/>
      <w:r w:rsidRPr="007C25ED">
        <w:rPr>
          <w:rFonts w:ascii="New times roman" w:hAnsi="New times roman"/>
          <w:sz w:val="24"/>
          <w:szCs w:val="24"/>
        </w:rPr>
        <w:t>Sophocles’s</w:t>
      </w:r>
      <w:proofErr w:type="spellEnd"/>
      <w:r w:rsidRPr="007C25ED">
        <w:rPr>
          <w:rFonts w:ascii="New times roman" w:hAnsi="New times roman"/>
          <w:sz w:val="24"/>
          <w:szCs w:val="24"/>
        </w:rPr>
        <w:t xml:space="preserve"> ‘Antigone,’ Mosaic: An Interdisciplinary Critical Journal, 41.3 (2008), 199–214 </w:t>
      </w:r>
      <w:hyperlink r:id="rId13" w:history="1">
        <w:r w:rsidRPr="007C25ED">
          <w:rPr>
            <w:rStyle w:val="Hyperlink"/>
            <w:rFonts w:ascii="New times roman" w:hAnsi="New times roman"/>
            <w:sz w:val="24"/>
            <w:szCs w:val="24"/>
          </w:rPr>
          <w:t>http://www.jstor.org/stable/44029648</w:t>
        </w:r>
      </w:hyperlink>
      <w:r w:rsidRPr="007C25ED">
        <w:rPr>
          <w:rFonts w:ascii="New times roman" w:hAnsi="New times roman"/>
          <w:sz w:val="24"/>
          <w:szCs w:val="24"/>
        </w:rPr>
        <w:t xml:space="preserve">  [</w:t>
      </w:r>
      <w:r w:rsidRPr="007C25ED">
        <w:rPr>
          <w:rFonts w:ascii="New times roman" w:hAnsi="New times roman"/>
          <w:sz w:val="24"/>
          <w:szCs w:val="24"/>
        </w:rPr>
        <w:t>accessed 12 Jan. 2025].</w:t>
      </w:r>
    </w:p>
    <w:p w14:paraId="4D3E5AEA" w14:textId="77777777" w:rsidR="007C25ED" w:rsidRPr="007C25ED" w:rsidRDefault="007C25ED" w:rsidP="007C25ED">
      <w:pPr>
        <w:rPr>
          <w:rFonts w:ascii="New times roman" w:hAnsi="New times roman"/>
          <w:sz w:val="24"/>
          <w:szCs w:val="24"/>
        </w:rPr>
      </w:pPr>
    </w:p>
    <w:p w14:paraId="6C32A191" w14:textId="56553472"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Deutsch, Rosamund E., ‘Anouilh’s Antigone,’ The Classical Journal, 42.1 (1946), 14–17 </w:t>
      </w:r>
      <w:hyperlink r:id="rId14" w:history="1">
        <w:r w:rsidRPr="007C25ED">
          <w:rPr>
            <w:rStyle w:val="Hyperlink"/>
            <w:rFonts w:ascii="New times roman" w:hAnsi="New times roman"/>
            <w:sz w:val="24"/>
            <w:szCs w:val="24"/>
          </w:rPr>
          <w:t>http://www.jstor.org/stable/3292337</w:t>
        </w:r>
      </w:hyperlink>
      <w:r w:rsidRPr="007C25ED">
        <w:rPr>
          <w:rFonts w:ascii="New times roman" w:hAnsi="New times roman"/>
          <w:sz w:val="24"/>
          <w:szCs w:val="24"/>
        </w:rPr>
        <w:t xml:space="preserve">  [</w:t>
      </w:r>
      <w:r w:rsidRPr="007C25ED">
        <w:rPr>
          <w:rFonts w:ascii="New times roman" w:hAnsi="New times roman"/>
          <w:sz w:val="24"/>
          <w:szCs w:val="24"/>
        </w:rPr>
        <w:t>accessed 12 Jan. 2025].</w:t>
      </w:r>
    </w:p>
    <w:p w14:paraId="6D6D25D1" w14:textId="77777777" w:rsidR="007C25ED" w:rsidRPr="007C25ED" w:rsidRDefault="007C25ED" w:rsidP="007C25ED">
      <w:pPr>
        <w:rPr>
          <w:rFonts w:ascii="New times roman" w:hAnsi="New times roman"/>
          <w:sz w:val="24"/>
          <w:szCs w:val="24"/>
        </w:rPr>
      </w:pPr>
    </w:p>
    <w:p w14:paraId="0F50C3BB" w14:textId="20BEF69C"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MacInnes, Deborah. ‘Gainsaying the Prophet: Jocasta, Tiresias, and the Lille </w:t>
      </w:r>
      <w:proofErr w:type="spellStart"/>
      <w:r w:rsidRPr="007C25ED">
        <w:rPr>
          <w:rFonts w:ascii="New times roman" w:hAnsi="New times roman"/>
          <w:sz w:val="24"/>
          <w:szCs w:val="24"/>
        </w:rPr>
        <w:t>Stesichorus</w:t>
      </w:r>
      <w:proofErr w:type="spellEnd"/>
      <w:r w:rsidRPr="007C25ED">
        <w:rPr>
          <w:rFonts w:ascii="New times roman" w:hAnsi="New times roman"/>
          <w:sz w:val="24"/>
          <w:szCs w:val="24"/>
        </w:rPr>
        <w:t xml:space="preserve">.’ </w:t>
      </w:r>
      <w:proofErr w:type="spellStart"/>
      <w:r w:rsidRPr="007C25ED">
        <w:rPr>
          <w:rFonts w:ascii="New times roman" w:hAnsi="New times roman"/>
          <w:sz w:val="24"/>
          <w:szCs w:val="24"/>
        </w:rPr>
        <w:t>Quaderni</w:t>
      </w:r>
      <w:proofErr w:type="spellEnd"/>
      <w:r w:rsidRPr="007C25ED">
        <w:rPr>
          <w:rFonts w:ascii="New times roman" w:hAnsi="New times roman"/>
          <w:sz w:val="24"/>
          <w:szCs w:val="24"/>
        </w:rPr>
        <w:t xml:space="preserve"> Urbinati di Cultura Classica, 86.2 (2007): 95–108. Accessed January 12, 2025. </w:t>
      </w:r>
      <w:hyperlink r:id="rId15" w:history="1">
        <w:r w:rsidRPr="007C25ED">
          <w:rPr>
            <w:rStyle w:val="Hyperlink"/>
            <w:rFonts w:ascii="New times roman" w:hAnsi="New times roman"/>
            <w:sz w:val="24"/>
            <w:szCs w:val="24"/>
          </w:rPr>
          <w:t>http://www.jstor.org/stable/20546428</w:t>
        </w:r>
      </w:hyperlink>
      <w:r w:rsidRPr="007C25ED">
        <w:rPr>
          <w:rFonts w:ascii="New times roman" w:hAnsi="New times roman"/>
          <w:sz w:val="24"/>
          <w:szCs w:val="24"/>
        </w:rPr>
        <w:t xml:space="preserve"> </w:t>
      </w:r>
      <w:r w:rsidRPr="007C25ED">
        <w:rPr>
          <w:rFonts w:ascii="New times roman" w:hAnsi="New times roman"/>
          <w:sz w:val="24"/>
          <w:szCs w:val="24"/>
        </w:rPr>
        <w:t xml:space="preserve"> </w:t>
      </w:r>
    </w:p>
    <w:p w14:paraId="287199B4" w14:textId="77777777" w:rsidR="007C25ED" w:rsidRPr="007C25ED" w:rsidRDefault="007C25ED" w:rsidP="007C25ED">
      <w:pPr>
        <w:rPr>
          <w:rFonts w:ascii="New times roman" w:hAnsi="New times roman"/>
          <w:sz w:val="24"/>
          <w:szCs w:val="24"/>
        </w:rPr>
      </w:pPr>
    </w:p>
    <w:p w14:paraId="29224DC8" w14:textId="24849911"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Mason, P. G. ‘An Interpretation of Sophocles.’ The Classical Review, 33.1 (1983): 5–7. Accessed January 12, 2025. </w:t>
      </w:r>
      <w:hyperlink r:id="rId16" w:history="1">
        <w:r w:rsidRPr="007C25ED">
          <w:rPr>
            <w:rStyle w:val="Hyperlink"/>
            <w:rFonts w:ascii="New times roman" w:hAnsi="New times roman"/>
            <w:sz w:val="24"/>
            <w:szCs w:val="24"/>
          </w:rPr>
          <w:t>http://www.jstor.org/stable/3062948</w:t>
        </w:r>
      </w:hyperlink>
      <w:r w:rsidRPr="007C25ED">
        <w:rPr>
          <w:rFonts w:ascii="New times roman" w:hAnsi="New times roman"/>
          <w:sz w:val="24"/>
          <w:szCs w:val="24"/>
        </w:rPr>
        <w:t xml:space="preserve"> </w:t>
      </w:r>
    </w:p>
    <w:p w14:paraId="240EBEC2" w14:textId="77777777" w:rsidR="007C25ED" w:rsidRPr="007C25ED" w:rsidRDefault="007C25ED" w:rsidP="007C25ED">
      <w:pPr>
        <w:rPr>
          <w:rFonts w:ascii="New times roman" w:hAnsi="New times roman"/>
          <w:sz w:val="24"/>
          <w:szCs w:val="24"/>
        </w:rPr>
      </w:pPr>
    </w:p>
    <w:p w14:paraId="64B8EECB"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Smith, Sarah N. H. 'Creon and the Politics of Power in Antigone'. The Classical Journal, vol. 113, no. 4 (2018), pp. 341-360.</w:t>
      </w:r>
    </w:p>
    <w:p w14:paraId="25ADC52E" w14:textId="77777777" w:rsidR="007C25ED" w:rsidRPr="007C25ED" w:rsidRDefault="007C25ED" w:rsidP="007C25ED">
      <w:pPr>
        <w:rPr>
          <w:rFonts w:ascii="New times roman" w:hAnsi="New times roman"/>
          <w:sz w:val="24"/>
          <w:szCs w:val="24"/>
        </w:rPr>
      </w:pPr>
    </w:p>
    <w:p w14:paraId="16722A9D"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Harrison, Stephen, ‘Law and the Body in Antigone’, Classical Quarterly, 54.2 (2004), 395-415.</w:t>
      </w:r>
    </w:p>
    <w:p w14:paraId="34D985A7"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Adams, S. M. ‘The ‘Antigone’ of Sophocles.’ Phoenix, 9.2 (1955): 47–62.</w:t>
      </w:r>
    </w:p>
    <w:p w14:paraId="17E92F7D" w14:textId="77777777" w:rsidR="007C25ED" w:rsidRPr="007C25ED" w:rsidRDefault="007C25ED" w:rsidP="007C25ED">
      <w:pPr>
        <w:rPr>
          <w:rFonts w:ascii="New times roman" w:hAnsi="New times roman"/>
          <w:sz w:val="24"/>
          <w:szCs w:val="24"/>
        </w:rPr>
      </w:pPr>
    </w:p>
    <w:p w14:paraId="67CF7D63" w14:textId="77777777" w:rsidR="007C25ED" w:rsidRPr="007C25ED" w:rsidRDefault="007C25ED" w:rsidP="007C25ED">
      <w:pPr>
        <w:rPr>
          <w:rFonts w:ascii="New times roman" w:hAnsi="New times roman"/>
          <w:sz w:val="24"/>
          <w:szCs w:val="24"/>
        </w:rPr>
      </w:pPr>
      <w:r w:rsidRPr="007C25ED">
        <w:rPr>
          <w:rFonts w:ascii="New times roman" w:hAnsi="New times roman"/>
          <w:sz w:val="24"/>
          <w:szCs w:val="24"/>
        </w:rPr>
        <w:t>Cixous, Hélène, 'The Laugh of the Medusa', Signs: Journal of Women in Culture and Society, 1.4 (1976), 875-893.</w:t>
      </w:r>
    </w:p>
    <w:p w14:paraId="1E0A3AE6" w14:textId="77777777" w:rsidR="007C25ED" w:rsidRPr="007C25ED" w:rsidRDefault="007C25ED" w:rsidP="007C25ED">
      <w:pPr>
        <w:rPr>
          <w:rFonts w:ascii="New times roman" w:hAnsi="New times roman"/>
          <w:sz w:val="24"/>
          <w:szCs w:val="24"/>
        </w:rPr>
      </w:pPr>
    </w:p>
    <w:p w14:paraId="09824DAB" w14:textId="61C4A0FE" w:rsidR="007C25ED" w:rsidRPr="007C25ED" w:rsidRDefault="007C25ED" w:rsidP="007C25ED">
      <w:pPr>
        <w:rPr>
          <w:rFonts w:ascii="New times roman" w:hAnsi="New times roman"/>
          <w:sz w:val="24"/>
          <w:szCs w:val="24"/>
        </w:rPr>
      </w:pPr>
      <w:r w:rsidRPr="007C25ED">
        <w:rPr>
          <w:rFonts w:ascii="New times roman" w:hAnsi="New times roman"/>
          <w:sz w:val="24"/>
          <w:szCs w:val="24"/>
        </w:rPr>
        <w:t xml:space="preserve">Slavitt, David R. The Theban Plays of Sophocles. New Haven: Yale University Press, 2007. Accessed January 12, 2025. </w:t>
      </w:r>
      <w:hyperlink r:id="rId17" w:history="1">
        <w:r w:rsidRPr="007C25ED">
          <w:rPr>
            <w:rStyle w:val="Hyperlink"/>
            <w:rFonts w:ascii="New times roman" w:hAnsi="New times roman"/>
            <w:sz w:val="24"/>
            <w:szCs w:val="24"/>
          </w:rPr>
          <w:t>http://www.jstor.org/stable/j.ctt1np92r</w:t>
        </w:r>
      </w:hyperlink>
      <w:r w:rsidRPr="007C25ED">
        <w:rPr>
          <w:rFonts w:ascii="New times roman" w:hAnsi="New times roman"/>
          <w:sz w:val="24"/>
          <w:szCs w:val="24"/>
        </w:rPr>
        <w:t xml:space="preserve"> </w:t>
      </w:r>
      <w:r w:rsidRPr="007C25ED">
        <w:rPr>
          <w:rFonts w:ascii="New times roman" w:hAnsi="New times roman"/>
          <w:sz w:val="24"/>
          <w:szCs w:val="24"/>
        </w:rPr>
        <w:t xml:space="preserve"> </w:t>
      </w:r>
    </w:p>
    <w:p w14:paraId="66EA50DE" w14:textId="77777777" w:rsidR="007C25ED" w:rsidRPr="007C25ED" w:rsidRDefault="007C25ED" w:rsidP="007C25ED">
      <w:pPr>
        <w:rPr>
          <w:rFonts w:ascii="New times roman" w:hAnsi="New times roman"/>
          <w:sz w:val="24"/>
          <w:szCs w:val="24"/>
        </w:rPr>
      </w:pPr>
    </w:p>
    <w:p w14:paraId="462D33E2" w14:textId="77777777" w:rsidR="007C25ED" w:rsidRPr="007C25ED" w:rsidRDefault="007C25ED" w:rsidP="007C25ED">
      <w:pPr>
        <w:rPr>
          <w:rFonts w:ascii="New times roman" w:hAnsi="New times roman"/>
          <w:sz w:val="24"/>
          <w:szCs w:val="24"/>
        </w:rPr>
      </w:pPr>
    </w:p>
    <w:p w14:paraId="468FD533" w14:textId="0233E9C6" w:rsidR="00CD0CAC" w:rsidRPr="007C25ED" w:rsidRDefault="00CD0CAC" w:rsidP="00322848">
      <w:pPr>
        <w:rPr>
          <w:rFonts w:ascii="New times roman" w:hAnsi="New times roman"/>
          <w:sz w:val="24"/>
          <w:szCs w:val="24"/>
        </w:rPr>
      </w:pPr>
    </w:p>
    <w:sectPr w:rsidR="00CD0CAC" w:rsidRPr="007C25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4E556" w14:textId="77777777" w:rsidR="004871A0" w:rsidRDefault="004871A0" w:rsidP="00E81243">
      <w:pPr>
        <w:spacing w:after="0" w:line="240" w:lineRule="auto"/>
      </w:pPr>
      <w:r>
        <w:separator/>
      </w:r>
    </w:p>
  </w:endnote>
  <w:endnote w:type="continuationSeparator" w:id="0">
    <w:p w14:paraId="33DE566D" w14:textId="77777777" w:rsidR="004871A0" w:rsidRDefault="004871A0" w:rsidP="00E81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C0B9B" w14:textId="77777777" w:rsidR="004871A0" w:rsidRDefault="004871A0" w:rsidP="00E81243">
      <w:pPr>
        <w:spacing w:after="0" w:line="240" w:lineRule="auto"/>
      </w:pPr>
      <w:r>
        <w:separator/>
      </w:r>
    </w:p>
  </w:footnote>
  <w:footnote w:type="continuationSeparator" w:id="0">
    <w:p w14:paraId="5A0F857D" w14:textId="77777777" w:rsidR="004871A0" w:rsidRDefault="004871A0" w:rsidP="00E81243">
      <w:pPr>
        <w:spacing w:after="0" w:line="240" w:lineRule="auto"/>
      </w:pPr>
      <w:r>
        <w:continuationSeparator/>
      </w:r>
    </w:p>
  </w:footnote>
  <w:footnote w:id="1">
    <w:p w14:paraId="43641AA6" w14:textId="6E57DE67" w:rsidR="00CF2456" w:rsidRPr="00081915" w:rsidRDefault="00437B6B" w:rsidP="00CF2456">
      <w:pPr>
        <w:rPr>
          <w:rFonts w:ascii="New times roman" w:eastAsia="Times New Roman" w:hAnsi="New times roman" w:cs="Times New Roman"/>
          <w:kern w:val="0"/>
          <w:sz w:val="18"/>
          <w:szCs w:val="18"/>
          <w:lang w:eastAsia="en-GB"/>
          <w14:ligatures w14:val="none"/>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0D7CCA" w:rsidRPr="00081915">
        <w:rPr>
          <w:rFonts w:ascii="New times roman" w:hAnsi="New times roman"/>
          <w:sz w:val="18"/>
          <w:szCs w:val="18"/>
        </w:rPr>
        <w:t xml:space="preserve">David R. Slavitt, </w:t>
      </w:r>
      <w:r w:rsidR="000D7CCA" w:rsidRPr="00081915">
        <w:rPr>
          <w:rFonts w:ascii="New times roman" w:hAnsi="New times roman"/>
          <w:i/>
          <w:iCs/>
          <w:sz w:val="18"/>
          <w:szCs w:val="18"/>
        </w:rPr>
        <w:t>The Theban Plays of Sophocles</w:t>
      </w:r>
      <w:r w:rsidR="000D7CCA" w:rsidRPr="00081915">
        <w:rPr>
          <w:rFonts w:ascii="New times roman" w:hAnsi="New times roman"/>
          <w:sz w:val="18"/>
          <w:szCs w:val="18"/>
        </w:rPr>
        <w:t xml:space="preserve"> (New Haven: Yale University Press, 2007), accessed January 12, 2025, </w:t>
      </w:r>
      <w:hyperlink r:id="rId1" w:history="1">
        <w:r w:rsidR="000D7CCA" w:rsidRPr="00081915">
          <w:rPr>
            <w:rStyle w:val="Hyperlink"/>
            <w:rFonts w:ascii="New times roman" w:hAnsi="New times roman"/>
            <w:sz w:val="18"/>
            <w:szCs w:val="18"/>
          </w:rPr>
          <w:t>http://www.jstor.org/stable/j.ctt1np92r</w:t>
        </w:r>
      </w:hyperlink>
      <w:r w:rsidR="000D7CCA" w:rsidRPr="00081915">
        <w:rPr>
          <w:rFonts w:ascii="New times roman" w:hAnsi="New times roman"/>
          <w:sz w:val="18"/>
          <w:szCs w:val="18"/>
        </w:rPr>
        <w:t xml:space="preserve"> </w:t>
      </w:r>
    </w:p>
    <w:p w14:paraId="6D011005" w14:textId="725F1C8E" w:rsidR="00437B6B" w:rsidRPr="00081915" w:rsidRDefault="00437B6B">
      <w:pPr>
        <w:pStyle w:val="FootnoteText"/>
        <w:rPr>
          <w:rFonts w:ascii="New times roman" w:hAnsi="New times roman"/>
          <w:sz w:val="18"/>
          <w:szCs w:val="18"/>
        </w:rPr>
      </w:pPr>
    </w:p>
  </w:footnote>
  <w:footnote w:id="2">
    <w:p w14:paraId="7A60BC48" w14:textId="0098C746" w:rsidR="00892260" w:rsidRPr="00081915" w:rsidRDefault="00892260">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8B36CC" w:rsidRPr="00081915">
        <w:rPr>
          <w:rFonts w:ascii="New times roman" w:hAnsi="New times roman"/>
          <w:sz w:val="18"/>
          <w:szCs w:val="18"/>
        </w:rPr>
        <w:t xml:space="preserve"> S. M. Adams, ‘</w:t>
      </w:r>
      <w:r w:rsidR="008B36CC" w:rsidRPr="00081915">
        <w:rPr>
          <w:rFonts w:ascii="New times roman" w:hAnsi="New times roman"/>
          <w:i/>
          <w:iCs/>
          <w:sz w:val="18"/>
          <w:szCs w:val="18"/>
        </w:rPr>
        <w:t>The ‘Antigone’ of Sophocles,</w:t>
      </w:r>
      <w:r w:rsidR="008B36CC" w:rsidRPr="00081915">
        <w:rPr>
          <w:rFonts w:ascii="New times roman" w:hAnsi="New times roman"/>
          <w:sz w:val="18"/>
          <w:szCs w:val="18"/>
        </w:rPr>
        <w:t xml:space="preserve">’ </w:t>
      </w:r>
      <w:r w:rsidR="008B36CC" w:rsidRPr="00081915">
        <w:rPr>
          <w:rFonts w:ascii="New times roman" w:hAnsi="New times roman"/>
          <w:i/>
          <w:iCs/>
          <w:sz w:val="18"/>
          <w:szCs w:val="18"/>
        </w:rPr>
        <w:t>Phoenix</w:t>
      </w:r>
      <w:r w:rsidR="008B36CC" w:rsidRPr="00081915">
        <w:rPr>
          <w:rFonts w:ascii="New times roman" w:hAnsi="New times roman"/>
          <w:sz w:val="18"/>
          <w:szCs w:val="18"/>
        </w:rPr>
        <w:t xml:space="preserve">, 9.2 (1955), pp. 47–62, </w:t>
      </w:r>
      <w:hyperlink r:id="rId2" w:history="1">
        <w:r w:rsidR="008B36CC" w:rsidRPr="00081915">
          <w:rPr>
            <w:rStyle w:val="Hyperlink"/>
            <w:rFonts w:ascii="New times roman" w:hAnsi="New times roman"/>
            <w:sz w:val="18"/>
            <w:szCs w:val="18"/>
          </w:rPr>
          <w:t>https://doi.org/10.2307/1086704</w:t>
        </w:r>
      </w:hyperlink>
      <w:r w:rsidR="008B36CC" w:rsidRPr="00081915">
        <w:rPr>
          <w:rFonts w:ascii="New times roman" w:hAnsi="New times roman"/>
          <w:sz w:val="18"/>
          <w:szCs w:val="18"/>
        </w:rPr>
        <w:t xml:space="preserve">  </w:t>
      </w:r>
    </w:p>
  </w:footnote>
  <w:footnote w:id="3">
    <w:p w14:paraId="53F521DE" w14:textId="40BD83CF" w:rsidR="00580A11" w:rsidRPr="00081915" w:rsidRDefault="00580A11">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FD3C3D" w:rsidRPr="00081915">
        <w:rPr>
          <w:rFonts w:ascii="New times roman" w:hAnsi="New times roman"/>
          <w:sz w:val="18"/>
          <w:szCs w:val="18"/>
        </w:rPr>
        <w:t xml:space="preserve">Joseph Plescia, 'SOPHOCLES’ ‘ANTIGONE:’ CREON OR TYRANNY ON TRIAL', </w:t>
      </w:r>
      <w:r w:rsidR="00FD3C3D" w:rsidRPr="00081915">
        <w:rPr>
          <w:rFonts w:ascii="New times roman" w:hAnsi="New times roman"/>
          <w:i/>
          <w:iCs/>
          <w:sz w:val="18"/>
          <w:szCs w:val="18"/>
        </w:rPr>
        <w:t>Aevum</w:t>
      </w:r>
      <w:r w:rsidR="00FD3C3D" w:rsidRPr="00081915">
        <w:rPr>
          <w:rFonts w:ascii="New times roman" w:hAnsi="New times roman"/>
          <w:sz w:val="18"/>
          <w:szCs w:val="18"/>
        </w:rPr>
        <w:t xml:space="preserve">, 50.1/2 (1976), 129–36  </w:t>
      </w:r>
      <w:hyperlink r:id="rId3" w:history="1">
        <w:r w:rsidR="00FD3C3D" w:rsidRPr="00081915">
          <w:rPr>
            <w:rStyle w:val="Hyperlink"/>
            <w:rFonts w:ascii="New times roman" w:hAnsi="New times roman"/>
            <w:sz w:val="18"/>
            <w:szCs w:val="18"/>
          </w:rPr>
          <w:t>http://www.jstor.org/stable/25821516</w:t>
        </w:r>
      </w:hyperlink>
      <w:r w:rsidR="00FD3C3D" w:rsidRPr="00081915">
        <w:rPr>
          <w:rFonts w:ascii="New times roman" w:hAnsi="New times roman"/>
          <w:sz w:val="18"/>
          <w:szCs w:val="18"/>
        </w:rPr>
        <w:t xml:space="preserve"> </w:t>
      </w:r>
    </w:p>
  </w:footnote>
  <w:footnote w:id="4">
    <w:p w14:paraId="161273C9" w14:textId="33FDE343" w:rsidR="00400261" w:rsidRPr="00081915" w:rsidRDefault="00400261">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3875ED" w:rsidRPr="00081915">
        <w:rPr>
          <w:rFonts w:ascii="New times roman" w:hAnsi="New times roman"/>
          <w:sz w:val="18"/>
          <w:szCs w:val="18"/>
        </w:rPr>
        <w:t xml:space="preserve"> </w:t>
      </w:r>
      <w:r w:rsidR="00316840" w:rsidRPr="00081915">
        <w:rPr>
          <w:rFonts w:ascii="New times roman" w:hAnsi="New times roman"/>
          <w:sz w:val="18"/>
          <w:szCs w:val="18"/>
        </w:rPr>
        <w:t xml:space="preserve">Susan Ford Wiltshire, 'ANTIGONE’S DISOBEDIENCE', </w:t>
      </w:r>
      <w:r w:rsidR="00316840" w:rsidRPr="00081915">
        <w:rPr>
          <w:rFonts w:ascii="New times roman" w:hAnsi="New times roman"/>
          <w:i/>
          <w:iCs/>
          <w:sz w:val="18"/>
          <w:szCs w:val="18"/>
        </w:rPr>
        <w:t>Arethusa</w:t>
      </w:r>
      <w:r w:rsidR="00316840" w:rsidRPr="00081915">
        <w:rPr>
          <w:rFonts w:ascii="New times roman" w:hAnsi="New times roman"/>
          <w:sz w:val="18"/>
          <w:szCs w:val="18"/>
        </w:rPr>
        <w:t xml:space="preserve">, 9.1 (1976), 29–36 </w:t>
      </w:r>
      <w:hyperlink r:id="rId4" w:history="1">
        <w:r w:rsidR="00316840" w:rsidRPr="00081915">
          <w:rPr>
            <w:rStyle w:val="Hyperlink"/>
            <w:rFonts w:ascii="New times roman" w:hAnsi="New times roman"/>
            <w:sz w:val="18"/>
            <w:szCs w:val="18"/>
          </w:rPr>
          <w:t>http://www.jstor.org/stable/26307534</w:t>
        </w:r>
      </w:hyperlink>
      <w:r w:rsidR="00316840" w:rsidRPr="00081915">
        <w:rPr>
          <w:rFonts w:ascii="New times roman" w:hAnsi="New times roman"/>
          <w:sz w:val="18"/>
          <w:szCs w:val="18"/>
        </w:rPr>
        <w:t xml:space="preserve">   </w:t>
      </w:r>
    </w:p>
  </w:footnote>
  <w:footnote w:id="5">
    <w:p w14:paraId="4484BE99" w14:textId="47B2158F" w:rsidR="00282371" w:rsidRPr="00081915" w:rsidRDefault="00400261" w:rsidP="00282371">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011AA5" w:rsidRPr="00081915">
        <w:rPr>
          <w:rFonts w:ascii="New times roman" w:hAnsi="New times roman"/>
          <w:sz w:val="18"/>
          <w:szCs w:val="18"/>
        </w:rPr>
        <w:t xml:space="preserve">Melissa Mueller, ‘The Politics of Gesture in Sophocles’ Antigone’, </w:t>
      </w:r>
      <w:r w:rsidR="00011AA5" w:rsidRPr="00081915">
        <w:rPr>
          <w:rFonts w:ascii="New times roman" w:hAnsi="New times roman"/>
          <w:i/>
          <w:iCs/>
          <w:sz w:val="18"/>
          <w:szCs w:val="18"/>
        </w:rPr>
        <w:t>The Classical Quarterly,</w:t>
      </w:r>
      <w:r w:rsidR="00011AA5" w:rsidRPr="00081915">
        <w:rPr>
          <w:rFonts w:ascii="New times roman" w:hAnsi="New times roman"/>
          <w:sz w:val="18"/>
          <w:szCs w:val="18"/>
        </w:rPr>
        <w:t xml:space="preserve"> 61.2 (2011), 412–25 </w:t>
      </w:r>
      <w:hyperlink r:id="rId5" w:history="1">
        <w:r w:rsidR="00011AA5" w:rsidRPr="00081915">
          <w:rPr>
            <w:rStyle w:val="Hyperlink"/>
            <w:rFonts w:ascii="New times roman" w:hAnsi="New times roman"/>
            <w:sz w:val="18"/>
            <w:szCs w:val="18"/>
          </w:rPr>
          <w:t>http://www.jstor.org/stable/41301546</w:t>
        </w:r>
      </w:hyperlink>
      <w:proofErr w:type="gramStart"/>
      <w:r w:rsidR="00011AA5" w:rsidRPr="00081915">
        <w:rPr>
          <w:rFonts w:ascii="New times roman" w:hAnsi="New times roman"/>
          <w:sz w:val="18"/>
          <w:szCs w:val="18"/>
        </w:rPr>
        <w:t xml:space="preserve">   [</w:t>
      </w:r>
      <w:proofErr w:type="gramEnd"/>
      <w:r w:rsidR="00011AA5" w:rsidRPr="00081915">
        <w:rPr>
          <w:rFonts w:ascii="New times roman" w:hAnsi="New times roman"/>
          <w:sz w:val="18"/>
          <w:szCs w:val="18"/>
        </w:rPr>
        <w:t>accessed 12 January 2025].</w:t>
      </w:r>
    </w:p>
    <w:p w14:paraId="0A86415F" w14:textId="3390D66A" w:rsidR="00400261" w:rsidRPr="00081915" w:rsidRDefault="00400261">
      <w:pPr>
        <w:pStyle w:val="FootnoteText"/>
        <w:rPr>
          <w:rFonts w:ascii="New times roman" w:hAnsi="New times roman"/>
          <w:sz w:val="18"/>
          <w:szCs w:val="18"/>
        </w:rPr>
      </w:pPr>
    </w:p>
  </w:footnote>
  <w:footnote w:id="6">
    <w:p w14:paraId="57AB795D" w14:textId="1BB2FD3E" w:rsidR="00400261" w:rsidRPr="00081915" w:rsidRDefault="00400261">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0D7CCA" w:rsidRPr="00081915">
        <w:rPr>
          <w:rFonts w:ascii="New times roman" w:hAnsi="New times roman"/>
          <w:sz w:val="18"/>
          <w:szCs w:val="18"/>
        </w:rPr>
        <w:t xml:space="preserve">P. G. Mason, ‘An Interpretation of Sophocles,’ </w:t>
      </w:r>
      <w:r w:rsidR="000D7CCA" w:rsidRPr="00081915">
        <w:rPr>
          <w:rFonts w:ascii="New times roman" w:hAnsi="New times roman"/>
          <w:i/>
          <w:iCs/>
          <w:sz w:val="18"/>
          <w:szCs w:val="18"/>
        </w:rPr>
        <w:t>The Classical Review</w:t>
      </w:r>
      <w:r w:rsidR="000D7CCA" w:rsidRPr="00081915">
        <w:rPr>
          <w:rFonts w:ascii="New times roman" w:hAnsi="New times roman"/>
          <w:sz w:val="18"/>
          <w:szCs w:val="18"/>
        </w:rPr>
        <w:t xml:space="preserve">, 33.1 (1983), 5–7, accessed January 11th, 2025, </w:t>
      </w:r>
      <w:hyperlink r:id="rId6" w:history="1">
        <w:r w:rsidR="000D7CCA" w:rsidRPr="00081915">
          <w:rPr>
            <w:rStyle w:val="Hyperlink"/>
            <w:rFonts w:ascii="New times roman" w:hAnsi="New times roman"/>
            <w:sz w:val="18"/>
            <w:szCs w:val="18"/>
          </w:rPr>
          <w:t>http://www.jstor.org/stable/3062948</w:t>
        </w:r>
      </w:hyperlink>
      <w:r w:rsidR="000D7CCA" w:rsidRPr="00081915">
        <w:rPr>
          <w:rFonts w:ascii="New times roman" w:hAnsi="New times roman"/>
          <w:sz w:val="18"/>
          <w:szCs w:val="18"/>
        </w:rPr>
        <w:t xml:space="preserve">. </w:t>
      </w:r>
    </w:p>
  </w:footnote>
  <w:footnote w:id="7">
    <w:p w14:paraId="69A3DE62" w14:textId="77777777" w:rsidR="009D4413" w:rsidRPr="00081915" w:rsidRDefault="00A00D86" w:rsidP="009D441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9D4413" w:rsidRPr="00081915">
        <w:rPr>
          <w:rFonts w:ascii="New times roman" w:hAnsi="New times roman"/>
          <w:sz w:val="18"/>
          <w:szCs w:val="18"/>
        </w:rPr>
        <w:t>Stephen Harrison, ‘</w:t>
      </w:r>
      <w:r w:rsidR="009D4413" w:rsidRPr="00081915">
        <w:rPr>
          <w:rFonts w:ascii="New times roman" w:hAnsi="New times roman"/>
          <w:i/>
          <w:iCs/>
          <w:sz w:val="18"/>
          <w:szCs w:val="18"/>
        </w:rPr>
        <w:t>Law and the Body in Antigone’, Classical Quarterly</w:t>
      </w:r>
      <w:r w:rsidR="009D4413" w:rsidRPr="00081915">
        <w:rPr>
          <w:rFonts w:ascii="New times roman" w:hAnsi="New times roman"/>
          <w:sz w:val="18"/>
          <w:szCs w:val="18"/>
        </w:rPr>
        <w:t>, 54.2 (2004), 395-415</w:t>
      </w:r>
    </w:p>
    <w:p w14:paraId="2A3E8D99" w14:textId="4E9744B8" w:rsidR="00A00D86" w:rsidRPr="00081915" w:rsidRDefault="00A00D86">
      <w:pPr>
        <w:pStyle w:val="FootnoteText"/>
        <w:rPr>
          <w:rFonts w:ascii="New times roman" w:hAnsi="New times roman"/>
          <w:sz w:val="18"/>
          <w:szCs w:val="18"/>
        </w:rPr>
      </w:pPr>
    </w:p>
  </w:footnote>
  <w:footnote w:id="8">
    <w:p w14:paraId="71036CCF" w14:textId="7FBB7DF3" w:rsidR="00A00D86" w:rsidRPr="00081915" w:rsidRDefault="00A00D86">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00500BDD" w:rsidRPr="00081915">
        <w:rPr>
          <w:rFonts w:ascii="New times roman" w:hAnsi="New times roman"/>
          <w:sz w:val="18"/>
          <w:szCs w:val="18"/>
        </w:rPr>
        <w:t xml:space="preserve">  </w:t>
      </w:r>
      <w:r w:rsidR="006739E0" w:rsidRPr="00081915">
        <w:rPr>
          <w:rFonts w:ascii="New times roman" w:hAnsi="New times roman"/>
          <w:sz w:val="18"/>
          <w:szCs w:val="18"/>
        </w:rPr>
        <w:t xml:space="preserve">Maria Balaska, ‘Can There Be Happiness in Psychoanalysis? Creon and Antigone in Lacan’s Seminar VII’, </w:t>
      </w:r>
      <w:r w:rsidR="006739E0" w:rsidRPr="00081915">
        <w:rPr>
          <w:rFonts w:ascii="New times roman" w:hAnsi="New times roman"/>
          <w:i/>
          <w:iCs/>
          <w:sz w:val="18"/>
          <w:szCs w:val="18"/>
        </w:rPr>
        <w:t>College Literature</w:t>
      </w:r>
      <w:r w:rsidR="006739E0" w:rsidRPr="00081915">
        <w:rPr>
          <w:rFonts w:ascii="New times roman" w:hAnsi="New times roman"/>
          <w:sz w:val="18"/>
          <w:szCs w:val="18"/>
        </w:rPr>
        <w:t xml:space="preserve">, 45.2 (2018), 308–29  </w:t>
      </w:r>
      <w:hyperlink r:id="rId7" w:history="1">
        <w:r w:rsidR="006739E0" w:rsidRPr="00081915">
          <w:rPr>
            <w:rStyle w:val="Hyperlink"/>
            <w:rFonts w:ascii="New times roman" w:hAnsi="New times roman"/>
            <w:sz w:val="18"/>
            <w:szCs w:val="18"/>
          </w:rPr>
          <w:t>https://www.jstor.org/stable/48553673</w:t>
        </w:r>
      </w:hyperlink>
      <w:r w:rsidR="006739E0" w:rsidRPr="00081915">
        <w:rPr>
          <w:rFonts w:ascii="New times roman" w:hAnsi="New times roman"/>
          <w:sz w:val="18"/>
          <w:szCs w:val="18"/>
        </w:rPr>
        <w:t xml:space="preserve">  </w:t>
      </w:r>
    </w:p>
  </w:footnote>
  <w:footnote w:id="9">
    <w:p w14:paraId="536BECE3" w14:textId="54C843A8" w:rsidR="00E81243" w:rsidRPr="00081915" w:rsidRDefault="00E81243" w:rsidP="00E81243">
      <w:pPr>
        <w:pStyle w:val="FootnoteText"/>
        <w:rPr>
          <w:rFonts w:ascii="New times roman" w:hAnsi="New times roman"/>
          <w:sz w:val="18"/>
          <w:szCs w:val="18"/>
        </w:rPr>
      </w:pPr>
      <w:r w:rsidRPr="006F0DFA">
        <w:rPr>
          <w:rStyle w:val="FootnoteReference"/>
          <w:rFonts w:ascii="New times roman" w:hAnsi="New times roman"/>
        </w:rPr>
        <w:footnoteRef/>
      </w:r>
      <w:r w:rsidRPr="006F0DFA">
        <w:rPr>
          <w:rFonts w:ascii="New times roman" w:hAnsi="New times roman"/>
        </w:rPr>
        <w:t xml:space="preserve"> </w:t>
      </w:r>
      <w:r w:rsidR="00160185" w:rsidRPr="00081915">
        <w:rPr>
          <w:rFonts w:ascii="New times roman" w:hAnsi="New times roman"/>
          <w:sz w:val="18"/>
          <w:szCs w:val="18"/>
        </w:rPr>
        <w:t xml:space="preserve">Bertolt Brecht, Friedrich </w:t>
      </w:r>
      <w:proofErr w:type="spellStart"/>
      <w:r w:rsidR="00160185" w:rsidRPr="00081915">
        <w:rPr>
          <w:rFonts w:ascii="New times roman" w:hAnsi="New times roman"/>
          <w:sz w:val="18"/>
          <w:szCs w:val="18"/>
        </w:rPr>
        <w:t>Hölderlin</w:t>
      </w:r>
      <w:proofErr w:type="spellEnd"/>
      <w:r w:rsidR="00160185" w:rsidRPr="00081915">
        <w:rPr>
          <w:rFonts w:ascii="New times roman" w:hAnsi="New times roman"/>
          <w:sz w:val="18"/>
          <w:szCs w:val="18"/>
        </w:rPr>
        <w:t xml:space="preserve">, Judith Malina, and Sophocles, </w:t>
      </w:r>
      <w:r w:rsidR="00160185" w:rsidRPr="00081915">
        <w:rPr>
          <w:rFonts w:ascii="New times roman" w:hAnsi="New times roman"/>
          <w:i/>
          <w:iCs/>
          <w:sz w:val="18"/>
          <w:szCs w:val="18"/>
        </w:rPr>
        <w:t>Sophocles’ Antigone</w:t>
      </w:r>
      <w:r w:rsidR="00160185" w:rsidRPr="00081915">
        <w:rPr>
          <w:rFonts w:ascii="New times roman" w:hAnsi="New times roman"/>
          <w:sz w:val="18"/>
          <w:szCs w:val="18"/>
        </w:rPr>
        <w:t xml:space="preserve"> (New York: Applause, 1990).</w:t>
      </w:r>
    </w:p>
  </w:footnote>
  <w:footnote w:id="10">
    <w:p w14:paraId="194F3471" w14:textId="1B456FD9" w:rsidR="0004061F" w:rsidRPr="00081915" w:rsidRDefault="0004061F">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EF2E38" w:rsidRPr="00081915">
        <w:rPr>
          <w:rFonts w:ascii="New times roman" w:hAnsi="New times roman"/>
          <w:sz w:val="18"/>
          <w:szCs w:val="18"/>
        </w:rPr>
        <w:t xml:space="preserve">Rosamund E. Deutsch, ‘Anouilh’s Antigone,’ </w:t>
      </w:r>
      <w:r w:rsidR="00EF2E38" w:rsidRPr="00081915">
        <w:rPr>
          <w:rFonts w:ascii="New times roman" w:hAnsi="New times roman"/>
          <w:i/>
          <w:iCs/>
          <w:sz w:val="18"/>
          <w:szCs w:val="18"/>
        </w:rPr>
        <w:t xml:space="preserve">The Classical </w:t>
      </w:r>
      <w:r w:rsidR="00081915" w:rsidRPr="00081915">
        <w:rPr>
          <w:rFonts w:ascii="New times roman" w:hAnsi="New times roman"/>
          <w:i/>
          <w:iCs/>
          <w:sz w:val="18"/>
          <w:szCs w:val="18"/>
        </w:rPr>
        <w:t>Journal</w:t>
      </w:r>
      <w:r w:rsidR="00081915" w:rsidRPr="00081915">
        <w:rPr>
          <w:rFonts w:ascii="New times roman" w:hAnsi="New times roman"/>
          <w:sz w:val="18"/>
          <w:szCs w:val="18"/>
        </w:rPr>
        <w:t>,</w:t>
      </w:r>
      <w:r w:rsidR="00EF2E38" w:rsidRPr="00081915">
        <w:rPr>
          <w:rFonts w:ascii="New times roman" w:hAnsi="New times roman"/>
          <w:sz w:val="18"/>
          <w:szCs w:val="18"/>
        </w:rPr>
        <w:t xml:space="preserve"> 42.1 (1946), 14–17 </w:t>
      </w:r>
      <w:hyperlink r:id="rId8" w:history="1">
        <w:r w:rsidR="00EF2E38" w:rsidRPr="00081915">
          <w:rPr>
            <w:rStyle w:val="Hyperlink"/>
            <w:rFonts w:ascii="New times roman" w:hAnsi="New times roman"/>
            <w:sz w:val="18"/>
            <w:szCs w:val="18"/>
          </w:rPr>
          <w:t>http://www.jstor.org/stable/3292337</w:t>
        </w:r>
      </w:hyperlink>
      <w:r w:rsidR="00EF2E38" w:rsidRPr="00081915">
        <w:rPr>
          <w:rFonts w:ascii="New times roman" w:hAnsi="New times roman"/>
          <w:sz w:val="18"/>
          <w:szCs w:val="18"/>
        </w:rPr>
        <w:t xml:space="preserve"> </w:t>
      </w:r>
    </w:p>
  </w:footnote>
  <w:footnote w:id="11">
    <w:p w14:paraId="341670F6" w14:textId="7A466145"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002961FD" w:rsidRPr="00081915">
        <w:rPr>
          <w:rFonts w:ascii="New times roman" w:hAnsi="New times roman"/>
          <w:sz w:val="18"/>
          <w:szCs w:val="18"/>
        </w:rPr>
        <w:t>.</w:t>
      </w:r>
      <w:r w:rsidR="008C7315" w:rsidRPr="00081915">
        <w:rPr>
          <w:rFonts w:ascii="New times roman" w:hAnsi="New times roman"/>
          <w:sz w:val="18"/>
          <w:szCs w:val="18"/>
        </w:rPr>
        <w:t xml:space="preserve"> Kathryn Walker, </w:t>
      </w:r>
      <w:r w:rsidR="00081915">
        <w:rPr>
          <w:rFonts w:ascii="New times roman" w:hAnsi="New times roman"/>
          <w:sz w:val="18"/>
          <w:szCs w:val="18"/>
        </w:rPr>
        <w:t>‘</w:t>
      </w:r>
      <w:r w:rsidR="008C7315" w:rsidRPr="00081915">
        <w:rPr>
          <w:rFonts w:ascii="New times roman" w:hAnsi="New times roman"/>
          <w:sz w:val="18"/>
          <w:szCs w:val="18"/>
        </w:rPr>
        <w:t xml:space="preserve">Between Individual Principles and Communal Obligation: Ethical Duty in </w:t>
      </w:r>
      <w:proofErr w:type="spellStart"/>
      <w:r w:rsidR="008C7315" w:rsidRPr="00081915">
        <w:rPr>
          <w:rFonts w:ascii="New times roman" w:hAnsi="New times roman"/>
          <w:sz w:val="18"/>
          <w:szCs w:val="18"/>
        </w:rPr>
        <w:t>Sophocles’s</w:t>
      </w:r>
      <w:proofErr w:type="spellEnd"/>
      <w:r w:rsidR="008C7315" w:rsidRPr="00081915">
        <w:rPr>
          <w:rFonts w:ascii="New times roman" w:hAnsi="New times roman"/>
          <w:sz w:val="18"/>
          <w:szCs w:val="18"/>
        </w:rPr>
        <w:t xml:space="preserve"> ‘Antigone,’ </w:t>
      </w:r>
      <w:r w:rsidR="008C7315" w:rsidRPr="00081915">
        <w:rPr>
          <w:rFonts w:ascii="New times roman" w:hAnsi="New times roman"/>
          <w:i/>
          <w:iCs/>
          <w:sz w:val="18"/>
          <w:szCs w:val="18"/>
        </w:rPr>
        <w:t>Mosaic: An Interdisciplinary Critical Journal</w:t>
      </w:r>
      <w:r w:rsidR="008C7315" w:rsidRPr="00081915">
        <w:rPr>
          <w:rFonts w:ascii="New times roman" w:hAnsi="New times roman"/>
          <w:sz w:val="18"/>
          <w:szCs w:val="18"/>
        </w:rPr>
        <w:t xml:space="preserve">, 41.3 (2008), 199–214 </w:t>
      </w:r>
      <w:hyperlink r:id="rId9" w:history="1">
        <w:r w:rsidR="008C7315" w:rsidRPr="00081915">
          <w:rPr>
            <w:rStyle w:val="Hyperlink"/>
            <w:rFonts w:ascii="New times roman" w:hAnsi="New times roman"/>
            <w:sz w:val="18"/>
            <w:szCs w:val="18"/>
          </w:rPr>
          <w:t>http://www.jstor.org/stable/44029648</w:t>
        </w:r>
      </w:hyperlink>
      <w:r w:rsidR="008C7315" w:rsidRPr="00081915">
        <w:rPr>
          <w:rFonts w:ascii="New times roman" w:hAnsi="New times roman"/>
          <w:sz w:val="18"/>
          <w:szCs w:val="18"/>
        </w:rPr>
        <w:t xml:space="preserve">  </w:t>
      </w:r>
    </w:p>
  </w:footnote>
  <w:footnote w:id="12">
    <w:p w14:paraId="5BF8628F" w14:textId="152FEA3E"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00856FF4" w:rsidRPr="00081915">
        <w:rPr>
          <w:rFonts w:ascii="New times roman" w:hAnsi="New times roman"/>
          <w:sz w:val="18"/>
          <w:szCs w:val="18"/>
        </w:rPr>
        <w:t xml:space="preserve">. Deborah MacInnes, ‘Gainsaying the Prophet: Jocasta, Tiresias, and the Lille </w:t>
      </w:r>
      <w:proofErr w:type="spellStart"/>
      <w:r w:rsidR="00856FF4" w:rsidRPr="00081915">
        <w:rPr>
          <w:rFonts w:ascii="New times roman" w:hAnsi="New times roman"/>
          <w:sz w:val="18"/>
          <w:szCs w:val="18"/>
        </w:rPr>
        <w:t>Stesichorus</w:t>
      </w:r>
      <w:proofErr w:type="spellEnd"/>
      <w:r w:rsidR="00856FF4" w:rsidRPr="00081915">
        <w:rPr>
          <w:rFonts w:ascii="New times roman" w:hAnsi="New times roman"/>
          <w:sz w:val="18"/>
          <w:szCs w:val="18"/>
        </w:rPr>
        <w:t xml:space="preserve">,’ </w:t>
      </w:r>
      <w:proofErr w:type="spellStart"/>
      <w:r w:rsidR="00856FF4" w:rsidRPr="00081915">
        <w:rPr>
          <w:rFonts w:ascii="New times roman" w:hAnsi="New times roman"/>
          <w:i/>
          <w:iCs/>
          <w:sz w:val="18"/>
          <w:szCs w:val="18"/>
        </w:rPr>
        <w:t>Quaderni</w:t>
      </w:r>
      <w:proofErr w:type="spellEnd"/>
      <w:r w:rsidR="00856FF4" w:rsidRPr="00081915">
        <w:rPr>
          <w:rFonts w:ascii="New times roman" w:hAnsi="New times roman"/>
          <w:i/>
          <w:iCs/>
          <w:sz w:val="18"/>
          <w:szCs w:val="18"/>
        </w:rPr>
        <w:t xml:space="preserve"> Urbinati di Cultura Classica</w:t>
      </w:r>
      <w:r w:rsidR="00856FF4" w:rsidRPr="00081915">
        <w:rPr>
          <w:rFonts w:ascii="New times roman" w:hAnsi="New times roman"/>
          <w:sz w:val="18"/>
          <w:szCs w:val="18"/>
        </w:rPr>
        <w:t xml:space="preserve">, 86.2 (2007), 95–108, </w:t>
      </w:r>
      <w:hyperlink r:id="rId10" w:history="1">
        <w:r w:rsidR="00856FF4" w:rsidRPr="00081915">
          <w:rPr>
            <w:rStyle w:val="Hyperlink"/>
            <w:rFonts w:ascii="New times roman" w:hAnsi="New times roman"/>
            <w:sz w:val="18"/>
            <w:szCs w:val="18"/>
          </w:rPr>
          <w:t>http://www.jstor.org/stable/20546428</w:t>
        </w:r>
      </w:hyperlink>
      <w:r w:rsidR="00856FF4" w:rsidRPr="00081915">
        <w:rPr>
          <w:rFonts w:ascii="New times roman" w:hAnsi="New times roman"/>
          <w:sz w:val="18"/>
          <w:szCs w:val="18"/>
        </w:rPr>
        <w:t xml:space="preserve">. </w:t>
      </w:r>
    </w:p>
  </w:footnote>
  <w:footnote w:id="13">
    <w:p w14:paraId="62E9F5F1" w14:textId="7F5BEC1C" w:rsidR="00E81243" w:rsidRPr="006F0DFA" w:rsidRDefault="00E81243" w:rsidP="00E81243">
      <w:pPr>
        <w:pStyle w:val="FootnoteText"/>
        <w:rPr>
          <w:rFonts w:ascii="New times roman" w:hAnsi="New times roman"/>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4E2ECF" w:rsidRPr="00081915">
        <w:rPr>
          <w:rFonts w:ascii="New times roman" w:hAnsi="New times roman"/>
          <w:sz w:val="18"/>
          <w:szCs w:val="18"/>
        </w:rPr>
        <w:t xml:space="preserve">Susan W. Tiefenbrun, ‘On Civil Disobedience, Jurisprudence, Feminism and the Law in the </w:t>
      </w:r>
      <w:r w:rsidR="00081915" w:rsidRPr="00081915">
        <w:rPr>
          <w:rFonts w:ascii="New times roman" w:hAnsi="New times roman"/>
          <w:sz w:val="18"/>
          <w:szCs w:val="18"/>
        </w:rPr>
        <w:t>Antigone’s</w:t>
      </w:r>
      <w:r w:rsidR="004E2ECF" w:rsidRPr="00081915">
        <w:rPr>
          <w:rFonts w:ascii="New times roman" w:hAnsi="New times roman"/>
          <w:sz w:val="18"/>
          <w:szCs w:val="18"/>
        </w:rPr>
        <w:t xml:space="preserve"> of Sophocles and Anouilh’, </w:t>
      </w:r>
      <w:r w:rsidR="004E2ECF" w:rsidRPr="00081915">
        <w:rPr>
          <w:rFonts w:ascii="New times roman" w:hAnsi="New times roman"/>
          <w:i/>
          <w:iCs/>
          <w:sz w:val="18"/>
          <w:szCs w:val="18"/>
        </w:rPr>
        <w:t>Cardozo Studies in Law and Literature</w:t>
      </w:r>
      <w:r w:rsidR="004E2ECF" w:rsidRPr="00081915">
        <w:rPr>
          <w:rFonts w:ascii="New times roman" w:hAnsi="New times roman"/>
          <w:sz w:val="18"/>
          <w:szCs w:val="18"/>
        </w:rPr>
        <w:t xml:space="preserve">, 11.1 (1999), 35–51 </w:t>
      </w:r>
      <w:hyperlink r:id="rId11" w:history="1">
        <w:r w:rsidR="004E2ECF" w:rsidRPr="00081915">
          <w:rPr>
            <w:rStyle w:val="Hyperlink"/>
            <w:rFonts w:ascii="New times roman" w:hAnsi="New times roman"/>
            <w:sz w:val="18"/>
            <w:szCs w:val="18"/>
          </w:rPr>
          <w:t>https://doi.org/10.2307/27670201</w:t>
        </w:r>
      </w:hyperlink>
      <w:r w:rsidR="004E2ECF" w:rsidRPr="00081915">
        <w:rPr>
          <w:rFonts w:ascii="New times roman" w:hAnsi="New times roman"/>
          <w:sz w:val="18"/>
          <w:szCs w:val="18"/>
        </w:rPr>
        <w:t xml:space="preserve"> </w:t>
      </w:r>
    </w:p>
  </w:footnote>
  <w:footnote w:id="14">
    <w:p w14:paraId="448D1144" w14:textId="4C6D8F78"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3277D5" w:rsidRPr="00081915">
        <w:rPr>
          <w:rFonts w:ascii="New times roman" w:hAnsi="New times roman"/>
          <w:sz w:val="18"/>
          <w:szCs w:val="18"/>
        </w:rPr>
        <w:t xml:space="preserve">Molly Farneth, ‘Tragedy and the Social Construction of Norms,’ in </w:t>
      </w:r>
      <w:r w:rsidR="003277D5" w:rsidRPr="00081915">
        <w:rPr>
          <w:rFonts w:ascii="New times roman" w:hAnsi="New times roman"/>
          <w:i/>
          <w:iCs/>
          <w:sz w:val="18"/>
          <w:szCs w:val="18"/>
        </w:rPr>
        <w:t>Hegel’s Social Ethics: Religion, Conflict, and Rituals of Reconciliation</w:t>
      </w:r>
      <w:r w:rsidR="003277D5" w:rsidRPr="00081915">
        <w:rPr>
          <w:rFonts w:ascii="New times roman" w:hAnsi="New times roman"/>
          <w:sz w:val="18"/>
          <w:szCs w:val="18"/>
        </w:rPr>
        <w:t xml:space="preserve"> (Princeton University Press, 2017), 13–34.</w:t>
      </w:r>
    </w:p>
  </w:footnote>
  <w:footnote w:id="15">
    <w:p w14:paraId="083036FD" w14:textId="6A3A00AC" w:rsidR="00277800" w:rsidRPr="00081915" w:rsidRDefault="00277800">
      <w:pPr>
        <w:pStyle w:val="FootnoteText"/>
        <w:rPr>
          <w:rFonts w:ascii="New times roman" w:hAnsi="New times roman"/>
          <w:sz w:val="18"/>
          <w:szCs w:val="18"/>
        </w:rPr>
      </w:pPr>
      <w:r w:rsidRPr="006F0DFA">
        <w:rPr>
          <w:rStyle w:val="FootnoteReference"/>
          <w:rFonts w:ascii="New times roman" w:hAnsi="New times roman"/>
        </w:rPr>
        <w:footnoteRef/>
      </w:r>
      <w:r w:rsidRPr="006F0DFA">
        <w:rPr>
          <w:rFonts w:ascii="New times roman" w:hAnsi="New times roman"/>
        </w:rPr>
        <w:t xml:space="preserve"> </w:t>
      </w:r>
      <w:r w:rsidR="009A6E53" w:rsidRPr="00081915">
        <w:rPr>
          <w:rFonts w:ascii="New times roman" w:hAnsi="New times roman"/>
          <w:sz w:val="18"/>
          <w:szCs w:val="18"/>
        </w:rPr>
        <w:t xml:space="preserve">Sybil Oldfield, ‘Virginia Woolf and Antigone: Thinking against the Current,’ in </w:t>
      </w:r>
      <w:r w:rsidR="009A6E53" w:rsidRPr="00081915">
        <w:rPr>
          <w:rFonts w:ascii="New times roman" w:hAnsi="New times roman"/>
          <w:i/>
          <w:iCs/>
          <w:sz w:val="18"/>
          <w:szCs w:val="18"/>
        </w:rPr>
        <w:t>Thinking Against the Current: Literature and Political Resistance</w:t>
      </w:r>
      <w:r w:rsidR="009A6E53" w:rsidRPr="00081915">
        <w:rPr>
          <w:rFonts w:ascii="New times roman" w:hAnsi="New times roman"/>
          <w:sz w:val="18"/>
          <w:szCs w:val="18"/>
        </w:rPr>
        <w:t xml:space="preserve"> (Liverpool University Press, 2015), 165–176, </w:t>
      </w:r>
      <w:hyperlink r:id="rId12" w:history="1">
        <w:r w:rsidR="009A6E53" w:rsidRPr="00081915">
          <w:rPr>
            <w:rStyle w:val="Hyperlink"/>
            <w:rFonts w:ascii="New times roman" w:hAnsi="New times roman"/>
            <w:sz w:val="18"/>
            <w:szCs w:val="18"/>
          </w:rPr>
          <w:t>https://doi.org/10.2307/j.ctv3029sn2.20</w:t>
        </w:r>
      </w:hyperlink>
      <w:r w:rsidR="009A6E53" w:rsidRPr="00081915">
        <w:rPr>
          <w:rFonts w:ascii="New times roman" w:hAnsi="New times roman"/>
          <w:sz w:val="18"/>
          <w:szCs w:val="18"/>
        </w:rPr>
        <w:t xml:space="preserve"> </w:t>
      </w:r>
    </w:p>
  </w:footnote>
  <w:footnote w:id="16">
    <w:p w14:paraId="067582B8" w14:textId="76E0D698"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F952D2" w:rsidRPr="00081915">
        <w:rPr>
          <w:rFonts w:ascii="New times roman" w:hAnsi="New times roman"/>
          <w:sz w:val="18"/>
          <w:szCs w:val="18"/>
        </w:rPr>
        <w:t>J. A. Davison, ‘</w:t>
      </w:r>
      <w:r w:rsidR="00F952D2" w:rsidRPr="00081915">
        <w:rPr>
          <w:rFonts w:ascii="New times roman" w:hAnsi="New times roman"/>
          <w:i/>
          <w:iCs/>
          <w:sz w:val="18"/>
          <w:szCs w:val="18"/>
        </w:rPr>
        <w:t>The Complete Greek Drama’, The Classical Review</w:t>
      </w:r>
      <w:r w:rsidR="00F952D2" w:rsidRPr="00081915">
        <w:rPr>
          <w:rFonts w:ascii="New times roman" w:hAnsi="New times roman"/>
          <w:sz w:val="18"/>
          <w:szCs w:val="18"/>
        </w:rPr>
        <w:t xml:space="preserve"> (Oxford University Press, 1939), pp. 147–48.</w:t>
      </w:r>
    </w:p>
  </w:footnote>
  <w:footnote w:id="17">
    <w:p w14:paraId="65248869" w14:textId="5E5683BD"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547038" w:rsidRPr="00081915">
        <w:rPr>
          <w:rFonts w:ascii="New times roman" w:hAnsi="New times roman"/>
          <w:sz w:val="18"/>
          <w:szCs w:val="18"/>
        </w:rPr>
        <w:t xml:space="preserve">Mark Griffith, </w:t>
      </w:r>
      <w:r w:rsidR="00547038" w:rsidRPr="00081915">
        <w:rPr>
          <w:rFonts w:ascii="New times roman" w:hAnsi="New times roman"/>
          <w:i/>
          <w:iCs/>
          <w:sz w:val="18"/>
          <w:szCs w:val="18"/>
        </w:rPr>
        <w:t>Sophocles' Antigone: A Critical Study</w:t>
      </w:r>
      <w:r w:rsidR="00547038" w:rsidRPr="00081915">
        <w:rPr>
          <w:rFonts w:ascii="New times roman" w:hAnsi="New times roman"/>
          <w:sz w:val="18"/>
          <w:szCs w:val="18"/>
        </w:rPr>
        <w:t xml:space="preserve"> (London: Bloomsbury, 2013), pp. 45-67.</w:t>
      </w:r>
    </w:p>
  </w:footnote>
  <w:footnote w:id="18">
    <w:p w14:paraId="7C3A3FEB" w14:textId="171C0587" w:rsidR="00604DE5" w:rsidRPr="00081915" w:rsidRDefault="00604DE5">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3A04ED" w:rsidRPr="00081915">
        <w:rPr>
          <w:rFonts w:ascii="New times roman" w:hAnsi="New times roman"/>
          <w:sz w:val="18"/>
          <w:szCs w:val="18"/>
        </w:rPr>
        <w:t xml:space="preserve">Georg Wilhelm Friedrich Hegel, J. N. Findlay, and Arnold V. Miller, </w:t>
      </w:r>
      <w:r w:rsidR="003A04ED" w:rsidRPr="00081915">
        <w:rPr>
          <w:rFonts w:ascii="New times roman" w:hAnsi="New times roman"/>
          <w:i/>
          <w:iCs/>
          <w:sz w:val="18"/>
          <w:szCs w:val="18"/>
        </w:rPr>
        <w:t>Phenomenology of Spirit</w:t>
      </w:r>
      <w:r w:rsidR="003A04ED" w:rsidRPr="00081915">
        <w:rPr>
          <w:rFonts w:ascii="New times roman" w:hAnsi="New times roman"/>
          <w:sz w:val="18"/>
          <w:szCs w:val="18"/>
        </w:rPr>
        <w:t xml:space="preserve"> (Oxford: Clarendon Press, 1979), pp. 123-145.</w:t>
      </w:r>
    </w:p>
  </w:footnote>
  <w:footnote w:id="19">
    <w:p w14:paraId="1143E0AE" w14:textId="3D32504A"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1E05C8" w:rsidRPr="00081915">
        <w:rPr>
          <w:rFonts w:ascii="New times roman" w:hAnsi="New times roman"/>
          <w:sz w:val="18"/>
          <w:szCs w:val="18"/>
        </w:rPr>
        <w:t xml:space="preserve">Judith Butler, </w:t>
      </w:r>
      <w:r w:rsidR="001E05C8" w:rsidRPr="00081915">
        <w:rPr>
          <w:rFonts w:ascii="New times roman" w:hAnsi="New times roman"/>
          <w:i/>
          <w:iCs/>
          <w:sz w:val="18"/>
          <w:szCs w:val="18"/>
        </w:rPr>
        <w:t>Antigone's Claim: Kinship Between Life and Death</w:t>
      </w:r>
      <w:r w:rsidR="001E05C8" w:rsidRPr="00081915">
        <w:rPr>
          <w:rFonts w:ascii="New times roman" w:hAnsi="New times roman"/>
          <w:sz w:val="18"/>
          <w:szCs w:val="18"/>
        </w:rPr>
        <w:t xml:space="preserve"> (New York: Columbia University Press, 2000), p. 25.</w:t>
      </w:r>
      <w:r w:rsidR="009A6CBC" w:rsidRPr="00081915">
        <w:rPr>
          <w:rFonts w:ascii="New times roman" w:hAnsi="New times roman"/>
          <w:sz w:val="18"/>
          <w:szCs w:val="18"/>
        </w:rPr>
        <w:t xml:space="preserve"> </w:t>
      </w:r>
      <w:r w:rsidR="009A6CBC" w:rsidRPr="00081915">
        <w:rPr>
          <w:rFonts w:ascii="New times roman" w:hAnsi="New times roman"/>
          <w:color w:val="000000"/>
          <w:spacing w:val="-5"/>
          <w:sz w:val="18"/>
          <w:szCs w:val="18"/>
          <w:shd w:val="clear" w:color="auto" w:fill="FFFFFF"/>
        </w:rPr>
        <w:t xml:space="preserve"> </w:t>
      </w:r>
      <w:hyperlink r:id="rId13" w:history="1">
        <w:r w:rsidR="009A6CBC" w:rsidRPr="00081915">
          <w:rPr>
            <w:rStyle w:val="Hyperlink"/>
            <w:rFonts w:ascii="New times roman" w:hAnsi="New times roman"/>
            <w:spacing w:val="-5"/>
            <w:sz w:val="18"/>
            <w:szCs w:val="18"/>
            <w:shd w:val="clear" w:color="auto" w:fill="FFFFFF"/>
          </w:rPr>
          <w:t>http://www.jstor.org/stable/10.7312/butl11894</w:t>
        </w:r>
      </w:hyperlink>
      <w:r w:rsidR="009A6CBC" w:rsidRPr="00081915">
        <w:rPr>
          <w:rFonts w:ascii="New times roman" w:hAnsi="New times roman"/>
          <w:color w:val="000000"/>
          <w:spacing w:val="-5"/>
          <w:sz w:val="18"/>
          <w:szCs w:val="18"/>
          <w:shd w:val="clear" w:color="auto" w:fill="FFFFFF"/>
        </w:rPr>
        <w:t xml:space="preserve"> </w:t>
      </w:r>
    </w:p>
  </w:footnote>
  <w:footnote w:id="20">
    <w:p w14:paraId="740F1C32" w14:textId="16D78C02"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44664D" w:rsidRPr="00081915">
        <w:rPr>
          <w:rFonts w:ascii="New times roman" w:hAnsi="New times roman"/>
          <w:sz w:val="18"/>
          <w:szCs w:val="18"/>
        </w:rPr>
        <w:t xml:space="preserve">Simon Goldhill, </w:t>
      </w:r>
      <w:r w:rsidR="0044664D" w:rsidRPr="00081915">
        <w:rPr>
          <w:rFonts w:ascii="New times roman" w:hAnsi="New times roman"/>
          <w:i/>
          <w:iCs/>
          <w:sz w:val="18"/>
          <w:szCs w:val="18"/>
        </w:rPr>
        <w:t>Reading Greek Tragedy</w:t>
      </w:r>
      <w:r w:rsidR="0044664D" w:rsidRPr="00081915">
        <w:rPr>
          <w:rFonts w:ascii="New times roman" w:hAnsi="New times roman"/>
          <w:sz w:val="18"/>
          <w:szCs w:val="18"/>
        </w:rPr>
        <w:t xml:space="preserve"> (Cambridge: Cambridge University Press, 1986), p. 112.</w:t>
      </w:r>
    </w:p>
  </w:footnote>
  <w:footnote w:id="21">
    <w:p w14:paraId="02B991B8" w14:textId="065B1FA0" w:rsidR="00E81243" w:rsidRPr="00081915" w:rsidRDefault="00E81243" w:rsidP="00E81243">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00AC0AF9" w:rsidRPr="00081915">
        <w:rPr>
          <w:rFonts w:ascii="New times roman" w:hAnsi="New times roman"/>
          <w:sz w:val="18"/>
          <w:szCs w:val="18"/>
        </w:rPr>
        <w:t xml:space="preserve">David </w:t>
      </w:r>
      <w:proofErr w:type="spellStart"/>
      <w:r w:rsidR="00AC0AF9" w:rsidRPr="00081915">
        <w:rPr>
          <w:rFonts w:ascii="New times roman" w:hAnsi="New times roman"/>
          <w:sz w:val="18"/>
          <w:szCs w:val="18"/>
        </w:rPr>
        <w:t>Konstan</w:t>
      </w:r>
      <w:proofErr w:type="spellEnd"/>
      <w:r w:rsidR="00AC0AF9" w:rsidRPr="00081915">
        <w:rPr>
          <w:rFonts w:ascii="New times roman" w:hAnsi="New times roman"/>
          <w:sz w:val="18"/>
          <w:szCs w:val="18"/>
        </w:rPr>
        <w:t>, ‘</w:t>
      </w:r>
      <w:r w:rsidR="00AC0AF9" w:rsidRPr="00081915">
        <w:rPr>
          <w:rFonts w:ascii="New times roman" w:hAnsi="New times roman"/>
          <w:i/>
          <w:iCs/>
          <w:sz w:val="18"/>
          <w:szCs w:val="18"/>
        </w:rPr>
        <w:t>The Tragedy of Law: The Case of Antigone,’ in The Classical World</w:t>
      </w:r>
      <w:r w:rsidR="00AC0AF9" w:rsidRPr="00081915">
        <w:rPr>
          <w:rFonts w:ascii="New times roman" w:hAnsi="New times roman"/>
          <w:sz w:val="18"/>
          <w:szCs w:val="18"/>
        </w:rPr>
        <w:t xml:space="preserve"> 98, no. 2 (2004): 145-156.</w:t>
      </w:r>
      <w:r w:rsidRPr="00081915">
        <w:rPr>
          <w:rFonts w:ascii="New times roman" w:hAnsi="New times roman"/>
          <w:sz w:val="18"/>
          <w:szCs w:val="18"/>
        </w:rPr>
        <w:t xml:space="preserve"> </w:t>
      </w:r>
    </w:p>
  </w:footnote>
  <w:footnote w:id="22">
    <w:p w14:paraId="6BDE2513" w14:textId="07E45C56" w:rsidR="004D6B89" w:rsidRPr="00081915" w:rsidRDefault="004D6B89">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7F2F3A" w:rsidRPr="00081915">
        <w:rPr>
          <w:rFonts w:ascii="New times roman" w:hAnsi="New times roman"/>
          <w:sz w:val="18"/>
          <w:szCs w:val="18"/>
        </w:rPr>
        <w:t xml:space="preserve">Hélène Cixous, </w:t>
      </w:r>
      <w:r w:rsidR="007F2F3A" w:rsidRPr="00081915">
        <w:rPr>
          <w:rFonts w:ascii="New times roman" w:hAnsi="New times roman"/>
          <w:i/>
          <w:iCs/>
          <w:sz w:val="18"/>
          <w:szCs w:val="18"/>
        </w:rPr>
        <w:t>'The Laugh of the Medusa', Signs: Journal of Women in Culture and Society</w:t>
      </w:r>
      <w:r w:rsidR="007F2F3A" w:rsidRPr="00081915">
        <w:rPr>
          <w:rFonts w:ascii="New times roman" w:hAnsi="New times roman"/>
          <w:sz w:val="18"/>
          <w:szCs w:val="18"/>
        </w:rPr>
        <w:t>, 1.4 (1976), 875-893.</w:t>
      </w:r>
    </w:p>
  </w:footnote>
  <w:footnote w:id="23">
    <w:p w14:paraId="1F24166C" w14:textId="451311C6" w:rsidR="009708E8" w:rsidRPr="00081915" w:rsidRDefault="009708E8">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BF729C" w:rsidRPr="00081915">
        <w:rPr>
          <w:rFonts w:ascii="New times roman" w:hAnsi="New times roman"/>
          <w:sz w:val="18"/>
          <w:szCs w:val="18"/>
        </w:rPr>
        <w:t xml:space="preserve">Bernard Knox, </w:t>
      </w:r>
      <w:r w:rsidR="00BF729C" w:rsidRPr="00081915">
        <w:rPr>
          <w:rFonts w:ascii="New times roman" w:hAnsi="New times roman"/>
          <w:i/>
          <w:iCs/>
          <w:sz w:val="18"/>
          <w:szCs w:val="18"/>
        </w:rPr>
        <w:t>The Heroic Temper: Studies in Sophoclean Tragedy</w:t>
      </w:r>
      <w:r w:rsidR="00BF729C" w:rsidRPr="00081915">
        <w:rPr>
          <w:rFonts w:ascii="New times roman" w:hAnsi="New times roman"/>
          <w:sz w:val="18"/>
          <w:szCs w:val="18"/>
        </w:rPr>
        <w:t xml:space="preserve"> (Princeton: Princeton University Press, 1964).</w:t>
      </w:r>
    </w:p>
  </w:footnote>
  <w:footnote w:id="24">
    <w:p w14:paraId="66F9394B" w14:textId="6A9E2C7B" w:rsidR="00E76B07" w:rsidRPr="00081915" w:rsidRDefault="00E76B07">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6E0282" w:rsidRPr="00081915">
        <w:rPr>
          <w:rFonts w:ascii="New times roman" w:hAnsi="New times roman"/>
          <w:sz w:val="18"/>
          <w:szCs w:val="18"/>
        </w:rPr>
        <w:t xml:space="preserve">Henry David Thoreau, </w:t>
      </w:r>
      <w:r w:rsidR="006E0282" w:rsidRPr="00081915">
        <w:rPr>
          <w:rFonts w:ascii="New times roman" w:hAnsi="New times roman"/>
          <w:i/>
          <w:iCs/>
          <w:sz w:val="18"/>
          <w:szCs w:val="18"/>
        </w:rPr>
        <w:t>Civil Disobedience</w:t>
      </w:r>
      <w:r w:rsidR="006E0282" w:rsidRPr="00081915">
        <w:rPr>
          <w:rFonts w:ascii="New times roman" w:hAnsi="New times roman"/>
          <w:sz w:val="18"/>
          <w:szCs w:val="18"/>
        </w:rPr>
        <w:t xml:space="preserve"> (Dover Publications, 1996).</w:t>
      </w:r>
    </w:p>
  </w:footnote>
  <w:footnote w:id="25">
    <w:p w14:paraId="6FA421D4" w14:textId="4AA54A52" w:rsidR="00094342" w:rsidRPr="00081915" w:rsidRDefault="00094342">
      <w:pPr>
        <w:pStyle w:val="FootnoteText"/>
        <w:rPr>
          <w:rFonts w:ascii="New times roman" w:hAnsi="New times roman"/>
          <w:sz w:val="18"/>
          <w:szCs w:val="18"/>
        </w:rPr>
      </w:pPr>
      <w:r w:rsidRPr="00081915">
        <w:rPr>
          <w:rStyle w:val="FootnoteReference"/>
          <w:rFonts w:ascii="New times roman" w:hAnsi="New times roman"/>
          <w:sz w:val="18"/>
          <w:szCs w:val="18"/>
        </w:rPr>
        <w:footnoteRef/>
      </w:r>
      <w:r w:rsidRPr="00081915">
        <w:rPr>
          <w:rFonts w:ascii="New times roman" w:hAnsi="New times roman"/>
          <w:sz w:val="18"/>
          <w:szCs w:val="18"/>
        </w:rPr>
        <w:t xml:space="preserve"> </w:t>
      </w:r>
      <w:r w:rsidR="001D2886" w:rsidRPr="00081915">
        <w:rPr>
          <w:rFonts w:ascii="New times roman" w:hAnsi="New times roman"/>
          <w:sz w:val="18"/>
          <w:szCs w:val="18"/>
        </w:rPr>
        <w:t xml:space="preserve">David Greene, </w:t>
      </w:r>
      <w:r w:rsidR="001D2886" w:rsidRPr="00081915">
        <w:rPr>
          <w:rFonts w:ascii="New times roman" w:hAnsi="New times roman"/>
          <w:i/>
          <w:iCs/>
          <w:sz w:val="18"/>
          <w:szCs w:val="18"/>
        </w:rPr>
        <w:t>The Antigone of Sophocles</w:t>
      </w:r>
      <w:r w:rsidR="001D2886" w:rsidRPr="00081915">
        <w:rPr>
          <w:rFonts w:ascii="New times roman" w:hAnsi="New times roman"/>
          <w:sz w:val="18"/>
          <w:szCs w:val="18"/>
        </w:rPr>
        <w:t xml:space="preserve"> (Berkeley: University of California Press, 1980).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243"/>
    <w:rsid w:val="00011AA5"/>
    <w:rsid w:val="00023629"/>
    <w:rsid w:val="0004061F"/>
    <w:rsid w:val="0005166B"/>
    <w:rsid w:val="000624AF"/>
    <w:rsid w:val="00064B49"/>
    <w:rsid w:val="00081915"/>
    <w:rsid w:val="0008646A"/>
    <w:rsid w:val="00094342"/>
    <w:rsid w:val="00095426"/>
    <w:rsid w:val="000A18F3"/>
    <w:rsid w:val="000A19FE"/>
    <w:rsid w:val="000D53C9"/>
    <w:rsid w:val="000D7CCA"/>
    <w:rsid w:val="000F7BEC"/>
    <w:rsid w:val="00133991"/>
    <w:rsid w:val="00150E07"/>
    <w:rsid w:val="00157E75"/>
    <w:rsid w:val="00160185"/>
    <w:rsid w:val="00171E54"/>
    <w:rsid w:val="00173914"/>
    <w:rsid w:val="00181ED9"/>
    <w:rsid w:val="001868E9"/>
    <w:rsid w:val="00190080"/>
    <w:rsid w:val="001D0BEF"/>
    <w:rsid w:val="001D0CF5"/>
    <w:rsid w:val="001D2886"/>
    <w:rsid w:val="001E05C8"/>
    <w:rsid w:val="001F207C"/>
    <w:rsid w:val="00200DCE"/>
    <w:rsid w:val="00217A1F"/>
    <w:rsid w:val="002528C8"/>
    <w:rsid w:val="00262657"/>
    <w:rsid w:val="002637C6"/>
    <w:rsid w:val="00277800"/>
    <w:rsid w:val="00282371"/>
    <w:rsid w:val="00295158"/>
    <w:rsid w:val="00295C6D"/>
    <w:rsid w:val="002961FD"/>
    <w:rsid w:val="002B5819"/>
    <w:rsid w:val="002D68E5"/>
    <w:rsid w:val="003066C0"/>
    <w:rsid w:val="00313567"/>
    <w:rsid w:val="00314A92"/>
    <w:rsid w:val="00314CE4"/>
    <w:rsid w:val="00316840"/>
    <w:rsid w:val="00322848"/>
    <w:rsid w:val="00323BA7"/>
    <w:rsid w:val="003277D5"/>
    <w:rsid w:val="00336BB0"/>
    <w:rsid w:val="003641B1"/>
    <w:rsid w:val="00384951"/>
    <w:rsid w:val="003875ED"/>
    <w:rsid w:val="003908C5"/>
    <w:rsid w:val="003933D7"/>
    <w:rsid w:val="003A04ED"/>
    <w:rsid w:val="003C6219"/>
    <w:rsid w:val="003E49CD"/>
    <w:rsid w:val="00400261"/>
    <w:rsid w:val="004004BF"/>
    <w:rsid w:val="00401BAF"/>
    <w:rsid w:val="00420A93"/>
    <w:rsid w:val="00437B6B"/>
    <w:rsid w:val="00437E75"/>
    <w:rsid w:val="0044664D"/>
    <w:rsid w:val="004645A8"/>
    <w:rsid w:val="004871A0"/>
    <w:rsid w:val="004B2B91"/>
    <w:rsid w:val="004D6B89"/>
    <w:rsid w:val="004E2B9D"/>
    <w:rsid w:val="004E2ECF"/>
    <w:rsid w:val="004E69D5"/>
    <w:rsid w:val="004F347E"/>
    <w:rsid w:val="004F407F"/>
    <w:rsid w:val="00500BDD"/>
    <w:rsid w:val="005040E8"/>
    <w:rsid w:val="00510A68"/>
    <w:rsid w:val="00532539"/>
    <w:rsid w:val="00534A25"/>
    <w:rsid w:val="00547038"/>
    <w:rsid w:val="00547C96"/>
    <w:rsid w:val="00580A11"/>
    <w:rsid w:val="005812C4"/>
    <w:rsid w:val="00584629"/>
    <w:rsid w:val="00586ED1"/>
    <w:rsid w:val="00594B20"/>
    <w:rsid w:val="005A16B5"/>
    <w:rsid w:val="005A28E9"/>
    <w:rsid w:val="005A6ED5"/>
    <w:rsid w:val="005B2012"/>
    <w:rsid w:val="005C6F7A"/>
    <w:rsid w:val="005C7CFB"/>
    <w:rsid w:val="005C7E5B"/>
    <w:rsid w:val="005D0168"/>
    <w:rsid w:val="00600AFD"/>
    <w:rsid w:val="0060269B"/>
    <w:rsid w:val="00604DE5"/>
    <w:rsid w:val="00624A19"/>
    <w:rsid w:val="00646FCC"/>
    <w:rsid w:val="006601E3"/>
    <w:rsid w:val="00672BD3"/>
    <w:rsid w:val="006739E0"/>
    <w:rsid w:val="006745A5"/>
    <w:rsid w:val="00674906"/>
    <w:rsid w:val="00691B3E"/>
    <w:rsid w:val="00695D1D"/>
    <w:rsid w:val="006A12C1"/>
    <w:rsid w:val="006B24AA"/>
    <w:rsid w:val="006C310F"/>
    <w:rsid w:val="006E0282"/>
    <w:rsid w:val="006E1608"/>
    <w:rsid w:val="006F0DFA"/>
    <w:rsid w:val="00726DC2"/>
    <w:rsid w:val="00736FD7"/>
    <w:rsid w:val="0075652E"/>
    <w:rsid w:val="0076733B"/>
    <w:rsid w:val="007737C6"/>
    <w:rsid w:val="007855B5"/>
    <w:rsid w:val="00786731"/>
    <w:rsid w:val="007B5D6A"/>
    <w:rsid w:val="007B6CF7"/>
    <w:rsid w:val="007C25ED"/>
    <w:rsid w:val="007C7D6C"/>
    <w:rsid w:val="007F2F3A"/>
    <w:rsid w:val="00807009"/>
    <w:rsid w:val="00807C53"/>
    <w:rsid w:val="00826FAE"/>
    <w:rsid w:val="00834548"/>
    <w:rsid w:val="00837EDA"/>
    <w:rsid w:val="00840622"/>
    <w:rsid w:val="00856CC0"/>
    <w:rsid w:val="00856FF4"/>
    <w:rsid w:val="0086086E"/>
    <w:rsid w:val="00862EA3"/>
    <w:rsid w:val="008814A0"/>
    <w:rsid w:val="00884AEA"/>
    <w:rsid w:val="00892260"/>
    <w:rsid w:val="00895464"/>
    <w:rsid w:val="008A3F37"/>
    <w:rsid w:val="008B36CC"/>
    <w:rsid w:val="008B756F"/>
    <w:rsid w:val="008C7315"/>
    <w:rsid w:val="008D1D9B"/>
    <w:rsid w:val="008E5321"/>
    <w:rsid w:val="008F35D9"/>
    <w:rsid w:val="00904EC5"/>
    <w:rsid w:val="009114B0"/>
    <w:rsid w:val="00927470"/>
    <w:rsid w:val="00950439"/>
    <w:rsid w:val="009708E8"/>
    <w:rsid w:val="0097297B"/>
    <w:rsid w:val="00977480"/>
    <w:rsid w:val="0098739E"/>
    <w:rsid w:val="009A6CBC"/>
    <w:rsid w:val="009A6E53"/>
    <w:rsid w:val="009B0064"/>
    <w:rsid w:val="009D4413"/>
    <w:rsid w:val="009F2158"/>
    <w:rsid w:val="009F2B1E"/>
    <w:rsid w:val="009F476F"/>
    <w:rsid w:val="00A00D86"/>
    <w:rsid w:val="00A0119F"/>
    <w:rsid w:val="00A33A9A"/>
    <w:rsid w:val="00A35983"/>
    <w:rsid w:val="00A40884"/>
    <w:rsid w:val="00A6678A"/>
    <w:rsid w:val="00AB0756"/>
    <w:rsid w:val="00AB5D3A"/>
    <w:rsid w:val="00AB7ADB"/>
    <w:rsid w:val="00AC0AF9"/>
    <w:rsid w:val="00AE0186"/>
    <w:rsid w:val="00AF4B2A"/>
    <w:rsid w:val="00B15D05"/>
    <w:rsid w:val="00B22F94"/>
    <w:rsid w:val="00B709CF"/>
    <w:rsid w:val="00B72740"/>
    <w:rsid w:val="00B84B04"/>
    <w:rsid w:val="00B96DB9"/>
    <w:rsid w:val="00BB571C"/>
    <w:rsid w:val="00BB7F14"/>
    <w:rsid w:val="00BD22F2"/>
    <w:rsid w:val="00BF729C"/>
    <w:rsid w:val="00C07595"/>
    <w:rsid w:val="00C415DF"/>
    <w:rsid w:val="00C65BE9"/>
    <w:rsid w:val="00C71964"/>
    <w:rsid w:val="00C745B2"/>
    <w:rsid w:val="00C74890"/>
    <w:rsid w:val="00C8604C"/>
    <w:rsid w:val="00C869A2"/>
    <w:rsid w:val="00C9149D"/>
    <w:rsid w:val="00CA7479"/>
    <w:rsid w:val="00CB3BDE"/>
    <w:rsid w:val="00CD0CAC"/>
    <w:rsid w:val="00CD21A6"/>
    <w:rsid w:val="00CF2456"/>
    <w:rsid w:val="00D35F72"/>
    <w:rsid w:val="00D36788"/>
    <w:rsid w:val="00D52969"/>
    <w:rsid w:val="00D66821"/>
    <w:rsid w:val="00D87657"/>
    <w:rsid w:val="00DB1919"/>
    <w:rsid w:val="00DD4538"/>
    <w:rsid w:val="00DE04C8"/>
    <w:rsid w:val="00E0034F"/>
    <w:rsid w:val="00E016CE"/>
    <w:rsid w:val="00E66B2A"/>
    <w:rsid w:val="00E76B07"/>
    <w:rsid w:val="00E81243"/>
    <w:rsid w:val="00E90BC9"/>
    <w:rsid w:val="00E93FF5"/>
    <w:rsid w:val="00E961CE"/>
    <w:rsid w:val="00EB1A9B"/>
    <w:rsid w:val="00EC4673"/>
    <w:rsid w:val="00EE6D18"/>
    <w:rsid w:val="00EE6E0F"/>
    <w:rsid w:val="00EF2E38"/>
    <w:rsid w:val="00F11E27"/>
    <w:rsid w:val="00F52DAF"/>
    <w:rsid w:val="00F9112C"/>
    <w:rsid w:val="00F952D2"/>
    <w:rsid w:val="00FB3E44"/>
    <w:rsid w:val="00FD3C3D"/>
    <w:rsid w:val="690B2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F7410"/>
  <w15:chartTrackingRefBased/>
  <w15:docId w15:val="{5317174D-C4F0-4C20-86EC-E1D76BB72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243"/>
  </w:style>
  <w:style w:type="paragraph" w:styleId="Heading1">
    <w:name w:val="heading 1"/>
    <w:basedOn w:val="Normal"/>
    <w:next w:val="Normal"/>
    <w:link w:val="Heading1Char"/>
    <w:uiPriority w:val="9"/>
    <w:qFormat/>
    <w:rsid w:val="00E81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2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243"/>
    <w:rPr>
      <w:rFonts w:eastAsiaTheme="majorEastAsia" w:cstheme="majorBidi"/>
      <w:color w:val="272727" w:themeColor="text1" w:themeTint="D8"/>
    </w:rPr>
  </w:style>
  <w:style w:type="paragraph" w:styleId="Title">
    <w:name w:val="Title"/>
    <w:basedOn w:val="Normal"/>
    <w:next w:val="Normal"/>
    <w:link w:val="TitleChar"/>
    <w:uiPriority w:val="10"/>
    <w:qFormat/>
    <w:rsid w:val="00E81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243"/>
    <w:pPr>
      <w:spacing w:before="160"/>
      <w:jc w:val="center"/>
    </w:pPr>
    <w:rPr>
      <w:i/>
      <w:iCs/>
      <w:color w:val="404040" w:themeColor="text1" w:themeTint="BF"/>
    </w:rPr>
  </w:style>
  <w:style w:type="character" w:customStyle="1" w:styleId="QuoteChar">
    <w:name w:val="Quote Char"/>
    <w:basedOn w:val="DefaultParagraphFont"/>
    <w:link w:val="Quote"/>
    <w:uiPriority w:val="29"/>
    <w:rsid w:val="00E81243"/>
    <w:rPr>
      <w:i/>
      <w:iCs/>
      <w:color w:val="404040" w:themeColor="text1" w:themeTint="BF"/>
    </w:rPr>
  </w:style>
  <w:style w:type="paragraph" w:styleId="ListParagraph">
    <w:name w:val="List Paragraph"/>
    <w:basedOn w:val="Normal"/>
    <w:uiPriority w:val="34"/>
    <w:qFormat/>
    <w:rsid w:val="00E81243"/>
    <w:pPr>
      <w:ind w:left="720"/>
      <w:contextualSpacing/>
    </w:pPr>
  </w:style>
  <w:style w:type="character" w:styleId="IntenseEmphasis">
    <w:name w:val="Intense Emphasis"/>
    <w:basedOn w:val="DefaultParagraphFont"/>
    <w:uiPriority w:val="21"/>
    <w:qFormat/>
    <w:rsid w:val="00E81243"/>
    <w:rPr>
      <w:i/>
      <w:iCs/>
      <w:color w:val="0F4761" w:themeColor="accent1" w:themeShade="BF"/>
    </w:rPr>
  </w:style>
  <w:style w:type="paragraph" w:styleId="IntenseQuote">
    <w:name w:val="Intense Quote"/>
    <w:basedOn w:val="Normal"/>
    <w:next w:val="Normal"/>
    <w:link w:val="IntenseQuoteChar"/>
    <w:uiPriority w:val="30"/>
    <w:qFormat/>
    <w:rsid w:val="00E81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243"/>
    <w:rPr>
      <w:i/>
      <w:iCs/>
      <w:color w:val="0F4761" w:themeColor="accent1" w:themeShade="BF"/>
    </w:rPr>
  </w:style>
  <w:style w:type="character" w:styleId="IntenseReference">
    <w:name w:val="Intense Reference"/>
    <w:basedOn w:val="DefaultParagraphFont"/>
    <w:uiPriority w:val="32"/>
    <w:qFormat/>
    <w:rsid w:val="00E81243"/>
    <w:rPr>
      <w:b/>
      <w:bCs/>
      <w:smallCaps/>
      <w:color w:val="0F4761" w:themeColor="accent1" w:themeShade="BF"/>
      <w:spacing w:val="5"/>
    </w:rPr>
  </w:style>
  <w:style w:type="paragraph" w:styleId="FootnoteText">
    <w:name w:val="footnote text"/>
    <w:basedOn w:val="Normal"/>
    <w:link w:val="FootnoteTextChar"/>
    <w:uiPriority w:val="99"/>
    <w:semiHidden/>
    <w:unhideWhenUsed/>
    <w:rsid w:val="00E812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1243"/>
    <w:rPr>
      <w:sz w:val="20"/>
      <w:szCs w:val="20"/>
    </w:rPr>
  </w:style>
  <w:style w:type="character" w:styleId="FootnoteReference">
    <w:name w:val="footnote reference"/>
    <w:basedOn w:val="DefaultParagraphFont"/>
    <w:uiPriority w:val="99"/>
    <w:semiHidden/>
    <w:unhideWhenUsed/>
    <w:rsid w:val="00E81243"/>
    <w:rPr>
      <w:vertAlign w:val="superscript"/>
    </w:rPr>
  </w:style>
  <w:style w:type="character" w:styleId="Hyperlink">
    <w:name w:val="Hyperlink"/>
    <w:basedOn w:val="DefaultParagraphFont"/>
    <w:uiPriority w:val="99"/>
    <w:unhideWhenUsed/>
    <w:rsid w:val="008A3F37"/>
    <w:rPr>
      <w:color w:val="467886" w:themeColor="hyperlink"/>
      <w:u w:val="single"/>
    </w:rPr>
  </w:style>
  <w:style w:type="character" w:styleId="UnresolvedMention">
    <w:name w:val="Unresolved Mention"/>
    <w:basedOn w:val="DefaultParagraphFont"/>
    <w:uiPriority w:val="99"/>
    <w:semiHidden/>
    <w:unhideWhenUsed/>
    <w:rsid w:val="008A3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48364">
      <w:bodyDiv w:val="1"/>
      <w:marLeft w:val="0"/>
      <w:marRight w:val="0"/>
      <w:marTop w:val="0"/>
      <w:marBottom w:val="0"/>
      <w:divBdr>
        <w:top w:val="none" w:sz="0" w:space="0" w:color="auto"/>
        <w:left w:val="none" w:sz="0" w:space="0" w:color="auto"/>
        <w:bottom w:val="none" w:sz="0" w:space="0" w:color="auto"/>
        <w:right w:val="none" w:sz="0" w:space="0" w:color="auto"/>
      </w:divBdr>
      <w:divsChild>
        <w:div w:id="1874808027">
          <w:marLeft w:val="0"/>
          <w:marRight w:val="0"/>
          <w:marTop w:val="0"/>
          <w:marBottom w:val="0"/>
          <w:divBdr>
            <w:top w:val="none" w:sz="0" w:space="0" w:color="auto"/>
            <w:left w:val="none" w:sz="0" w:space="0" w:color="auto"/>
            <w:bottom w:val="none" w:sz="0" w:space="0" w:color="auto"/>
            <w:right w:val="none" w:sz="0" w:space="0" w:color="auto"/>
          </w:divBdr>
          <w:divsChild>
            <w:div w:id="199198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8553673" TargetMode="External"/><Relationship Id="rId13" Type="http://schemas.openxmlformats.org/officeDocument/2006/relationships/hyperlink" Target="http://www.jstor.org/stable/4402964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307/j.ctv3029sn2.20" TargetMode="External"/><Relationship Id="rId12" Type="http://schemas.openxmlformats.org/officeDocument/2006/relationships/hyperlink" Target="https://doi.org/10.2307/27670201" TargetMode="External"/><Relationship Id="rId17" Type="http://schemas.openxmlformats.org/officeDocument/2006/relationships/hyperlink" Target="http://www.jstor.org/stable/j.ctt1np92r" TargetMode="External"/><Relationship Id="rId2" Type="http://schemas.openxmlformats.org/officeDocument/2006/relationships/styles" Target="styles.xml"/><Relationship Id="rId16" Type="http://schemas.openxmlformats.org/officeDocument/2006/relationships/hyperlink" Target="http://www.jstor.org/stable/306294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6307534" TargetMode="External"/><Relationship Id="rId5" Type="http://schemas.openxmlformats.org/officeDocument/2006/relationships/footnotes" Target="footnotes.xml"/><Relationship Id="rId15" Type="http://schemas.openxmlformats.org/officeDocument/2006/relationships/hyperlink" Target="http://www.jstor.org/stable/20546428" TargetMode="External"/><Relationship Id="rId10" Type="http://schemas.openxmlformats.org/officeDocument/2006/relationships/hyperlink" Target="http://www.jstor.org/stable/2582151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307/j.ctt1vxm80v.6" TargetMode="External"/><Relationship Id="rId14" Type="http://schemas.openxmlformats.org/officeDocument/2006/relationships/hyperlink" Target="http://www.jstor.org/stable/329233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3292337" TargetMode="External"/><Relationship Id="rId13" Type="http://schemas.openxmlformats.org/officeDocument/2006/relationships/hyperlink" Target="http://www.jstor.org/stable/10.7312/butl11894" TargetMode="External"/><Relationship Id="rId3" Type="http://schemas.openxmlformats.org/officeDocument/2006/relationships/hyperlink" Target="http://www.jstor.org/stable/25821516" TargetMode="External"/><Relationship Id="rId7" Type="http://schemas.openxmlformats.org/officeDocument/2006/relationships/hyperlink" Target="https://www.jstor.org/stable/48553673" TargetMode="External"/><Relationship Id="rId12" Type="http://schemas.openxmlformats.org/officeDocument/2006/relationships/hyperlink" Target="https://doi.org/10.2307/j.ctv3029sn2.20" TargetMode="External"/><Relationship Id="rId2" Type="http://schemas.openxmlformats.org/officeDocument/2006/relationships/hyperlink" Target="https://doi.org/10.2307/1086704" TargetMode="External"/><Relationship Id="rId1" Type="http://schemas.openxmlformats.org/officeDocument/2006/relationships/hyperlink" Target="http://www.jstor.org/stable/j.ctt1np92r" TargetMode="External"/><Relationship Id="rId6" Type="http://schemas.openxmlformats.org/officeDocument/2006/relationships/hyperlink" Target="http://www.jstor.org/stable/3062948" TargetMode="External"/><Relationship Id="rId11" Type="http://schemas.openxmlformats.org/officeDocument/2006/relationships/hyperlink" Target="https://doi.org/10.2307/27670201" TargetMode="External"/><Relationship Id="rId5" Type="http://schemas.openxmlformats.org/officeDocument/2006/relationships/hyperlink" Target="http://www.jstor.org/stable/41301546" TargetMode="External"/><Relationship Id="rId10" Type="http://schemas.openxmlformats.org/officeDocument/2006/relationships/hyperlink" Target="http://www.jstor.org/stable/20546428" TargetMode="External"/><Relationship Id="rId4" Type="http://schemas.openxmlformats.org/officeDocument/2006/relationships/hyperlink" Target="http://www.jstor.org/stable/26307534" TargetMode="External"/><Relationship Id="rId9" Type="http://schemas.openxmlformats.org/officeDocument/2006/relationships/hyperlink" Target="http://www.jstor.org/stable/440296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60CAD-B255-4ACE-A6CC-82B472464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3303</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2025-01-13T18:54:00Z</dcterms:created>
  <dcterms:modified xsi:type="dcterms:W3CDTF">2025-01-13T18:54:00Z</dcterms:modified>
</cp:coreProperties>
</file>