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6259601" w14:textId="77777777" w:rsidR="00940B03" w:rsidRPr="00940B03" w:rsidRDefault="00940B03" w:rsidP="00940B03">
      <w:pPr>
        <w:jc w:val="both"/>
        <w:rPr>
          <w:rFonts w:ascii="Arial" w:hAnsi="Arial" w:cs="Arial"/>
          <w:sz w:val="24"/>
          <w:szCs w:val="24"/>
        </w:rPr>
      </w:pPr>
      <w:r w:rsidRPr="00940B03">
        <w:rPr>
          <w:rFonts w:ascii="Arial" w:hAnsi="Arial" w:cs="Arial"/>
          <w:sz w:val="24"/>
          <w:szCs w:val="24"/>
        </w:rPr>
        <w:t xml:space="preserve">Tort law is a branch of law that deals with civil wrongdoings. An individual who has suffered damage due to the breach of their rights may sue for damages. Negligence is without a doubt the most significant and dynamic area of tort law. Personal injury victims often file negligence claims after suffering a loss. However, there are other regimes that are also relevant to the claim in the context of personal injury actions (Deakin, Johnston and </w:t>
      </w:r>
      <w:proofErr w:type="spellStart"/>
      <w:r w:rsidRPr="00940B03">
        <w:rPr>
          <w:rFonts w:ascii="Arial" w:hAnsi="Arial" w:cs="Arial"/>
          <w:sz w:val="24"/>
          <w:szCs w:val="24"/>
        </w:rPr>
        <w:t>Markesinis</w:t>
      </w:r>
      <w:proofErr w:type="spellEnd"/>
      <w:r w:rsidRPr="00940B03">
        <w:rPr>
          <w:rFonts w:ascii="Arial" w:hAnsi="Arial" w:cs="Arial"/>
          <w:sz w:val="24"/>
          <w:szCs w:val="24"/>
        </w:rPr>
        <w:t>, 2003, p.74). During the late 19th and 20th centuries, judicial systems have experienced rapid expansion due to the pressures imposed by industrial and urban societies on traditional forms of legal redress when someone violates one's rights and interests (Brennan, 2022, p.1-22). The objective of this assignment is to critically analyse some circumstances that might cause courts to consider if an emergency service has a duty of care in the case of negligence claims.</w:t>
      </w:r>
    </w:p>
    <w:p w14:paraId="2AF86BB2" w14:textId="77777777" w:rsidR="00940B03" w:rsidRPr="00940B03" w:rsidRDefault="00940B03" w:rsidP="00940B03">
      <w:pPr>
        <w:jc w:val="both"/>
        <w:rPr>
          <w:rFonts w:ascii="Arial" w:hAnsi="Arial" w:cs="Arial"/>
          <w:sz w:val="24"/>
          <w:szCs w:val="24"/>
        </w:rPr>
      </w:pPr>
      <w:r w:rsidRPr="00940B03">
        <w:rPr>
          <w:rFonts w:ascii="Arial" w:hAnsi="Arial" w:cs="Arial"/>
          <w:sz w:val="24"/>
          <w:szCs w:val="24"/>
        </w:rPr>
        <w:t>Torts consist of three elements: duty of care, breach of duty, and causation. The duty of care entails a legal obligation to provide care when certain events or relationships occur. Although an individual may have acted carelessly in many situations, there will be no claim unless they had a duty of care to the person harmed. Furthermore, if a case shows clear breach and causation, but duty of care was absent at the time of the breach, the case will be rejected (</w:t>
      </w:r>
      <w:proofErr w:type="spellStart"/>
      <w:r w:rsidRPr="00940B03">
        <w:rPr>
          <w:rFonts w:ascii="Arial" w:hAnsi="Arial" w:cs="Arial"/>
          <w:sz w:val="24"/>
          <w:szCs w:val="24"/>
        </w:rPr>
        <w:t>Colyer</w:t>
      </w:r>
      <w:proofErr w:type="spellEnd"/>
      <w:r w:rsidRPr="00940B03">
        <w:rPr>
          <w:rFonts w:ascii="Arial" w:hAnsi="Arial" w:cs="Arial"/>
          <w:sz w:val="24"/>
          <w:szCs w:val="24"/>
        </w:rPr>
        <w:t xml:space="preserve">, 1966, p.30-44).  </w:t>
      </w:r>
    </w:p>
    <w:p w14:paraId="17486282" w14:textId="77777777" w:rsidR="00940B03" w:rsidRPr="00940B03" w:rsidRDefault="00940B03" w:rsidP="00940B03">
      <w:pPr>
        <w:jc w:val="both"/>
        <w:rPr>
          <w:rFonts w:ascii="Arial" w:hAnsi="Arial" w:cs="Arial"/>
          <w:sz w:val="24"/>
          <w:szCs w:val="24"/>
        </w:rPr>
      </w:pPr>
      <w:r w:rsidRPr="00940B03">
        <w:rPr>
          <w:rFonts w:ascii="Arial" w:hAnsi="Arial" w:cs="Arial"/>
          <w:sz w:val="24"/>
          <w:szCs w:val="24"/>
        </w:rPr>
        <w:t>Duty of care was generalised in the case of Donoghue v Stevenson [1932] AC 562. This case challenged the previous law limiting liability for careless conduct. Instead, it embraces an overarching duty of care. Lord Atkin held that two parties owed a general duty of care to one another under the 'neighbour principle’. Moreover, English law did not recognise any significant duty of care before Donoghue v Stevenson. In the absence of contract between the parties the plaintiff is unable to bring negligence against the defendant. As a result, individuals who suffer from clear instances of negligence suffer considerable injustices (Hutchinson, 1978, p. 515-533). In addition, the duty-of-care test is based on Caparo Industries v Dickman [1990] 2 AC 605. The Caparo test has three stages: foreseeability, proximity, and fairness. A duty of care will be established when all three stages are met. The defendant will be held liable for damages if the damages suffered was predictable and the claimant is close to the defendant (Cameron, 2019, p. 82-88).</w:t>
      </w:r>
    </w:p>
    <w:p w14:paraId="4EF7DCB5" w14:textId="77777777" w:rsidR="00940B03" w:rsidRPr="00940B03" w:rsidRDefault="00940B03" w:rsidP="00940B03">
      <w:pPr>
        <w:jc w:val="both"/>
        <w:rPr>
          <w:rFonts w:ascii="Arial" w:hAnsi="Arial" w:cs="Arial"/>
          <w:sz w:val="24"/>
          <w:szCs w:val="24"/>
        </w:rPr>
      </w:pPr>
      <w:r w:rsidRPr="00940B03">
        <w:rPr>
          <w:rFonts w:ascii="Arial" w:hAnsi="Arial" w:cs="Arial"/>
          <w:sz w:val="24"/>
          <w:szCs w:val="24"/>
        </w:rPr>
        <w:t xml:space="preserve">Furthermore, when duty of care has been established the claimant must show that his/her rights have been infringed by the defendant. To determine the defendant's fault, there are two stages. Firstly, the court will establish the level of care that the defendant owed. To establish this, the court typically consider the likelihood of harm, the cost of avoiding harm, and the benefits for society if the activity is not conducted. Secondly, the damages caused must be result of defendant's breach of duty (Weir, 2006a, p.57-69). Moreover, to establish the factual causation the courts use the ‘but-for’ test. The 'but-for' test asks if the claimant would have suffered the losses or damages without the defendant's tort. The causation test is satisfied if the answer is no. However, if it is yes, the defendant is not liable. Although causation in most cases is straightforward, courts have recently dealt with complex cases (Weir, 2006b, p.70-90). For example, in the case of Fairchild v </w:t>
      </w:r>
      <w:proofErr w:type="spellStart"/>
      <w:r w:rsidRPr="00940B03">
        <w:rPr>
          <w:rFonts w:ascii="Arial" w:hAnsi="Arial" w:cs="Arial"/>
          <w:sz w:val="24"/>
          <w:szCs w:val="24"/>
        </w:rPr>
        <w:t>Glenhaven</w:t>
      </w:r>
      <w:proofErr w:type="spellEnd"/>
      <w:r w:rsidRPr="00940B03">
        <w:rPr>
          <w:rFonts w:ascii="Arial" w:hAnsi="Arial" w:cs="Arial"/>
          <w:sz w:val="24"/>
          <w:szCs w:val="24"/>
        </w:rPr>
        <w:t xml:space="preserve"> Funeral Homes [2003] 1 AC 32 it was not possible for the claimants to determine which breach of duty had caused them to contract mesothelioma because there were multiple employers who had </w:t>
      </w:r>
      <w:r w:rsidRPr="00940B03">
        <w:rPr>
          <w:rFonts w:ascii="Arial" w:hAnsi="Arial" w:cs="Arial"/>
          <w:sz w:val="24"/>
          <w:szCs w:val="24"/>
        </w:rPr>
        <w:lastRenderedPageBreak/>
        <w:t>negligently exposed them to asbestos. As a result, the House of Lords relaxed causality rules.</w:t>
      </w:r>
    </w:p>
    <w:p w14:paraId="15DAF089" w14:textId="77777777" w:rsidR="00940B03" w:rsidRPr="00940B03" w:rsidRDefault="00940B03" w:rsidP="00940B03">
      <w:pPr>
        <w:jc w:val="both"/>
        <w:rPr>
          <w:rFonts w:ascii="Arial" w:hAnsi="Arial" w:cs="Arial"/>
          <w:sz w:val="24"/>
          <w:szCs w:val="24"/>
        </w:rPr>
      </w:pPr>
      <w:r w:rsidRPr="00940B03">
        <w:rPr>
          <w:rFonts w:ascii="Arial" w:hAnsi="Arial" w:cs="Arial"/>
          <w:sz w:val="24"/>
          <w:szCs w:val="24"/>
        </w:rPr>
        <w:t>Emergency services include firefighters, police, and ambulances. Emergency services are responsible for assisting the public in danger. In some cases, they may also be liable for omissions. Whether emergency services have a duty of care toward citizens depends on the situations, and the nature of the emergency and how they respond. Therefore, the Human Rights Act 1998 (HRA) may play a role in negligence action against the emergency services. On the other hand, emergency services are not liable for negligence under policy grounds (Clark, 2021).</w:t>
      </w:r>
    </w:p>
    <w:p w14:paraId="0B4A7703" w14:textId="77777777" w:rsidR="00940B03" w:rsidRPr="00940B03" w:rsidRDefault="00940B03" w:rsidP="00940B03">
      <w:pPr>
        <w:jc w:val="both"/>
        <w:rPr>
          <w:rFonts w:ascii="Arial" w:hAnsi="Arial" w:cs="Arial"/>
          <w:sz w:val="24"/>
          <w:szCs w:val="24"/>
        </w:rPr>
      </w:pPr>
      <w:r w:rsidRPr="00940B03">
        <w:rPr>
          <w:rFonts w:ascii="Arial" w:hAnsi="Arial" w:cs="Arial"/>
          <w:sz w:val="24"/>
          <w:szCs w:val="24"/>
        </w:rPr>
        <w:t xml:space="preserve">Police duty of care was first addressed in the case of Hill v Chief Constable of West Yorkshire [1988] 2 All ER 238 the court ruled that there did not appear to be any proximity between the police and the claimant. Therefore, no duty of care was owed. Moreover, in the case of </w:t>
      </w:r>
      <w:proofErr w:type="spellStart"/>
      <w:r w:rsidRPr="00940B03">
        <w:rPr>
          <w:rFonts w:ascii="Arial" w:hAnsi="Arial" w:cs="Arial"/>
          <w:sz w:val="24"/>
          <w:szCs w:val="24"/>
        </w:rPr>
        <w:t>Alcock</w:t>
      </w:r>
      <w:proofErr w:type="spellEnd"/>
      <w:r w:rsidRPr="00940B03">
        <w:rPr>
          <w:rFonts w:ascii="Arial" w:hAnsi="Arial" w:cs="Arial"/>
          <w:sz w:val="24"/>
          <w:szCs w:val="24"/>
        </w:rPr>
        <w:t xml:space="preserve"> v Chief Constable of South Yorkshire Police, 1991, 4 All ER 907 the court stated that lack of proximity limits the duty of care. However, the case of Rigby v Chief Constable of Northamptonshire, 1985, 2 All ER 985 demonstrates that the police may be held responsible for injuries caused by their negligence (Steel, 2021). Furthermore, according to the court in Swinney v Chief Constable of Northumbria (NO 2) [1997] QB 464 the police were responsible for the safety of informants due to handling confidential information. Therefore, the police owed duty of care to the informants. Similarly, in the case An Informer v A Chief Constable [2012], the police were not liable for pure economic loss to an informer but had a duty of care for their physical safety. The Court of Appeal ruled that police were obligated to protect an informer from risks to their physical safety and wellbeing resulting from their activities providing information about others, as the police had a confidential relationship with the informer (Malik, 1997, p.104-107).</w:t>
      </w:r>
    </w:p>
    <w:p w14:paraId="42C46D41" w14:textId="77777777" w:rsidR="00940B03" w:rsidRPr="00940B03" w:rsidRDefault="00940B03" w:rsidP="00940B03">
      <w:pPr>
        <w:jc w:val="both"/>
        <w:rPr>
          <w:rFonts w:ascii="Arial" w:hAnsi="Arial" w:cs="Arial"/>
          <w:sz w:val="24"/>
          <w:szCs w:val="24"/>
        </w:rPr>
      </w:pPr>
      <w:r w:rsidRPr="00940B03">
        <w:rPr>
          <w:rFonts w:ascii="Arial" w:hAnsi="Arial" w:cs="Arial"/>
          <w:sz w:val="24"/>
          <w:szCs w:val="24"/>
        </w:rPr>
        <w:t xml:space="preserve">Furthermore, in Knightly v Johns [1982] 1 WLR 349 the chain of causation was broken by a new intervening act, which led to a successful lawsuit against the police. On the other hand, the case of </w:t>
      </w:r>
      <w:proofErr w:type="spellStart"/>
      <w:r w:rsidRPr="00940B03">
        <w:rPr>
          <w:rFonts w:ascii="Arial" w:hAnsi="Arial" w:cs="Arial"/>
          <w:sz w:val="24"/>
          <w:szCs w:val="24"/>
        </w:rPr>
        <w:t>Alexandrou</w:t>
      </w:r>
      <w:proofErr w:type="spellEnd"/>
      <w:r w:rsidRPr="00940B03">
        <w:rPr>
          <w:rFonts w:ascii="Arial" w:hAnsi="Arial" w:cs="Arial"/>
          <w:sz w:val="24"/>
          <w:szCs w:val="24"/>
        </w:rPr>
        <w:t xml:space="preserve"> v Oxford [1993] 4 All ER 328 provides clear evidence that fail to respond to an emergency does not hold the police liable. Furthermore, in Brooks v Metropolitan Police Commissioner [2005] 2 All ER 489, the court ruled that because of a public policy matter, police officers generally don't owe a duty of care to victims and witnesses of criminal activity that they investigate. Moreover, in Robinson v Chief Constable of West Yorkshire Police [2014] EWCA </w:t>
      </w:r>
      <w:proofErr w:type="spellStart"/>
      <w:r w:rsidRPr="00940B03">
        <w:rPr>
          <w:rFonts w:ascii="Arial" w:hAnsi="Arial" w:cs="Arial"/>
          <w:sz w:val="24"/>
          <w:szCs w:val="24"/>
        </w:rPr>
        <w:t>Civ</w:t>
      </w:r>
      <w:proofErr w:type="spellEnd"/>
      <w:r w:rsidRPr="00940B03">
        <w:rPr>
          <w:rFonts w:ascii="Arial" w:hAnsi="Arial" w:cs="Arial"/>
          <w:sz w:val="24"/>
          <w:szCs w:val="24"/>
        </w:rPr>
        <w:t xml:space="preserve"> 15, the Court of Appeal stated the police had not acted negligently because a "duty of care" arises when three criteria are met: foreseeability of damage; proximity; and fair, just, and reasonable treatment. Furthermore, in case of Michael v Chief Constable of South Wales Police, 2015 [2015] 2 WLR 343, the court dismissed the negligence claim because this was a policy issue. Based on the cases cited here, duty of care between the caller and the police is not automatically established after a 999 call. However, when arriving at the scene the police are accepted not to act in manner that will deteriorate the matters (Steele, 2008, p. 239–241). </w:t>
      </w:r>
    </w:p>
    <w:p w14:paraId="04A0352D" w14:textId="77777777" w:rsidR="00940B03" w:rsidRPr="00940B03" w:rsidRDefault="00940B03" w:rsidP="00940B03">
      <w:pPr>
        <w:jc w:val="both"/>
        <w:rPr>
          <w:rFonts w:ascii="Arial" w:hAnsi="Arial" w:cs="Arial"/>
          <w:sz w:val="24"/>
          <w:szCs w:val="24"/>
        </w:rPr>
      </w:pPr>
      <w:r w:rsidRPr="00940B03">
        <w:rPr>
          <w:rFonts w:ascii="Arial" w:hAnsi="Arial" w:cs="Arial"/>
          <w:sz w:val="24"/>
          <w:szCs w:val="24"/>
        </w:rPr>
        <w:t xml:space="preserve">Fire services are another emergency service, but their liability is limited. A case defining their position is Capital &amp; Counties Plc v Hampshire CC [10]. A duty of care was owed in this case because the fire brigade turned off the sprinklers and increased </w:t>
      </w:r>
      <w:r w:rsidRPr="00940B03">
        <w:rPr>
          <w:rFonts w:ascii="Arial" w:hAnsi="Arial" w:cs="Arial"/>
          <w:sz w:val="24"/>
          <w:szCs w:val="24"/>
        </w:rPr>
        <w:lastRenderedPageBreak/>
        <w:t xml:space="preserve">damages. Also, this case established that fire service are not duty bound to answer the calls for assistance under common law. Furthermore, if they fail to show up or if they are late in a situation in which they carelessly interpret a message from a victim or get lost in the process or may be run over by a tree, they will not be liable. However, the fire service is not allowed to exacerbate the harm caused by the fire once they have responded to it. Moreover, in the case of Church of Jesus Christ of </w:t>
      </w:r>
      <w:proofErr w:type="gramStart"/>
      <w:r w:rsidRPr="00940B03">
        <w:rPr>
          <w:rFonts w:ascii="Arial" w:hAnsi="Arial" w:cs="Arial"/>
          <w:sz w:val="24"/>
          <w:szCs w:val="24"/>
        </w:rPr>
        <w:t>Latter Day</w:t>
      </w:r>
      <w:proofErr w:type="gramEnd"/>
      <w:r w:rsidRPr="00940B03">
        <w:rPr>
          <w:rFonts w:ascii="Arial" w:hAnsi="Arial" w:cs="Arial"/>
          <w:sz w:val="24"/>
          <w:szCs w:val="24"/>
        </w:rPr>
        <w:t xml:space="preserve"> Saints v. Yorkshire Fire and Civil Defence Authority the claim for breach of statutory duty was brought by the claimant against the fire department for failing to inspect hydrants. But the claim was dismissed since there was no duty of care owed by the brigade. Similarly, in John Munroe (Acrylics) Ltd v London Fire and Civil Defence Authority, the Court ruled on a preliminary issue that there was no duty of care (Hartshorne, Smith, and Everton, 2000, p. 502–522).</w:t>
      </w:r>
    </w:p>
    <w:p w14:paraId="1124BBAB" w14:textId="77777777" w:rsidR="00940B03" w:rsidRPr="00940B03" w:rsidRDefault="00940B03" w:rsidP="00940B03">
      <w:pPr>
        <w:jc w:val="both"/>
        <w:rPr>
          <w:rFonts w:ascii="Arial" w:hAnsi="Arial" w:cs="Arial"/>
          <w:sz w:val="24"/>
          <w:szCs w:val="24"/>
        </w:rPr>
      </w:pPr>
      <w:r w:rsidRPr="00940B03">
        <w:rPr>
          <w:rFonts w:ascii="Arial" w:hAnsi="Arial" w:cs="Arial"/>
          <w:sz w:val="24"/>
          <w:szCs w:val="24"/>
        </w:rPr>
        <w:t>Ambulances have more liability compared to other emergency services. In the case of Kent v Griffiths [2000] 2 WLR 1158 the court ruled that an actionable negligence claim can be brought against the ambulance services for irrational delay. Furthermore, ambulances have one trained doctor on board. This has become crucial aspect of emergency services and the doctors on board are responsible for ensuring that individual patients are treated as quickly as possible. A patient in an ambulance is entitled to reasonable care since it creates a doctor-patient relationship. Furthermore, the ambulance service is responsible for responding within a reasonable time if a call is for help. By accepting the call, proximity between the parties is established (Williams, 2007, p153-175).</w:t>
      </w:r>
    </w:p>
    <w:p w14:paraId="49404B10" w14:textId="77777777" w:rsidR="00940B03" w:rsidRPr="00940B03" w:rsidRDefault="00940B03" w:rsidP="00940B03">
      <w:pPr>
        <w:jc w:val="both"/>
        <w:rPr>
          <w:rFonts w:ascii="Arial" w:hAnsi="Arial" w:cs="Arial"/>
          <w:sz w:val="24"/>
          <w:szCs w:val="24"/>
        </w:rPr>
      </w:pPr>
      <w:r w:rsidRPr="00940B03">
        <w:rPr>
          <w:rFonts w:ascii="Arial" w:hAnsi="Arial" w:cs="Arial"/>
          <w:sz w:val="24"/>
          <w:szCs w:val="24"/>
        </w:rPr>
        <w:t>In October 2000, the Human Rights Act 1998 (HRA) became operative, introducing human rights concerns to tort law. The UK was one of the first to sign the European Convention on Human Rights 1950 (ECHR), but the rights contained in the Convention had not become part of national law until the Act. According to HRA 1998, the ECHR can be applied directly or indirectly. In English law, majority of the ECHR's rights can be enforced against public organisations. Public authorities are defined by section 6 (3) of the HRA 1998 as courts or tribunals or individuals whose functions are public. As defined in Section 6 (3) of the HRA 1998, the emergency services are a public authority (Crone et al, 2002, p.269-281).</w:t>
      </w:r>
    </w:p>
    <w:p w14:paraId="428C8AA4" w14:textId="77777777" w:rsidR="00940B03" w:rsidRPr="00940B03" w:rsidRDefault="00940B03" w:rsidP="00940B03">
      <w:pPr>
        <w:jc w:val="both"/>
        <w:rPr>
          <w:rFonts w:ascii="Arial" w:hAnsi="Arial" w:cs="Arial"/>
          <w:sz w:val="24"/>
          <w:szCs w:val="24"/>
        </w:rPr>
      </w:pPr>
      <w:r w:rsidRPr="00940B03">
        <w:rPr>
          <w:rFonts w:ascii="Arial" w:hAnsi="Arial" w:cs="Arial"/>
          <w:sz w:val="24"/>
          <w:szCs w:val="24"/>
        </w:rPr>
        <w:t xml:space="preserve">Moreover, the English judiciary faced enormous difficulties after the decision Osman v United Kingdom [1999] 1 FLR 193 (ECHR). A review of the Court of Appeal decision in Osman was conducted by the European Court of Human Rights (ECtHR). It was held by the ECtHR that special immunity granted to the police violated Article 6 of the ECHR. Furthermore, the ECtHR stated that the Court of Appeal failed to demonstrate that it had balanced out any competing public interest arguments in determining the scope and application of such immunity. As a result, victims of crime who suffer personal injury may pursue an action under section 24 of the HRA 1998. 6 and 7, against the police for failure to prevent the crime. According to the court in Van Colle v Chief Constable of Hertfordshire Police [2008] UKHL 50, following the directions of Article 2 of the ECHR and Osman v United Kingdom, the authority had a positive obligation to prevent the act of another from harming the individual whose life was at ‘real or immediate risk’ as a result. Therefore, it is evident that Human Rights Act has </w:t>
      </w:r>
      <w:r w:rsidRPr="00940B03">
        <w:rPr>
          <w:rFonts w:ascii="Arial" w:hAnsi="Arial" w:cs="Arial"/>
          <w:sz w:val="24"/>
          <w:szCs w:val="24"/>
        </w:rPr>
        <w:lastRenderedPageBreak/>
        <w:t xml:space="preserve">had and continues to have an impact on the English substantive tort law (Morgan, 2018, p. 244-248). </w:t>
      </w:r>
    </w:p>
    <w:p w14:paraId="24AF89A6" w14:textId="77777777" w:rsidR="00940B03" w:rsidRPr="00940B03" w:rsidRDefault="00940B03" w:rsidP="00940B03">
      <w:pPr>
        <w:jc w:val="both"/>
        <w:rPr>
          <w:rFonts w:ascii="Arial" w:hAnsi="Arial" w:cs="Arial"/>
          <w:sz w:val="24"/>
          <w:szCs w:val="24"/>
        </w:rPr>
      </w:pPr>
      <w:r w:rsidRPr="00940B03">
        <w:rPr>
          <w:rFonts w:ascii="Arial" w:hAnsi="Arial" w:cs="Arial"/>
          <w:sz w:val="24"/>
          <w:szCs w:val="24"/>
        </w:rPr>
        <w:t xml:space="preserve">Furthermore, an employer has a duty in law to ensure the safety of employees; this duty is primarily the same as a traditional duty of care to avoid negligence (Rodrigues, 2014, p.3). This duty includes providing competent staff, adequate materials, and a safe working environment, according to Lord Wright in the case of Wilson &amp; Clyde Coal Co v English (1937). The process could also include situations where employees do not receive warnings about potential dangers - such as in the case of Pape v Cumbria County Council [1992] 2 All ER 2111. The employer failed to inform the claimant that not wearing gloves while handling chemicals could cause such issues and was therefore the employer was held liable. Furthermore, in Clifford v Charles </w:t>
      </w:r>
      <w:proofErr w:type="spellStart"/>
      <w:r w:rsidRPr="00940B03">
        <w:rPr>
          <w:rFonts w:ascii="Arial" w:hAnsi="Arial" w:cs="Arial"/>
          <w:sz w:val="24"/>
          <w:szCs w:val="24"/>
        </w:rPr>
        <w:t>Challen</w:t>
      </w:r>
      <w:proofErr w:type="spellEnd"/>
      <w:r w:rsidRPr="00940B03">
        <w:rPr>
          <w:rFonts w:ascii="Arial" w:hAnsi="Arial" w:cs="Arial"/>
          <w:sz w:val="24"/>
          <w:szCs w:val="24"/>
        </w:rPr>
        <w:t xml:space="preserve"> &amp; Son (1951), the Court of Appeal have established that safe working system, sufficient working equipment at the workplace and expert supervision is need for the employees. </w:t>
      </w:r>
    </w:p>
    <w:p w14:paraId="7D40777F" w14:textId="77777777" w:rsidR="00940B03" w:rsidRPr="00940B03" w:rsidRDefault="00940B03" w:rsidP="00940B03">
      <w:pPr>
        <w:jc w:val="both"/>
        <w:rPr>
          <w:rFonts w:ascii="Arial" w:hAnsi="Arial" w:cs="Arial"/>
          <w:sz w:val="24"/>
          <w:szCs w:val="24"/>
        </w:rPr>
      </w:pPr>
      <w:r w:rsidRPr="00940B03">
        <w:rPr>
          <w:rFonts w:ascii="Arial" w:hAnsi="Arial" w:cs="Arial"/>
          <w:sz w:val="24"/>
          <w:szCs w:val="24"/>
        </w:rPr>
        <w:t>The Law Reform (Contributory Negligence) Act 1945 lets the courts divide damages between injured parties and defendants liable in tort in a just and equitable way. Prior to the Act, contributory negligence was a full defence to negligence claims. In certain cases, a dominant party could avoid paying compensation if the claimant was marginally responsible for the injury. Also, under the Act, courts are required to use the appropriate method when considering damages owed to parties (Arvind and Steele, 2012, p.159-185).</w:t>
      </w:r>
    </w:p>
    <w:p w14:paraId="2D354D4E" w14:textId="77777777" w:rsidR="00940B03" w:rsidRPr="00940B03" w:rsidRDefault="00940B03" w:rsidP="00940B03">
      <w:pPr>
        <w:jc w:val="both"/>
        <w:rPr>
          <w:rFonts w:ascii="Arial" w:hAnsi="Arial" w:cs="Arial"/>
          <w:sz w:val="24"/>
          <w:szCs w:val="24"/>
        </w:rPr>
      </w:pPr>
      <w:r w:rsidRPr="00940B03">
        <w:rPr>
          <w:rFonts w:ascii="Arial" w:hAnsi="Arial" w:cs="Arial"/>
          <w:sz w:val="24"/>
          <w:szCs w:val="24"/>
        </w:rPr>
        <w:t xml:space="preserve">To sum up, negligence caused by emergency services are particularly complex as they are public services. Thus, court investigate policy grounds when identifying a duty of care. To impose liability for a duty of care, the courts must also examine whether it is just, fair, and reasonable in all circumstances. Following a series of cases, it has been established that police, fire fighters do not owe a duty of care to individual members of the public except in exceptional circumstances. However, ambulance services have a duty of care towards individuals if they accept a call from 999. Through the cases, it has been established that accepting a call from 999 establishes a close relationship between an ambulance service and the caller. Nevertheless, the Human Rights Act 1998 (HRA) shows that victims might be able to use human rights litigation to overcome their claim against the immunity of emergency services. </w:t>
      </w:r>
    </w:p>
    <w:p w14:paraId="2A919761" w14:textId="77777777" w:rsidR="00E43255" w:rsidRPr="00940B03" w:rsidRDefault="00E43255" w:rsidP="00940B03">
      <w:pPr>
        <w:jc w:val="both"/>
        <w:rPr>
          <w:rFonts w:ascii="Arial" w:hAnsi="Arial" w:cs="Arial"/>
          <w:sz w:val="24"/>
          <w:szCs w:val="24"/>
        </w:rPr>
      </w:pPr>
    </w:p>
    <w:sectPr w:rsidR="00E43255" w:rsidRPr="00940B0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40B03"/>
    <w:rsid w:val="00940B03"/>
    <w:rsid w:val="00E4325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3B39725"/>
  <w15:chartTrackingRefBased/>
  <w15:docId w15:val="{5F2C893A-40D3-4231-A8EA-6DF89E25595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4</Pages>
  <Words>1976</Words>
  <Characters>11267</Characters>
  <Application>Microsoft Office Word</Application>
  <DocSecurity>0</DocSecurity>
  <Lines>93</Lines>
  <Paragraphs>26</Paragraphs>
  <ScaleCrop>false</ScaleCrop>
  <Company/>
  <LinksUpToDate>false</LinksUpToDate>
  <CharactersWithSpaces>13217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Mukta Khan</dc:creator>
  <cp:keywords/>
  <dc:description/>
  <cp:lastModifiedBy>Mukta Khan</cp:lastModifiedBy>
  <cp:revision>1</cp:revision>
  <dcterms:created xsi:type="dcterms:W3CDTF">2022-11-11T14:26:00Z</dcterms:created>
  <dcterms:modified xsi:type="dcterms:W3CDTF">2022-11-11T14:28:00Z</dcterms:modified>
</cp:coreProperties>
</file>