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38F22B" w14:textId="51CBCE74" w:rsidR="008403C6" w:rsidRPr="00824789" w:rsidRDefault="008403C6" w:rsidP="008403C6">
      <w:pPr>
        <w:spacing w:line="360" w:lineRule="auto"/>
        <w:jc w:val="center"/>
        <w:rPr>
          <w:b/>
          <w:bCs/>
          <w:u w:val="single"/>
        </w:rPr>
      </w:pPr>
      <w:r>
        <w:rPr>
          <w:b/>
          <w:bCs/>
          <w:u w:val="single"/>
        </w:rPr>
        <w:t>Design, conduct and critically evaluate a close-to-practice research project (lesson study) focusing on the model of the transformative teacher in developing practice that has a positive impact on the learner.</w:t>
      </w:r>
      <w:bookmarkStart w:id="0" w:name="_GoBack"/>
      <w:bookmarkEnd w:id="0"/>
    </w:p>
    <w:p w14:paraId="13A2DCEE" w14:textId="77777777" w:rsidR="00674A33" w:rsidRPr="00824789" w:rsidRDefault="00674A33" w:rsidP="00674A33">
      <w:pPr>
        <w:spacing w:line="360" w:lineRule="auto"/>
        <w:rPr>
          <w:b/>
          <w:bCs/>
          <w:u w:val="single"/>
        </w:rPr>
      </w:pPr>
    </w:p>
    <w:p w14:paraId="6A0254CD" w14:textId="77777777" w:rsidR="00674A33" w:rsidRPr="00735A3D" w:rsidRDefault="00674A33" w:rsidP="00674A33">
      <w:pPr>
        <w:spacing w:line="360" w:lineRule="auto"/>
        <w:rPr>
          <w:b/>
          <w:bCs/>
          <w:u w:val="single"/>
        </w:rPr>
      </w:pPr>
      <w:r w:rsidRPr="00735A3D">
        <w:rPr>
          <w:b/>
          <w:bCs/>
          <w:u w:val="single"/>
        </w:rPr>
        <w:t>Aim, focus and purpose of the research</w:t>
      </w:r>
    </w:p>
    <w:p w14:paraId="767C1B1B" w14:textId="77777777" w:rsidR="00674A33" w:rsidRDefault="00674A33" w:rsidP="00674A33">
      <w:pPr>
        <w:spacing w:line="360" w:lineRule="auto"/>
      </w:pPr>
    </w:p>
    <w:p w14:paraId="1228C476" w14:textId="77777777" w:rsidR="00674A33" w:rsidRDefault="00674A33" w:rsidP="00674A33">
      <w:pPr>
        <w:spacing w:line="360" w:lineRule="auto"/>
      </w:pPr>
      <w:r>
        <w:t xml:space="preserve">The main aim of the research was to participate in enquiry-oriented practice in order to decipher how effectively </w:t>
      </w:r>
      <w:proofErr w:type="spellStart"/>
      <w:r>
        <w:t>AfL</w:t>
      </w:r>
      <w:proofErr w:type="spellEnd"/>
      <w:r>
        <w:t xml:space="preserve"> strategies such as Think, Pair, Share (TPS) were being implemented and used within lessons. This interested me as I am a big advocate for using </w:t>
      </w:r>
      <w:proofErr w:type="spellStart"/>
      <w:r>
        <w:t>AfL</w:t>
      </w:r>
      <w:proofErr w:type="spellEnd"/>
      <w:r>
        <w:t xml:space="preserve"> strategies and encouraging children to engage within discussion about their thoughts, opinions and their learning in more depth. It can be stated by Donaldson (2015, p.7) that “sound pedagogy… requires high-quality teachers with a sound understanding of the ‘why’ and ‘how’ of teaching as well as the ‘what’ ”. Through this experience, I have been able to gather a clearer insight into how and why TPS is used and what the impact of it is. </w:t>
      </w:r>
    </w:p>
    <w:p w14:paraId="41059AD7" w14:textId="77777777" w:rsidR="00674A33" w:rsidRDefault="00674A33" w:rsidP="00674A33">
      <w:pPr>
        <w:spacing w:line="360" w:lineRule="auto"/>
      </w:pPr>
    </w:p>
    <w:p w14:paraId="0F11F7E2" w14:textId="77777777" w:rsidR="00674A33" w:rsidRDefault="00674A33" w:rsidP="00674A33">
      <w:pPr>
        <w:spacing w:line="360" w:lineRule="auto"/>
      </w:pPr>
    </w:p>
    <w:p w14:paraId="3F5F6168" w14:textId="77777777" w:rsidR="00674A33" w:rsidRPr="00735A3D" w:rsidRDefault="00674A33" w:rsidP="00674A33">
      <w:pPr>
        <w:spacing w:line="360" w:lineRule="auto"/>
        <w:rPr>
          <w:b/>
          <w:bCs/>
          <w:u w:val="single"/>
        </w:rPr>
      </w:pPr>
      <w:r w:rsidRPr="00735A3D">
        <w:rPr>
          <w:b/>
          <w:bCs/>
          <w:u w:val="single"/>
        </w:rPr>
        <w:t>Research context</w:t>
      </w:r>
    </w:p>
    <w:p w14:paraId="4928B77C" w14:textId="77777777" w:rsidR="00674A33" w:rsidRDefault="00674A33" w:rsidP="00674A33">
      <w:pPr>
        <w:spacing w:line="360" w:lineRule="auto"/>
      </w:pPr>
    </w:p>
    <w:p w14:paraId="3A13EEAF" w14:textId="77777777" w:rsidR="00674A33" w:rsidRDefault="00674A33" w:rsidP="00674A33">
      <w:pPr>
        <w:spacing w:line="360" w:lineRule="auto"/>
      </w:pPr>
      <w:r>
        <w:t xml:space="preserve">The research took place in two year four classes in the same school. My year 4 class has 31 children and the other year four class has 30 children. In my class, the children use </w:t>
      </w:r>
      <w:proofErr w:type="spellStart"/>
      <w:r>
        <w:t>AfL</w:t>
      </w:r>
      <w:proofErr w:type="spellEnd"/>
      <w:r>
        <w:t xml:space="preserve"> strategies frequently to enhance their understanding and their discussion. The most frequently used methods in the class are Thumbs up, Thumbs down, and TPS.  I discussed this with my research partner to identify any similarities and differences in the types of </w:t>
      </w:r>
      <w:proofErr w:type="spellStart"/>
      <w:r>
        <w:t>AfL</w:t>
      </w:r>
      <w:proofErr w:type="spellEnd"/>
      <w:r>
        <w:t xml:space="preserve"> strategies used. From this, TPS was highlighted as a strategy used in both classes, and henceforth, our research question is ‘How effective is Think, Pair, Share in supporting children’s engagement within discussion’. </w:t>
      </w:r>
    </w:p>
    <w:p w14:paraId="29B872DD" w14:textId="77777777" w:rsidR="00674A33" w:rsidRDefault="00674A33" w:rsidP="00674A33">
      <w:pPr>
        <w:spacing w:line="360" w:lineRule="auto"/>
      </w:pPr>
    </w:p>
    <w:p w14:paraId="241B401C" w14:textId="77777777" w:rsidR="00674A33" w:rsidRDefault="00674A33" w:rsidP="00674A33">
      <w:pPr>
        <w:spacing w:line="360" w:lineRule="auto"/>
      </w:pPr>
    </w:p>
    <w:p w14:paraId="44773203" w14:textId="77777777" w:rsidR="00674A33" w:rsidRPr="007A2D4C" w:rsidRDefault="00674A33" w:rsidP="00674A33">
      <w:pPr>
        <w:spacing w:line="360" w:lineRule="auto"/>
        <w:rPr>
          <w:b/>
          <w:bCs/>
          <w:u w:val="single"/>
        </w:rPr>
      </w:pPr>
      <w:r w:rsidRPr="007A2D4C">
        <w:rPr>
          <w:b/>
          <w:bCs/>
          <w:u w:val="single"/>
        </w:rPr>
        <w:t>Relevant Literature</w:t>
      </w:r>
    </w:p>
    <w:p w14:paraId="2BC66DA4" w14:textId="77777777" w:rsidR="00674A33" w:rsidRDefault="00674A33" w:rsidP="00674A33">
      <w:pPr>
        <w:spacing w:line="360" w:lineRule="auto"/>
      </w:pPr>
    </w:p>
    <w:p w14:paraId="7668EA2B" w14:textId="77777777" w:rsidR="00674A33" w:rsidRDefault="00674A33" w:rsidP="00674A33">
      <w:pPr>
        <w:spacing w:line="360" w:lineRule="auto"/>
      </w:pPr>
      <w:r>
        <w:t xml:space="preserve">From the discussion held with my research partner, I delved into the research surrounding the topic of TPS through the use of books, journal articles, conference papers, and other </w:t>
      </w:r>
      <w:r>
        <w:lastRenderedPageBreak/>
        <w:t>online material. From this, I was able to develop a clearer knowledge of TPS as an Assessment for Learning (</w:t>
      </w:r>
      <w:proofErr w:type="spellStart"/>
      <w:r>
        <w:t>AfL</w:t>
      </w:r>
      <w:proofErr w:type="spellEnd"/>
      <w:r>
        <w:t xml:space="preserve">) strategy and the strengths and weaknesses of using it within an educational setting.  </w:t>
      </w:r>
    </w:p>
    <w:p w14:paraId="31EC594D" w14:textId="77777777" w:rsidR="00674A33" w:rsidRDefault="00674A33" w:rsidP="00674A33">
      <w:pPr>
        <w:spacing w:line="360" w:lineRule="auto"/>
      </w:pPr>
    </w:p>
    <w:p w14:paraId="532AA52E" w14:textId="77777777" w:rsidR="00674A33" w:rsidRDefault="00674A33" w:rsidP="00674A33">
      <w:pPr>
        <w:spacing w:line="360" w:lineRule="auto"/>
      </w:pPr>
      <w:proofErr w:type="spellStart"/>
      <w:r>
        <w:t>AfL</w:t>
      </w:r>
      <w:proofErr w:type="spellEnd"/>
      <w:r>
        <w:t xml:space="preserve"> can be perceived as identifying where children are, what they need to do next in their learning, and how to get them there (Assessment Reform Group, 2002). This information is gathered from both the students in their lessons and learning, as well as from the teachers’ perspectives and knowledge of assessment- as linked to the national curriculum (Donaldson, 2015). The main aim of </w:t>
      </w:r>
      <w:proofErr w:type="spellStart"/>
      <w:r>
        <w:t>AfL</w:t>
      </w:r>
      <w:proofErr w:type="spellEnd"/>
      <w:r>
        <w:t xml:space="preserve"> is for teachers to deliver effective, timely feedback to students within lessons to ensure that all needs are being met (Donaldson, 2015; Black and </w:t>
      </w:r>
      <w:proofErr w:type="spellStart"/>
      <w:r>
        <w:t>Wiliam</w:t>
      </w:r>
      <w:proofErr w:type="spellEnd"/>
      <w:r>
        <w:t xml:space="preserve">, 2006). The research of Hattie and Timperley (2007) supports this as they emphasise that providing students with quality feedback is extremely beneficial for their development in learning. WAG (2010) point out that in order for feedback to be effective, it needs to be clear, given immediately after the discussion or answer, and should encourage children to think about how to improve for progression. Not only will this support the children to develop their thinking, but it will also increase standards for all pupils. This is explored further by Black and </w:t>
      </w:r>
      <w:proofErr w:type="spellStart"/>
      <w:r>
        <w:t>Wiliam</w:t>
      </w:r>
      <w:proofErr w:type="spellEnd"/>
      <w:r>
        <w:t xml:space="preserve"> (1998) who express within their research ‘Inside the Black Box’ that </w:t>
      </w:r>
      <w:proofErr w:type="spellStart"/>
      <w:r>
        <w:t>AfL</w:t>
      </w:r>
      <w:proofErr w:type="spellEnd"/>
      <w:r>
        <w:t xml:space="preserve"> raises standards for all children; especially those who are low attaining (Black et al, 2004). </w:t>
      </w:r>
    </w:p>
    <w:p w14:paraId="260FB71F" w14:textId="77777777" w:rsidR="00674A33" w:rsidRDefault="00674A33" w:rsidP="00674A33">
      <w:pPr>
        <w:spacing w:line="360" w:lineRule="auto"/>
      </w:pPr>
    </w:p>
    <w:p w14:paraId="43F0D8D5" w14:textId="77777777" w:rsidR="00674A33" w:rsidRDefault="00674A33" w:rsidP="00674A33">
      <w:pPr>
        <w:spacing w:line="360" w:lineRule="auto"/>
      </w:pPr>
      <w:r>
        <w:t xml:space="preserve">Moving further into a specific aspect of </w:t>
      </w:r>
      <w:proofErr w:type="spellStart"/>
      <w:r>
        <w:t>AfL</w:t>
      </w:r>
      <w:proofErr w:type="spellEnd"/>
      <w:r>
        <w:t>, the strategy implemented within the lesson study was TPS. Frank Lyman developed TPS as a learning model in 1981 and it has been developed into a widely used strategy within education systems around the world (</w:t>
      </w:r>
      <w:proofErr w:type="spellStart"/>
      <w:r>
        <w:t>Kholid</w:t>
      </w:r>
      <w:proofErr w:type="spellEnd"/>
      <w:r>
        <w:t xml:space="preserve">, </w:t>
      </w:r>
      <w:proofErr w:type="spellStart"/>
      <w:r>
        <w:t>Muklis</w:t>
      </w:r>
      <w:proofErr w:type="spellEnd"/>
      <w:r>
        <w:t xml:space="preserve"> and </w:t>
      </w:r>
      <w:proofErr w:type="spellStart"/>
      <w:r>
        <w:t>Khasanah</w:t>
      </w:r>
      <w:proofErr w:type="spellEnd"/>
      <w:r>
        <w:t xml:space="preserve">, 2014). Much research suggests that TPS is a structured strategy used to enhance collaboration through discussion (Holcomb, 2001; Kwok and Lau, 2015). It can be stated by </w:t>
      </w:r>
      <w:proofErr w:type="spellStart"/>
      <w:r>
        <w:t>Wasowski</w:t>
      </w:r>
      <w:proofErr w:type="spellEnd"/>
      <w:r>
        <w:t xml:space="preserve"> (2009) that TPS can be extremely valuable within the classroom as it incorporates discussion independently, in partners, and in whole groups. This view is reinforced through the idea that TPS encourages children to have sufficient time to think in order to develop the quality of their responses through three stages: Think- children are given a short amount of time to gather their thoughts, Pair- discuss ideas with partner, and Share- present decisions with a group or the rest of the class (Lyman, 1981; Mahmoud, 2015). It can be shared by Holcomb (2001) that individual think time encourages children to </w:t>
      </w:r>
      <w:r>
        <w:lastRenderedPageBreak/>
        <w:t xml:space="preserve">clarify their personal opinions, and mentally prepare themselves to share with their peers or group. Discussing with a partner allows the children to develop their understanding of the topic through a different perspective and be honest with expressing their own opinions (Holcomb, 2001; </w:t>
      </w:r>
      <w:proofErr w:type="spellStart"/>
      <w:r>
        <w:t>Kothiyal</w:t>
      </w:r>
      <w:proofErr w:type="spellEnd"/>
      <w:r>
        <w:t xml:space="preserve">, Murphy, and </w:t>
      </w:r>
      <w:proofErr w:type="spellStart"/>
      <w:r>
        <w:t>Iyer</w:t>
      </w:r>
      <w:proofErr w:type="spellEnd"/>
      <w:r>
        <w:t xml:space="preserve">, 2014). The research of Bender and Waller (2011) express that the share step of TPS encourages children to articulate their own thoughts and ideas as well as listen to the opinions of their peers. They also follow this with the view that the share step encourages students to reflect on their ideas and to synthesise this further with their partner. </w:t>
      </w:r>
    </w:p>
    <w:p w14:paraId="09BB428B" w14:textId="77777777" w:rsidR="00674A33" w:rsidRDefault="00674A33" w:rsidP="00674A33">
      <w:pPr>
        <w:spacing w:line="360" w:lineRule="auto"/>
      </w:pPr>
    </w:p>
    <w:p w14:paraId="6FF475D5" w14:textId="77777777" w:rsidR="00674A33" w:rsidRDefault="00674A33" w:rsidP="00674A33">
      <w:pPr>
        <w:spacing w:line="360" w:lineRule="auto"/>
      </w:pPr>
      <w:r>
        <w:t xml:space="preserve">A key importance in using TPS as an </w:t>
      </w:r>
      <w:proofErr w:type="spellStart"/>
      <w:r>
        <w:t>AfL</w:t>
      </w:r>
      <w:proofErr w:type="spellEnd"/>
      <w:r>
        <w:t xml:space="preserve"> strategy is ensuring that the children are provided with sufficient time to think, to discuss with a partner and to share with the group or class. </w:t>
      </w:r>
      <w:proofErr w:type="spellStart"/>
      <w:r>
        <w:t>Wasowski</w:t>
      </w:r>
      <w:proofErr w:type="spellEnd"/>
      <w:r>
        <w:t xml:space="preserve"> (2009) supports this as they state that teachers providing sufficient time for students to think and discuss is paramount for reasoning to be developed fully. WAG (2010) indicate that allowing thinking time enables children to develop more advanced answers. This view is supported by Gregory and </w:t>
      </w:r>
      <w:proofErr w:type="spellStart"/>
      <w:r>
        <w:t>Kuzmich</w:t>
      </w:r>
      <w:proofErr w:type="spellEnd"/>
      <w:r>
        <w:t xml:space="preserve"> (2010) who express that when given sufficient time to think, discuss and elaborate, children tend to give more thought out opinions and answers. However, if time is not provided, children will not be able to reason and discuss their answers fully, which will minimise their understanding of the topic (</w:t>
      </w:r>
      <w:proofErr w:type="spellStart"/>
      <w:r>
        <w:t>Kholid</w:t>
      </w:r>
      <w:proofErr w:type="spellEnd"/>
      <w:r>
        <w:t xml:space="preserve">, </w:t>
      </w:r>
      <w:proofErr w:type="spellStart"/>
      <w:r>
        <w:t>Muklis</w:t>
      </w:r>
      <w:proofErr w:type="spellEnd"/>
      <w:r>
        <w:t xml:space="preserve">, and </w:t>
      </w:r>
      <w:proofErr w:type="spellStart"/>
      <w:r>
        <w:t>Khasanah</w:t>
      </w:r>
      <w:proofErr w:type="spellEnd"/>
      <w:r>
        <w:t xml:space="preserve">, 2014). This is a weakness of TPS if it is not implemented effectively within lessons. </w:t>
      </w:r>
    </w:p>
    <w:p w14:paraId="10595415" w14:textId="77777777" w:rsidR="00674A33" w:rsidRDefault="00674A33" w:rsidP="00674A33">
      <w:pPr>
        <w:spacing w:line="360" w:lineRule="auto"/>
      </w:pPr>
    </w:p>
    <w:p w14:paraId="4DFB6C17" w14:textId="77777777" w:rsidR="00674A33" w:rsidRDefault="00674A33" w:rsidP="00674A33">
      <w:pPr>
        <w:spacing w:line="360" w:lineRule="auto"/>
      </w:pPr>
      <w:r>
        <w:t xml:space="preserve">Strengths and weaknesses of TPS can be evident when implemented within lessons. One strength is that the technique is the epitome of student participation (Lie, 2002). The strategy requires students to be partnered up for discussion which means that no child will be by themselves (Robertson, 2006). Another strength is that TPS aids teachers perspectives when identifying misconceptions within learning (Holcomb, 2001). However, this can quickly become a negative if not implemented correctly within setting as the misconceptions may not always be evident. This is due to the children always sharing ideas with a partner and so they may just adopt their partners idea when it comes to sharing with the class (Zimmerman, 2002). </w:t>
      </w:r>
    </w:p>
    <w:p w14:paraId="416E8C9E" w14:textId="77777777" w:rsidR="00674A33" w:rsidRPr="00F42879" w:rsidRDefault="00674A33" w:rsidP="00674A33">
      <w:pPr>
        <w:spacing w:line="360" w:lineRule="auto"/>
      </w:pPr>
    </w:p>
    <w:p w14:paraId="49155035" w14:textId="77777777" w:rsidR="00674A33" w:rsidRDefault="00674A33" w:rsidP="00674A33">
      <w:pPr>
        <w:spacing w:line="360" w:lineRule="auto"/>
      </w:pPr>
    </w:p>
    <w:p w14:paraId="51B2CDAE" w14:textId="77777777" w:rsidR="00674A33" w:rsidRPr="00A6397A" w:rsidRDefault="00674A33" w:rsidP="00674A33">
      <w:pPr>
        <w:spacing w:line="360" w:lineRule="auto"/>
        <w:rPr>
          <w:b/>
          <w:bCs/>
          <w:u w:val="single"/>
        </w:rPr>
      </w:pPr>
      <w:r w:rsidRPr="00A6397A">
        <w:rPr>
          <w:b/>
          <w:bCs/>
          <w:u w:val="single"/>
        </w:rPr>
        <w:lastRenderedPageBreak/>
        <w:t>Explanation of lesson study design</w:t>
      </w:r>
    </w:p>
    <w:p w14:paraId="5389708A" w14:textId="77777777" w:rsidR="00674A33" w:rsidRDefault="00674A33" w:rsidP="00674A33">
      <w:pPr>
        <w:spacing w:line="360" w:lineRule="auto"/>
      </w:pPr>
    </w:p>
    <w:p w14:paraId="5AAF404A" w14:textId="77777777" w:rsidR="00674A33" w:rsidRDefault="00674A33" w:rsidP="00674A33">
      <w:pPr>
        <w:spacing w:line="360" w:lineRule="auto"/>
      </w:pPr>
      <w:r>
        <w:t xml:space="preserve">Stepanek et al (2006) highlights that lesson study provides opportunities for teachers to engage within, and enhance their professional development practice through collaboration when producing a lesson plan, teaching and observing. This can be emphasised further by Dudley (2011) who states that the quality of teaching can be enhanced through a reflexive, recursive and collaborative lesson study. </w:t>
      </w:r>
    </w:p>
    <w:p w14:paraId="10422EC7" w14:textId="77777777" w:rsidR="00674A33" w:rsidRDefault="00674A33" w:rsidP="00674A33">
      <w:pPr>
        <w:spacing w:line="360" w:lineRule="auto"/>
      </w:pPr>
    </w:p>
    <w:p w14:paraId="56093E3E" w14:textId="77777777" w:rsidR="00674A33" w:rsidRDefault="00674A33" w:rsidP="00674A33">
      <w:pPr>
        <w:spacing w:line="360" w:lineRule="auto"/>
      </w:pPr>
      <w:r>
        <w:t>There has been a plethora of research conducted around the topic of a lesson study, and from this, many benefits have arisen. One benefit in particular is that a lesson study can enhance teacher collaboration (</w:t>
      </w:r>
      <w:proofErr w:type="spellStart"/>
      <w:r>
        <w:t>Cajkler</w:t>
      </w:r>
      <w:proofErr w:type="spellEnd"/>
      <w:r>
        <w:t xml:space="preserve"> et al, 2014). It can be expressed by </w:t>
      </w:r>
      <w:proofErr w:type="spellStart"/>
      <w:r>
        <w:t>Sibbald</w:t>
      </w:r>
      <w:proofErr w:type="spellEnd"/>
      <w:r>
        <w:t xml:space="preserve"> (2009) that a lesson study can allow teachers to become more collaborative when discussing pupils learning, sharing resources, as well as emerging strategies to progress pupils learning. This can be beneficial as a long term goal, which is a developmental aim of participating in lesson study, as collaboration amongst teachers is fundamental for better learning opportunities (Cunningham, 2011). </w:t>
      </w:r>
    </w:p>
    <w:p w14:paraId="3BA5A1F9" w14:textId="77777777" w:rsidR="00674A33" w:rsidRDefault="00674A33" w:rsidP="00674A33">
      <w:pPr>
        <w:spacing w:line="360" w:lineRule="auto"/>
      </w:pPr>
    </w:p>
    <w:p w14:paraId="5C4391F1" w14:textId="77777777" w:rsidR="00674A33" w:rsidRDefault="00674A33" w:rsidP="00674A33">
      <w:pPr>
        <w:spacing w:line="360" w:lineRule="auto"/>
      </w:pPr>
      <w:r>
        <w:t xml:space="preserve">Another benefit of lesson study as presented by Zhang (2011) is that it provides practitioners with additional opportunities to develop their pedagogical and curricular knowledge in more depth. This can be displayed through planning the lesson, delivering the lesson, and observing the lesson. In correspondence with this, there are many opportunities to enhance the close link between theory and practice in the classroom environment (Murata and Takahashi, 2002). This in itself is a benefit of lesson study as it widely impacts the professional development of the practitioners conducting it. </w:t>
      </w:r>
    </w:p>
    <w:p w14:paraId="2742A524" w14:textId="77777777" w:rsidR="00674A33" w:rsidRDefault="00674A33" w:rsidP="00674A33">
      <w:pPr>
        <w:spacing w:line="360" w:lineRule="auto"/>
      </w:pPr>
    </w:p>
    <w:p w14:paraId="42C620B5" w14:textId="77777777" w:rsidR="00674A33" w:rsidRDefault="00674A33" w:rsidP="00674A33">
      <w:pPr>
        <w:spacing w:line="360" w:lineRule="auto"/>
      </w:pPr>
      <w:r>
        <w:t>However, on the other hand of this, Norwich and Jones (2014) points out that the general consensus gathered through research was that lesson study is very time-consuming. With the demands of the curriculum and other factors in and around the school, it can be found that it is incredibly difficult to find time to leave the classroom to conduct lesson study with other practitioners (</w:t>
      </w:r>
      <w:proofErr w:type="spellStart"/>
      <w:r>
        <w:t>Cajkler</w:t>
      </w:r>
      <w:proofErr w:type="spellEnd"/>
      <w:r>
        <w:t xml:space="preserve"> et al, 2014). </w:t>
      </w:r>
    </w:p>
    <w:p w14:paraId="45E1964C" w14:textId="77777777" w:rsidR="00674A33" w:rsidRDefault="00674A33" w:rsidP="00674A33">
      <w:pPr>
        <w:spacing w:line="360" w:lineRule="auto"/>
      </w:pPr>
    </w:p>
    <w:p w14:paraId="7A4FB394" w14:textId="77777777" w:rsidR="00674A33" w:rsidRDefault="00674A33" w:rsidP="00674A33">
      <w:pPr>
        <w:spacing w:line="360" w:lineRule="auto"/>
      </w:pPr>
      <w:r>
        <w:lastRenderedPageBreak/>
        <w:t xml:space="preserve">Within lesson study, there are three methods of data collection that are used. These are: reflection, non-participant observation and focus groups. </w:t>
      </w:r>
    </w:p>
    <w:p w14:paraId="5EA92A07" w14:textId="77777777" w:rsidR="00674A33" w:rsidRPr="00A45B6A" w:rsidRDefault="00674A33" w:rsidP="00674A33">
      <w:pPr>
        <w:spacing w:line="360" w:lineRule="auto"/>
      </w:pPr>
    </w:p>
    <w:p w14:paraId="1ABE32BA" w14:textId="77777777" w:rsidR="00674A33" w:rsidRDefault="00674A33" w:rsidP="00674A33">
      <w:pPr>
        <w:spacing w:line="360" w:lineRule="auto"/>
        <w:rPr>
          <w:rFonts w:cstheme="minorHAnsi"/>
        </w:rPr>
      </w:pPr>
      <w:r w:rsidRPr="00A45B6A">
        <w:t>Lesson</w:t>
      </w:r>
      <w:r w:rsidRPr="00A45B6A">
        <w:rPr>
          <w:rFonts w:cstheme="minorHAnsi"/>
        </w:rPr>
        <w:t xml:space="preserve"> </w:t>
      </w:r>
      <w:r>
        <w:rPr>
          <w:rFonts w:cstheme="minorHAnsi"/>
        </w:rPr>
        <w:t>s</w:t>
      </w:r>
      <w:r w:rsidRPr="00A45B6A">
        <w:rPr>
          <w:rFonts w:cstheme="minorHAnsi"/>
        </w:rPr>
        <w:t>tudy incorporates the use of reflection as a significant importance (</w:t>
      </w:r>
      <w:proofErr w:type="spellStart"/>
      <w:r w:rsidRPr="00A45B6A">
        <w:rPr>
          <w:rFonts w:cstheme="minorHAnsi"/>
        </w:rPr>
        <w:t>Gutierez</w:t>
      </w:r>
      <w:proofErr w:type="spellEnd"/>
      <w:r w:rsidRPr="00A45B6A">
        <w:rPr>
          <w:rFonts w:cstheme="minorHAnsi"/>
        </w:rPr>
        <w:t xml:space="preserve">, 2015). It can be stated by </w:t>
      </w:r>
      <w:proofErr w:type="spellStart"/>
      <w:r w:rsidRPr="00A45B6A">
        <w:rPr>
          <w:rFonts w:cstheme="minorHAnsi"/>
        </w:rPr>
        <w:t>Helyer</w:t>
      </w:r>
      <w:proofErr w:type="spellEnd"/>
      <w:r w:rsidRPr="00A45B6A">
        <w:rPr>
          <w:rFonts w:cstheme="minorHAnsi"/>
        </w:rPr>
        <w:t xml:space="preserve"> (2015) that reflection allows participants to recognise and develop a clearer understanding of what they have learnt, what went well, and the skills that they have developed. In addition to this, reflection encourages revisiting aspects for improvement and to document their learning (Chang, 2019). </w:t>
      </w:r>
      <w:r>
        <w:rPr>
          <w:rFonts w:cstheme="minorHAnsi"/>
        </w:rPr>
        <w:t xml:space="preserve">However, if lesson study performances are not reflected appropriately, unrealistic judgements could appear and furthermore, effect future teaching and learning implemented within the school (Bozkurt and </w:t>
      </w:r>
      <w:proofErr w:type="spellStart"/>
      <w:r>
        <w:rPr>
          <w:rFonts w:cstheme="minorHAnsi"/>
        </w:rPr>
        <w:t>Yetkin-Özdemir</w:t>
      </w:r>
      <w:proofErr w:type="spellEnd"/>
      <w:r>
        <w:rPr>
          <w:rFonts w:cstheme="minorHAnsi"/>
        </w:rPr>
        <w:t xml:space="preserve">, 2018). It is therefore the responsibility of the researchers to ensure that sufficient and realistic feedback is given in order for ways forward to be applied effectively (Zimmerman, 2002). </w:t>
      </w:r>
    </w:p>
    <w:p w14:paraId="0DACB76E" w14:textId="77777777" w:rsidR="00674A33" w:rsidRDefault="00674A33" w:rsidP="00674A33">
      <w:pPr>
        <w:spacing w:line="360" w:lineRule="auto"/>
        <w:rPr>
          <w:rFonts w:cstheme="minorHAnsi"/>
        </w:rPr>
      </w:pPr>
    </w:p>
    <w:p w14:paraId="3605B0BB" w14:textId="77777777" w:rsidR="00674A33" w:rsidRDefault="00674A33" w:rsidP="00674A33">
      <w:pPr>
        <w:spacing w:line="360" w:lineRule="auto"/>
        <w:rPr>
          <w:rFonts w:cstheme="minorHAnsi"/>
        </w:rPr>
      </w:pPr>
      <w:r w:rsidRPr="00A45B6A">
        <w:rPr>
          <w:rFonts w:cstheme="minorHAnsi"/>
        </w:rPr>
        <w:t xml:space="preserve">Within the research, I </w:t>
      </w:r>
      <w:r>
        <w:rPr>
          <w:rFonts w:cstheme="minorHAnsi"/>
        </w:rPr>
        <w:t xml:space="preserve">was able </w:t>
      </w:r>
      <w:r w:rsidRPr="00A45B6A">
        <w:rPr>
          <w:rFonts w:cstheme="minorHAnsi"/>
        </w:rPr>
        <w:t>to reflect upon the responses of the 3 case study individuals, along with my own opinions, my peers opinions</w:t>
      </w:r>
      <w:r>
        <w:rPr>
          <w:rFonts w:cstheme="minorHAnsi"/>
        </w:rPr>
        <w:t>,</w:t>
      </w:r>
      <w:r w:rsidRPr="00A45B6A">
        <w:rPr>
          <w:rFonts w:cstheme="minorHAnsi"/>
        </w:rPr>
        <w:t xml:space="preserve"> and theory. I use</w:t>
      </w:r>
      <w:r>
        <w:rPr>
          <w:rFonts w:cstheme="minorHAnsi"/>
        </w:rPr>
        <w:t>d</w:t>
      </w:r>
      <w:r w:rsidRPr="00A45B6A">
        <w:rPr>
          <w:rFonts w:cstheme="minorHAnsi"/>
        </w:rPr>
        <w:t xml:space="preserve"> the reflective cycles of Brookfield (1998), and Kolb (1994)</w:t>
      </w:r>
      <w:r>
        <w:rPr>
          <w:rFonts w:cstheme="minorHAnsi"/>
        </w:rPr>
        <w:t xml:space="preserve"> to gather different perspectives on how the lesson study was delivered in order to identify strengths and improvements for future teaching. </w:t>
      </w:r>
    </w:p>
    <w:p w14:paraId="1359D180" w14:textId="77777777" w:rsidR="00674A33" w:rsidRDefault="00674A33" w:rsidP="00674A33">
      <w:pPr>
        <w:spacing w:line="360" w:lineRule="auto"/>
        <w:rPr>
          <w:rFonts w:cstheme="minorHAnsi"/>
        </w:rPr>
      </w:pPr>
    </w:p>
    <w:p w14:paraId="77C6CDA0" w14:textId="77777777" w:rsidR="00674A33" w:rsidRDefault="00674A33" w:rsidP="00674A33">
      <w:pPr>
        <w:spacing w:line="360" w:lineRule="auto"/>
      </w:pPr>
      <w:r>
        <w:t xml:space="preserve">It can be stated by </w:t>
      </w:r>
      <w:proofErr w:type="spellStart"/>
      <w:r>
        <w:t>Malderez</w:t>
      </w:r>
      <w:proofErr w:type="spellEnd"/>
      <w:r>
        <w:t xml:space="preserve"> (2003) that observation is an effective method used to progress and develop understanding of a phenomenon. They also state that it helps to consider the effectiveness of practice and identify next steps for improvement. DCELLS (2008) emphasises that observation within the Foundation Phase (FP) has an essential role in the assessment and learning of pupils. They point out that observing children provides a range of opportunities to track progress alongside the desired outcomes, as well as plan for next steps in their learning. This is supported by Black and </w:t>
      </w:r>
      <w:proofErr w:type="spellStart"/>
      <w:r>
        <w:t>Wiliam</w:t>
      </w:r>
      <w:proofErr w:type="spellEnd"/>
      <w:r>
        <w:t xml:space="preserve"> (1998) who indicate that through observation and assessment, improvements in skills, knowledge and understanding can be enhanced further. Although effective throughout the FP, within KS2, where the lesson study took place, observations are still seen as an effective method of assessing children’s participation and understanding (</w:t>
      </w:r>
      <w:proofErr w:type="spellStart"/>
      <w:r>
        <w:t>Glazzard</w:t>
      </w:r>
      <w:proofErr w:type="spellEnd"/>
      <w:r>
        <w:t xml:space="preserve">, 2014, p.62). </w:t>
      </w:r>
      <w:proofErr w:type="spellStart"/>
      <w:r>
        <w:t>Glazzard</w:t>
      </w:r>
      <w:proofErr w:type="spellEnd"/>
      <w:r>
        <w:t xml:space="preserve"> (2014) also emphasises that observations encourage identification of what the children already know and can do, and the next steps forward in learning. This is linked specifically to the method </w:t>
      </w:r>
      <w:r>
        <w:lastRenderedPageBreak/>
        <w:t xml:space="preserve">of Assessment for Learning and how it demonstrates where the learners already are, where they are going next in their learning, and the best ways to get them there (The Assessment Reform Group, 2002). TPS is an </w:t>
      </w:r>
      <w:proofErr w:type="spellStart"/>
      <w:r>
        <w:t>AfL</w:t>
      </w:r>
      <w:proofErr w:type="spellEnd"/>
      <w:r>
        <w:t xml:space="preserve"> strategy widely used within KS2 to identify these next steps in learning. </w:t>
      </w:r>
    </w:p>
    <w:p w14:paraId="20CB60D2" w14:textId="77777777" w:rsidR="00674A33" w:rsidRDefault="00674A33" w:rsidP="00674A33">
      <w:pPr>
        <w:spacing w:line="360" w:lineRule="auto"/>
      </w:pPr>
    </w:p>
    <w:p w14:paraId="354E2F22" w14:textId="77777777" w:rsidR="00674A33" w:rsidRDefault="00674A33" w:rsidP="00674A33">
      <w:pPr>
        <w:spacing w:line="360" w:lineRule="auto"/>
      </w:pPr>
      <w:r>
        <w:t xml:space="preserve">When undertaking the research, a non-participant role was adopted. It can be highlighted by Hall (2008) that a non-participant observer sits on the outside of the activity or lesson and does not involve themselves. This method of observation was beneficial to me as the researcher as it allowed me to watch what happened as opposed to relying on other perceptions (Cohen et al, 2018). This was the case when my peer student teacher delivered her lesson. However, during my own lesson, she had full responsibility of observing the participation and effectiveness of TPS. Qualitative observational notes were undertaken by my peer student teacher when I was teaching and vice versa for her lesson. Literature points out that using qualitative methods enables opportunities to go into detail through reflection, description and interpretation (Fischer, 2011; </w:t>
      </w:r>
      <w:proofErr w:type="spellStart"/>
      <w:r>
        <w:t>Hennink</w:t>
      </w:r>
      <w:proofErr w:type="spellEnd"/>
      <w:r>
        <w:t xml:space="preserve">, </w:t>
      </w:r>
      <w:proofErr w:type="spellStart"/>
      <w:r>
        <w:t>Hutter</w:t>
      </w:r>
      <w:proofErr w:type="spellEnd"/>
      <w:r>
        <w:t xml:space="preserve"> and Bailey, 2011). This was more suited to the lesson study as we wanted to reflect upon what happened and identify next steps for learning and teaching. </w:t>
      </w:r>
    </w:p>
    <w:p w14:paraId="1372F2D6" w14:textId="77777777" w:rsidR="00674A33" w:rsidRDefault="00674A33" w:rsidP="00674A33">
      <w:pPr>
        <w:spacing w:line="360" w:lineRule="auto"/>
      </w:pPr>
    </w:p>
    <w:p w14:paraId="3BDABA28" w14:textId="77777777" w:rsidR="00674A33" w:rsidRDefault="00674A33" w:rsidP="00674A33">
      <w:pPr>
        <w:spacing w:line="360" w:lineRule="auto"/>
      </w:pPr>
      <w:r>
        <w:t xml:space="preserve">Cohen, Manion, and Morrison (2018) emphasise that interviews allow for more depth than other research methods. This can be due to face to face interaction with the participants, which can lead to a more trusting relationship between researcher and participant (McDonough and McDonough, 1997). </w:t>
      </w:r>
    </w:p>
    <w:p w14:paraId="51247622" w14:textId="77777777" w:rsidR="00674A33" w:rsidRDefault="00674A33" w:rsidP="00674A33">
      <w:pPr>
        <w:spacing w:line="360" w:lineRule="auto"/>
      </w:pPr>
    </w:p>
    <w:p w14:paraId="7ED4DBE0" w14:textId="77777777" w:rsidR="00674A33" w:rsidRDefault="00674A33" w:rsidP="00674A33">
      <w:pPr>
        <w:spacing w:line="360" w:lineRule="auto"/>
      </w:pPr>
      <w:r>
        <w:t xml:space="preserve">Peters and Halcomb (2015) indicate that semi-structured interviews provide an opportunity for pre-planned questions which can be used as prompts, and allow the researcher to gather an insight into the participants’ opinions and perceptions. This view is supported further by Wilson (2016) who states that semi-structured interviews allow more le-way for flexibility. This can be beneficial when collating data as the researcher can guide through the interview questions, but can acknowledge the participants’ responses and can introduce additional questions if necessary (Mackey and </w:t>
      </w:r>
      <w:proofErr w:type="spellStart"/>
      <w:r>
        <w:t>Gass</w:t>
      </w:r>
      <w:proofErr w:type="spellEnd"/>
      <w:r>
        <w:t xml:space="preserve">, 2016). This henceforth, allows for more depth in the research questions and responses. However, it is also crucial to note that bias can sometimes be apparent within semi-structured interviews. As the interviews were </w:t>
      </w:r>
      <w:r>
        <w:lastRenderedPageBreak/>
        <w:t xml:space="preserve">conducted with children that I already knew in the class, it was possible that they would give responses to suit the aim of the research. Although, </w:t>
      </w:r>
      <w:proofErr w:type="spellStart"/>
      <w:r>
        <w:t>Anyansi-Archibong</w:t>
      </w:r>
      <w:proofErr w:type="spellEnd"/>
      <w:r>
        <w:t xml:space="preserve"> (2015) expresses bias approaches can be avoided if control is maintained and consistency is apparent throughout. </w:t>
      </w:r>
    </w:p>
    <w:p w14:paraId="4704254C" w14:textId="77777777" w:rsidR="00674A33" w:rsidRDefault="00674A33" w:rsidP="00674A33">
      <w:pPr>
        <w:spacing w:line="360" w:lineRule="auto"/>
      </w:pPr>
    </w:p>
    <w:p w14:paraId="0517B772" w14:textId="77777777" w:rsidR="00674A33" w:rsidRDefault="00674A33" w:rsidP="00674A33">
      <w:pPr>
        <w:spacing w:line="360" w:lineRule="auto"/>
      </w:pPr>
      <w:r>
        <w:t xml:space="preserve">When choosing participants to be a part of the research, a sample size of 3 was selected. One higher ability pupil, one middle ability pupil and one lower ability pupil were chosen out of a hat in order to ensure that perceptions from a range of abilities within the class were gathered. </w:t>
      </w:r>
    </w:p>
    <w:p w14:paraId="79E533ED" w14:textId="77777777" w:rsidR="00674A33" w:rsidRDefault="00674A33" w:rsidP="00674A33">
      <w:pPr>
        <w:spacing w:line="360" w:lineRule="auto"/>
      </w:pPr>
    </w:p>
    <w:p w14:paraId="69060F0B" w14:textId="77777777" w:rsidR="00674A33" w:rsidRDefault="00674A33" w:rsidP="00674A33">
      <w:pPr>
        <w:spacing w:line="360" w:lineRule="auto"/>
      </w:pPr>
    </w:p>
    <w:p w14:paraId="287C1441" w14:textId="77777777" w:rsidR="00674A33" w:rsidRPr="007A2D4C" w:rsidRDefault="00674A33" w:rsidP="00674A33">
      <w:pPr>
        <w:spacing w:line="360" w:lineRule="auto"/>
        <w:rPr>
          <w:b/>
          <w:bCs/>
          <w:u w:val="single"/>
        </w:rPr>
      </w:pPr>
      <w:r w:rsidRPr="007A2D4C">
        <w:rPr>
          <w:b/>
          <w:bCs/>
          <w:u w:val="single"/>
        </w:rPr>
        <w:t>Ethical considerations</w:t>
      </w:r>
    </w:p>
    <w:p w14:paraId="3B21D3BC" w14:textId="77777777" w:rsidR="00674A33" w:rsidRDefault="00674A33" w:rsidP="00674A33">
      <w:pPr>
        <w:spacing w:line="360" w:lineRule="auto"/>
      </w:pPr>
    </w:p>
    <w:p w14:paraId="1BC4B023" w14:textId="77777777" w:rsidR="00674A33" w:rsidRDefault="00674A33" w:rsidP="00674A33">
      <w:pPr>
        <w:spacing w:line="360" w:lineRule="auto"/>
      </w:pPr>
      <w:r>
        <w:t>Lesson study presents ethical considerations that need to be taken into account in order for research to be conducted. Ethics are seen as opinions on what is acceptable and not acceptable with conduct in mind (</w:t>
      </w:r>
      <w:proofErr w:type="spellStart"/>
      <w:r>
        <w:t>Farrimond</w:t>
      </w:r>
      <w:proofErr w:type="spellEnd"/>
      <w:r>
        <w:t xml:space="preserve">, 2013). Henceforth, the Nuremberg code is a main originator of ethical codes that are used within research (Emanuel et al, 2008). It can be stated by BERA (2018) that it is a necessity that ethical standards are considered and acknowledged throughout the research. Within the context of conducting research, all ethical considerations involving the researchers, the participants and the educational setting are noted within the ethics form. </w:t>
      </w:r>
    </w:p>
    <w:p w14:paraId="63A5E436" w14:textId="77777777" w:rsidR="00674A33" w:rsidRDefault="00674A33" w:rsidP="00674A33">
      <w:pPr>
        <w:spacing w:line="360" w:lineRule="auto"/>
      </w:pPr>
    </w:p>
    <w:p w14:paraId="6E30DFFA" w14:textId="77777777" w:rsidR="00674A33" w:rsidRDefault="00674A33" w:rsidP="00674A33">
      <w:pPr>
        <w:spacing w:line="360" w:lineRule="auto"/>
      </w:pPr>
    </w:p>
    <w:p w14:paraId="640D7D64" w14:textId="77777777" w:rsidR="00674A33" w:rsidRPr="00FE55DD" w:rsidRDefault="00674A33" w:rsidP="00674A33">
      <w:pPr>
        <w:spacing w:line="360" w:lineRule="auto"/>
        <w:rPr>
          <w:b/>
          <w:bCs/>
          <w:u w:val="single"/>
        </w:rPr>
      </w:pPr>
      <w:r w:rsidRPr="00FE55DD">
        <w:rPr>
          <w:b/>
          <w:bCs/>
          <w:u w:val="single"/>
        </w:rPr>
        <w:t>Lesson study 1 results and analysis</w:t>
      </w:r>
    </w:p>
    <w:p w14:paraId="74906407" w14:textId="77777777" w:rsidR="00674A33" w:rsidRDefault="00674A33" w:rsidP="00674A33">
      <w:pPr>
        <w:spacing w:line="360" w:lineRule="auto"/>
        <w:rPr>
          <w:rFonts w:cstheme="minorHAnsi"/>
        </w:rPr>
      </w:pPr>
    </w:p>
    <w:p w14:paraId="625A66AA" w14:textId="77777777" w:rsidR="00674A33" w:rsidRDefault="00674A33" w:rsidP="00674A33">
      <w:pPr>
        <w:spacing w:line="360" w:lineRule="auto"/>
        <w:rPr>
          <w:rFonts w:cstheme="minorHAnsi"/>
        </w:rPr>
      </w:pPr>
      <w:r>
        <w:rPr>
          <w:rFonts w:cstheme="minorHAnsi"/>
        </w:rPr>
        <w:t xml:space="preserve">Lesson study 1 was conducted within a year 4 class with 31 pupils. From this, 3 participants were chosen as a sample from a hat to represent lower ability, middle ability and higher ability perspectives. Throughout the lesson study, my research partner conducted observations of the participants every 10 minutes within the hour to measure engagement alongside the </w:t>
      </w:r>
      <w:r w:rsidRPr="0008759E">
        <w:rPr>
          <w:rFonts w:cstheme="minorHAnsi"/>
        </w:rPr>
        <w:t>Leuven Scale</w:t>
      </w:r>
      <w:r>
        <w:rPr>
          <w:rFonts w:cstheme="minorHAnsi"/>
        </w:rPr>
        <w:t xml:space="preserve"> (SCILT, 2019) (</w:t>
      </w:r>
      <w:r w:rsidRPr="005F0CC1">
        <w:rPr>
          <w:rFonts w:cstheme="minorHAnsi"/>
        </w:rPr>
        <w:t>Appendix 1</w:t>
      </w:r>
      <w:r>
        <w:rPr>
          <w:rFonts w:cstheme="minorHAnsi"/>
        </w:rPr>
        <w:t xml:space="preserve">). When TPS was used, my research partner noted down levels of participation from each case study student at each section of the </w:t>
      </w:r>
      <w:proofErr w:type="spellStart"/>
      <w:r>
        <w:rPr>
          <w:rFonts w:cstheme="minorHAnsi"/>
        </w:rPr>
        <w:t>AfL</w:t>
      </w:r>
      <w:proofErr w:type="spellEnd"/>
      <w:r>
        <w:rPr>
          <w:rFonts w:cstheme="minorHAnsi"/>
        </w:rPr>
        <w:t xml:space="preserve"> strategy. This supported her opinions with evidence and enabled the researcher to </w:t>
      </w:r>
      <w:r>
        <w:rPr>
          <w:rFonts w:cstheme="minorHAnsi"/>
        </w:rPr>
        <w:lastRenderedPageBreak/>
        <w:t xml:space="preserve">evaluate the engagement effectively and fairly. The research of Mead (1953) and Malinowski (1989) as cited in </w:t>
      </w:r>
      <w:proofErr w:type="spellStart"/>
      <w:r>
        <w:rPr>
          <w:rFonts w:cstheme="minorHAnsi"/>
        </w:rPr>
        <w:t>Dewalt</w:t>
      </w:r>
      <w:proofErr w:type="spellEnd"/>
      <w:r>
        <w:rPr>
          <w:rFonts w:cstheme="minorHAnsi"/>
        </w:rPr>
        <w:t xml:space="preserve"> and </w:t>
      </w:r>
      <w:proofErr w:type="spellStart"/>
      <w:r>
        <w:rPr>
          <w:rFonts w:cstheme="minorHAnsi"/>
        </w:rPr>
        <w:t>Dewalt</w:t>
      </w:r>
      <w:proofErr w:type="spellEnd"/>
      <w:r>
        <w:rPr>
          <w:rFonts w:cstheme="minorHAnsi"/>
        </w:rPr>
        <w:t xml:space="preserve"> (2011) emphasises that without taking notes, the understanding of the observation will not be developed and reasoning would not be in enough depth to critically analyse the lesson study. </w:t>
      </w:r>
    </w:p>
    <w:p w14:paraId="412166FE" w14:textId="77777777" w:rsidR="00674A33" w:rsidRDefault="00674A33" w:rsidP="00674A33">
      <w:pPr>
        <w:spacing w:line="360" w:lineRule="auto"/>
        <w:rPr>
          <w:rFonts w:cstheme="minorHAnsi"/>
        </w:rPr>
      </w:pPr>
    </w:p>
    <w:p w14:paraId="3978F2F1" w14:textId="77777777" w:rsidR="00674A33" w:rsidRDefault="00674A33" w:rsidP="00674A33">
      <w:pPr>
        <w:spacing w:line="360" w:lineRule="auto"/>
        <w:rPr>
          <w:rFonts w:cstheme="minorHAnsi"/>
        </w:rPr>
      </w:pPr>
      <w:r>
        <w:rPr>
          <w:rFonts w:cstheme="minorHAnsi"/>
        </w:rPr>
        <w:t xml:space="preserve">From the notes taken, it was identified that throughout the lesson, the children demonstrated different levels of engagement and interaction within the use of TPS. </w:t>
      </w:r>
    </w:p>
    <w:p w14:paraId="700CEB21" w14:textId="77777777" w:rsidR="00674A33" w:rsidRDefault="00674A33" w:rsidP="00674A33">
      <w:pPr>
        <w:spacing w:line="360" w:lineRule="auto"/>
        <w:rPr>
          <w:rFonts w:cstheme="minorHAnsi"/>
        </w:rPr>
      </w:pPr>
    </w:p>
    <w:p w14:paraId="3AA53A30" w14:textId="77777777" w:rsidR="00674A33" w:rsidRDefault="00674A33" w:rsidP="00674A33">
      <w:pPr>
        <w:spacing w:line="360" w:lineRule="auto"/>
        <w:rPr>
          <w:rFonts w:cstheme="minorHAnsi"/>
        </w:rPr>
      </w:pPr>
      <w:r>
        <w:rPr>
          <w:rFonts w:cstheme="minorHAnsi"/>
        </w:rPr>
        <w:t xml:space="preserve">Child 1 was marked as a 4 on the Leuven Scale by my research partner. This indicated that they demonstrated intense levels of engagement, however, smaller interruptions were occasionally evident. The child sat alongside a peer that they do not usually sit by and henceforth, displayed high levels of engagement within the Think aspect of the </w:t>
      </w:r>
      <w:proofErr w:type="spellStart"/>
      <w:r>
        <w:rPr>
          <w:rFonts w:cstheme="minorHAnsi"/>
        </w:rPr>
        <w:t>AfL</w:t>
      </w:r>
      <w:proofErr w:type="spellEnd"/>
      <w:r>
        <w:rPr>
          <w:rFonts w:cstheme="minorHAnsi"/>
        </w:rPr>
        <w:t xml:space="preserve"> strategy, as well as the Pair aspect. However, when others were sharing with the class, Child 1 became disengaged and began talking with her partner about a different topic. This happened more than once during the Share aspect of TPS when the strategy was repeated every 10 minutes. As the research method uses a non-participant observation, my research partner and I continued on with the lesson and enabled the child to continue with their choices to identify their engagement levels at their own accord and in their own comfortable environment. This is supported by Mills, </w:t>
      </w:r>
      <w:proofErr w:type="spellStart"/>
      <w:r>
        <w:rPr>
          <w:rFonts w:cstheme="minorHAnsi"/>
        </w:rPr>
        <w:t>Durepos</w:t>
      </w:r>
      <w:proofErr w:type="spellEnd"/>
      <w:r>
        <w:rPr>
          <w:rFonts w:cstheme="minorHAnsi"/>
        </w:rPr>
        <w:t xml:space="preserve"> and Wiebe (2010) who point out that non-participant observations enable the researcher to identify the processes of the children’s active engagement with their peers and their environment throughout the lesson. This furthermore, limits the ideology of bias within the collated research (Doherty and Hughes, 2009). Within the interview (</w:t>
      </w:r>
      <w:r w:rsidRPr="005F0CC1">
        <w:rPr>
          <w:rFonts w:cstheme="minorHAnsi"/>
        </w:rPr>
        <w:t>Appendix 2</w:t>
      </w:r>
      <w:r>
        <w:rPr>
          <w:rFonts w:cstheme="minorHAnsi"/>
        </w:rPr>
        <w:t xml:space="preserve">), Child 1 was eager to provide her opinions on the lesson and the use of TPS. The child expressed that as they had previously participated in </w:t>
      </w:r>
      <w:proofErr w:type="spellStart"/>
      <w:r>
        <w:rPr>
          <w:rFonts w:cstheme="minorHAnsi"/>
        </w:rPr>
        <w:t>AfL</w:t>
      </w:r>
      <w:proofErr w:type="spellEnd"/>
      <w:r>
        <w:rPr>
          <w:rFonts w:cstheme="minorHAnsi"/>
        </w:rPr>
        <w:t xml:space="preserve"> on regular occasions, she felt fine about participating in TPS. Beaver et al (1999) indicates that repetition encourages learning and understanding. She also stated that “my favourite was TPS and drawing what I thought of because it helped me get ideas and share mine with others”. In addition to this, she emphasised that the TPS allows them to “express ourselves” and “get ideas and inspiration from partners”. This backs up the research of </w:t>
      </w:r>
      <w:proofErr w:type="spellStart"/>
      <w:r>
        <w:rPr>
          <w:rFonts w:cstheme="minorHAnsi"/>
        </w:rPr>
        <w:t>Kholid</w:t>
      </w:r>
      <w:proofErr w:type="spellEnd"/>
      <w:r>
        <w:rPr>
          <w:rFonts w:cstheme="minorHAnsi"/>
        </w:rPr>
        <w:t xml:space="preserve">, </w:t>
      </w:r>
      <w:proofErr w:type="spellStart"/>
      <w:r>
        <w:rPr>
          <w:rFonts w:cstheme="minorHAnsi"/>
        </w:rPr>
        <w:t>Muklis</w:t>
      </w:r>
      <w:proofErr w:type="spellEnd"/>
      <w:r>
        <w:rPr>
          <w:rFonts w:cstheme="minorHAnsi"/>
        </w:rPr>
        <w:t xml:space="preserve">, and </w:t>
      </w:r>
      <w:proofErr w:type="spellStart"/>
      <w:r>
        <w:rPr>
          <w:rFonts w:cstheme="minorHAnsi"/>
        </w:rPr>
        <w:t>Khasanah</w:t>
      </w:r>
      <w:proofErr w:type="spellEnd"/>
      <w:r>
        <w:rPr>
          <w:rFonts w:cstheme="minorHAnsi"/>
        </w:rPr>
        <w:t xml:space="preserve"> (2014) which highlights that TPS should give children an opportunity to learn to share and respect other opinions and gather ideas from different perspectives. </w:t>
      </w:r>
    </w:p>
    <w:p w14:paraId="6FB61E2C" w14:textId="77777777" w:rsidR="00674A33" w:rsidRDefault="00674A33" w:rsidP="00674A33">
      <w:pPr>
        <w:spacing w:line="360" w:lineRule="auto"/>
        <w:rPr>
          <w:rFonts w:cstheme="minorHAnsi"/>
        </w:rPr>
      </w:pPr>
    </w:p>
    <w:p w14:paraId="38B07CEA" w14:textId="77777777" w:rsidR="00674A33" w:rsidRDefault="00674A33" w:rsidP="00674A33">
      <w:pPr>
        <w:spacing w:line="360" w:lineRule="auto"/>
        <w:rPr>
          <w:rFonts w:cstheme="minorHAnsi"/>
        </w:rPr>
      </w:pPr>
      <w:r>
        <w:rPr>
          <w:rFonts w:cstheme="minorHAnsi"/>
        </w:rPr>
        <w:t>Child 2 was measured as both a 2 and 3 on the Leuven Scale. Within the lesson, they displayed a lack of interaction and engagement within the aspects of TPS and were distracted by the environment around them. They often took the opportunity to continue drawing during both the Pair and Share aspect of the strategy, as well as being silly with the child next to them. As the lesson encouraged interaction in TPS more than once, it was interesting to see that the child did not enjoy conversing about his own work or his partners work and instead continued taking his time to complete his drawing. Research shows that children who are disengaged from their learning are at risk for behavioural challenges and poor academic outcomes (Archambault et al, 2009; Green et al, 2008). Child 2 however, is lower ability within the class but does not usually show these traits within lessons. Within lesson study 1, he was sat with his friends who are normally chatty and disruptive to those around them, and henceforth, their behaviour influenced the way that he behaved. The observational learning theory of Bandura (1977) expresses that children learn through watching and imitating others. Unlike Child 1, Child 2 was reserved and shy within the interviews. When providing his answers (</w:t>
      </w:r>
      <w:r w:rsidRPr="005F0CC1">
        <w:rPr>
          <w:rFonts w:cstheme="minorHAnsi"/>
        </w:rPr>
        <w:t>Appendix 2</w:t>
      </w:r>
      <w:r>
        <w:rPr>
          <w:rFonts w:cstheme="minorHAnsi"/>
        </w:rPr>
        <w:t xml:space="preserve">), he focused more so on mentioning the activity in the lesson (drawing) as opposed to the main focus of TPS. </w:t>
      </w:r>
    </w:p>
    <w:p w14:paraId="65B4EB75" w14:textId="77777777" w:rsidR="00674A33" w:rsidRDefault="00674A33" w:rsidP="00674A33">
      <w:pPr>
        <w:spacing w:line="360" w:lineRule="auto"/>
        <w:rPr>
          <w:rFonts w:cstheme="minorHAnsi"/>
        </w:rPr>
      </w:pPr>
    </w:p>
    <w:p w14:paraId="68B9C829" w14:textId="77777777" w:rsidR="00674A33" w:rsidRDefault="00674A33" w:rsidP="00674A33">
      <w:pPr>
        <w:spacing w:line="360" w:lineRule="auto"/>
        <w:rPr>
          <w:rFonts w:cstheme="minorHAnsi"/>
        </w:rPr>
      </w:pPr>
      <w:r>
        <w:rPr>
          <w:rFonts w:cstheme="minorHAnsi"/>
        </w:rPr>
        <w:t>Child 3, similar to Child 1, was measured as a 4 on the Leuven scale for engagement. They showed concentration, enthusiasm, and an eagerness to discuss and share their own ideas, as well as listen to their partner when discussing their ideas. Child 3 sat with a peer that he doesn’t usually sit or work with, however, he still interacted within TPS effectively throughout the lesson. With this in mind, he was not marked as a 5 on the Leuven scale due to his partner not wanting to contribute to the discussion as much as Child 3 did. This therefore meant that the conversation was drawn short during the pair time, which led to the share aspect of the strategy being limited. Child 3 could not discuss his partners work or ideas as they did not take the time to discuss fully. Within the conducted interviews, he was truthful with his answers about the lesson and TPS as a strategy. He included a variety of perspectives to each question asked (</w:t>
      </w:r>
      <w:r w:rsidRPr="005F0CC1">
        <w:rPr>
          <w:rFonts w:cstheme="minorHAnsi"/>
        </w:rPr>
        <w:t>Appendix 2</w:t>
      </w:r>
      <w:r>
        <w:rPr>
          <w:rFonts w:cstheme="minorHAnsi"/>
        </w:rPr>
        <w:t xml:space="preserve">) including that he liked discussing his ideas with a partner because “you can get more ideas and get more work done. I like that we can go off on our own discussion about the topic”. This is hypothesised by Lyman’s (1981) </w:t>
      </w:r>
      <w:r>
        <w:rPr>
          <w:rFonts w:cstheme="minorHAnsi"/>
        </w:rPr>
        <w:lastRenderedPageBreak/>
        <w:t xml:space="preserve">perceptions on the advantages of TPS and how it should provide children with better thinking skills and confidence. </w:t>
      </w:r>
    </w:p>
    <w:p w14:paraId="3A40B2DF" w14:textId="77777777" w:rsidR="00674A33" w:rsidRDefault="00674A33" w:rsidP="00674A33">
      <w:pPr>
        <w:spacing w:line="360" w:lineRule="auto"/>
        <w:rPr>
          <w:rFonts w:cstheme="minorHAnsi"/>
        </w:rPr>
      </w:pPr>
    </w:p>
    <w:p w14:paraId="5F1AF704" w14:textId="77777777" w:rsidR="00674A33" w:rsidRDefault="00674A33" w:rsidP="00674A33">
      <w:pPr>
        <w:spacing w:line="360" w:lineRule="auto"/>
        <w:rPr>
          <w:rFonts w:cstheme="minorHAnsi"/>
        </w:rPr>
      </w:pPr>
      <w:r>
        <w:rPr>
          <w:rFonts w:cstheme="minorHAnsi"/>
        </w:rPr>
        <w:t xml:space="preserve">Lesson study 1 has highlighted many strengths and weaknesses to the methods used, the strategies undertaken and the way that the lesson was taught (Appendix 3). In particular, having another person there to observe and make notes was incredibly beneficial. As I already knew my class, it was interesting to see if my research partner had the same perspectives of the children’s engagement that I did and how she marked that against the Leuven Scale. The lesson study showed that the higher ability and middle ability children demonstrated higher levels of engagement and interaction within TPS than the lower ability child. This was also the case within the conducted interviews as Child 2 was apprehensive to provide their answers. With TPS in mind, implementing the strategy every 10 minutes was difficult as the music had changed numerous times in between each TPS. This meant that the children had a variety of drawings to discuss with a partner within the 2 minutes provided. In order to improve this within the next lesson study, my research partner will use TPS after every song in order to see if discussion improves or is minimised. In addition to this, I think that the classroom set up needs to be organised so that the children are in smaller groups. I found that as my classroom is set up with tables that sit 12, as opposed to the normal 4 or 6, children were more distracted and discussion off topic was more prominent within the class. In order to reduce this, using tables of 2 or 4 could promote discussion and decrease these distractions. </w:t>
      </w:r>
    </w:p>
    <w:p w14:paraId="288344C6" w14:textId="77777777" w:rsidR="00674A33" w:rsidRDefault="00674A33" w:rsidP="00674A33">
      <w:pPr>
        <w:spacing w:line="360" w:lineRule="auto"/>
        <w:rPr>
          <w:rFonts w:cstheme="minorHAnsi"/>
        </w:rPr>
      </w:pPr>
    </w:p>
    <w:p w14:paraId="4EF21E1F" w14:textId="77777777" w:rsidR="00674A33" w:rsidRDefault="00674A33" w:rsidP="00674A33">
      <w:pPr>
        <w:spacing w:line="360" w:lineRule="auto"/>
        <w:rPr>
          <w:rFonts w:cstheme="minorHAnsi"/>
        </w:rPr>
      </w:pPr>
    </w:p>
    <w:p w14:paraId="397A5BF6" w14:textId="77777777" w:rsidR="00674A33" w:rsidRPr="00465CCE" w:rsidRDefault="00674A33" w:rsidP="00674A33">
      <w:pPr>
        <w:spacing w:line="360" w:lineRule="auto"/>
        <w:rPr>
          <w:rFonts w:cstheme="minorHAnsi"/>
          <w:b/>
          <w:bCs/>
          <w:u w:val="single"/>
        </w:rPr>
      </w:pPr>
      <w:r w:rsidRPr="00465CCE">
        <w:rPr>
          <w:rFonts w:cstheme="minorHAnsi"/>
          <w:b/>
          <w:bCs/>
          <w:u w:val="single"/>
        </w:rPr>
        <w:t>Lesson Study 2 results and analysis</w:t>
      </w:r>
    </w:p>
    <w:p w14:paraId="2626B7E6" w14:textId="77777777" w:rsidR="00674A33" w:rsidRDefault="00674A33" w:rsidP="00674A33">
      <w:pPr>
        <w:spacing w:line="360" w:lineRule="auto"/>
        <w:rPr>
          <w:rFonts w:cstheme="minorHAnsi"/>
        </w:rPr>
      </w:pPr>
    </w:p>
    <w:p w14:paraId="3669A9A1" w14:textId="77777777" w:rsidR="00674A33" w:rsidRDefault="00674A33" w:rsidP="00674A33">
      <w:pPr>
        <w:spacing w:line="360" w:lineRule="auto"/>
        <w:rPr>
          <w:rFonts w:cstheme="minorHAnsi"/>
        </w:rPr>
      </w:pPr>
      <w:r>
        <w:rPr>
          <w:rFonts w:cstheme="minorHAnsi"/>
        </w:rPr>
        <w:t xml:space="preserve">Lesson study 2 was completed in a year 4 class with 30 pupils in the same school as lesson study 1. Again, similar to lesson study 1, 3 children were chosen as a sample out of a hat, and contained one child from lower ability, one from middle ability and one from higher ability. Following on from the previous lesson study, in the beginning of the lesson, the observations of TPS were completed after every song. However, we quickly identified that this in fact was not giving the children enough time to draw their thoughts which meant that they had nothing to share during the pair aspect of TPS. We therefore, decided to redo TPS </w:t>
      </w:r>
      <w:r>
        <w:rPr>
          <w:rFonts w:cstheme="minorHAnsi"/>
        </w:rPr>
        <w:lastRenderedPageBreak/>
        <w:t xml:space="preserve">every 5 or 10 minutes so that the children had thoughts to discuss with their partners and to share with the class. In addition to this, the children within the class were finding it particularly challenging to stem inspiration and imagination from the songs used. Consequently, my research partner made the decision to change the music to a Harry Potter theme. Within the lesson study, I made notes and observed the children throughout to identify levels of engagement within each aspect of </w:t>
      </w:r>
      <w:r w:rsidRPr="005F0CC1">
        <w:rPr>
          <w:rFonts w:cstheme="minorHAnsi"/>
        </w:rPr>
        <w:t>TPS (Appendix 4</w:t>
      </w:r>
      <w:r>
        <w:rPr>
          <w:rFonts w:cstheme="minorHAnsi"/>
        </w:rPr>
        <w:t xml:space="preserve">). </w:t>
      </w:r>
    </w:p>
    <w:p w14:paraId="0E9D4C60" w14:textId="77777777" w:rsidR="00674A33" w:rsidRDefault="00674A33" w:rsidP="00674A33">
      <w:pPr>
        <w:spacing w:line="360" w:lineRule="auto"/>
        <w:rPr>
          <w:rFonts w:cstheme="minorHAnsi"/>
        </w:rPr>
      </w:pPr>
    </w:p>
    <w:p w14:paraId="4387ABE8" w14:textId="77777777" w:rsidR="00674A33" w:rsidRDefault="00674A33" w:rsidP="00674A33">
      <w:pPr>
        <w:spacing w:line="360" w:lineRule="auto"/>
        <w:rPr>
          <w:rFonts w:cstheme="minorHAnsi"/>
        </w:rPr>
      </w:pPr>
      <w:r>
        <w:rPr>
          <w:rFonts w:cstheme="minorHAnsi"/>
        </w:rPr>
        <w:t>Child 1 was measured as a 5 on the Leuven scale for engagement. He displayed intense participation within all aspects of TPS and was keen to discuss his ideas with his partner and then share with the whole class. Child 1 remained engaged throughout and showed high levels of concentration when partaking in the lesson. Within the interviews (</w:t>
      </w:r>
      <w:r w:rsidRPr="005F0CC1">
        <w:rPr>
          <w:rFonts w:cstheme="minorHAnsi"/>
        </w:rPr>
        <w:t>Appendix 5</w:t>
      </w:r>
      <w:r>
        <w:rPr>
          <w:rFonts w:cstheme="minorHAnsi"/>
        </w:rPr>
        <w:t xml:space="preserve">), he was enthusiastic and willing to share his thoughts and perspectives of TPS. He stated that TPS allowed him to “think in my mind, say it to someone else, and then to the class which means I had to be brave”. This links to extended research within the topic of TPS and how the strategy should encourage children to become more confident and step out of their comfort zone when sharing their ideas (Carss, 2007; Lyman, 1981). Child 1 also emphasised that “when we were able to discuss with our partners, we were able to share our ideas and hear their ideas. I really enjoyed this part”. This links back with the research of Robertson (2006) and how TPS should be used to formulate ideas and share these further. </w:t>
      </w:r>
    </w:p>
    <w:p w14:paraId="46DAC37D" w14:textId="77777777" w:rsidR="00674A33" w:rsidRDefault="00674A33" w:rsidP="00674A33">
      <w:pPr>
        <w:spacing w:line="360" w:lineRule="auto"/>
        <w:rPr>
          <w:rFonts w:cstheme="minorHAnsi"/>
        </w:rPr>
      </w:pPr>
    </w:p>
    <w:p w14:paraId="518A74F1" w14:textId="77777777" w:rsidR="00674A33" w:rsidRDefault="00674A33" w:rsidP="00674A33">
      <w:pPr>
        <w:spacing w:line="360" w:lineRule="auto"/>
        <w:rPr>
          <w:rFonts w:cstheme="minorHAnsi"/>
        </w:rPr>
      </w:pPr>
      <w:r>
        <w:rPr>
          <w:rFonts w:cstheme="minorHAnsi"/>
        </w:rPr>
        <w:t xml:space="preserve">Child 2 was measured as a 3 on the Leuven scale for engagement. She displayed some levels of engagement but was distracted by things going on around her and henceforth, full participation in each aspect of TPS was not as it could have been. She showed concentration and excellent listening skills during pair, however, during the share aspect of TPS, she played with her stationary and proceeded to look out the window. Within the interviews, Child 2 provided her opinions and answers with reasoning and enabled us to gather her perspective on the use of TPS within the lesson. She stated that “I liked that I had the chance to think and share ideas and interact socially”. This is similar to Child 1’s opinion in lesson study 1,  which was supported through the research of </w:t>
      </w:r>
      <w:proofErr w:type="spellStart"/>
      <w:r>
        <w:rPr>
          <w:rFonts w:cstheme="minorHAnsi"/>
        </w:rPr>
        <w:t>Kholid</w:t>
      </w:r>
      <w:proofErr w:type="spellEnd"/>
      <w:r>
        <w:rPr>
          <w:rFonts w:cstheme="minorHAnsi"/>
        </w:rPr>
        <w:t xml:space="preserve">, </w:t>
      </w:r>
      <w:proofErr w:type="spellStart"/>
      <w:r>
        <w:rPr>
          <w:rFonts w:cstheme="minorHAnsi"/>
        </w:rPr>
        <w:t>Muklis</w:t>
      </w:r>
      <w:proofErr w:type="spellEnd"/>
      <w:r>
        <w:rPr>
          <w:rFonts w:cstheme="minorHAnsi"/>
        </w:rPr>
        <w:t xml:space="preserve">, and </w:t>
      </w:r>
      <w:proofErr w:type="spellStart"/>
      <w:r>
        <w:rPr>
          <w:rFonts w:cstheme="minorHAnsi"/>
        </w:rPr>
        <w:t>Khasanah</w:t>
      </w:r>
      <w:proofErr w:type="spellEnd"/>
      <w:r>
        <w:rPr>
          <w:rFonts w:cstheme="minorHAnsi"/>
        </w:rPr>
        <w:t xml:space="preserve"> (2014) on TPS as previously stated within lesson study 1. </w:t>
      </w:r>
    </w:p>
    <w:p w14:paraId="47B515EB" w14:textId="77777777" w:rsidR="00674A33" w:rsidRDefault="00674A33" w:rsidP="00674A33">
      <w:pPr>
        <w:spacing w:line="360" w:lineRule="auto"/>
        <w:rPr>
          <w:rFonts w:cstheme="minorHAnsi"/>
        </w:rPr>
      </w:pPr>
    </w:p>
    <w:p w14:paraId="0916C672" w14:textId="77777777" w:rsidR="00674A33" w:rsidRDefault="00674A33" w:rsidP="00674A33">
      <w:pPr>
        <w:spacing w:line="360" w:lineRule="auto"/>
        <w:rPr>
          <w:rFonts w:cstheme="minorHAnsi"/>
        </w:rPr>
      </w:pPr>
      <w:r>
        <w:rPr>
          <w:rFonts w:cstheme="minorHAnsi"/>
        </w:rPr>
        <w:lastRenderedPageBreak/>
        <w:t>Child 3 was measured as a 1 against the Leuven scale for engagement. Her interaction was minimal within the aspects of TPS; she often stared into space and did not want to engage within anything other than her drawings. During the pair aspect, she did not want to converse with her partner and instead chose to continue drawing. Likewise, during the share aspect, she proceeded to occasionally continue with her drawings, swing on her chair, and play with the ruler in front of her. Within the interviews (</w:t>
      </w:r>
      <w:r w:rsidRPr="005F0CC1">
        <w:rPr>
          <w:rFonts w:cstheme="minorHAnsi"/>
        </w:rPr>
        <w:t>Appendix</w:t>
      </w:r>
      <w:r>
        <w:rPr>
          <w:rFonts w:cstheme="minorHAnsi"/>
        </w:rPr>
        <w:t xml:space="preserve"> 5), she expressed her dislike for communicating and sharing her ideas with her partner as she finds the pair aspect “boring”. She added that “it would be better if we had less time talking to partners. I liked having the time to think to myself and sharing to the class, however, I didn’t like talking to my partner”. From speaking to my research partner, the child is relatively shy and quiet within the classroom and doesn’t like to work collaboratively with others. Although Child 3 shared her opinion on her lack of interest in collaborative learning, her TPS partner tried to engage her within the aspects through effective questioning about her work. The research of Dewey (1940) emphasises that through interaction, children receive feedback, and learn about how to work together. </w:t>
      </w:r>
    </w:p>
    <w:p w14:paraId="49C7B05F" w14:textId="77777777" w:rsidR="00674A33" w:rsidRDefault="00674A33" w:rsidP="00674A33">
      <w:pPr>
        <w:spacing w:line="360" w:lineRule="auto"/>
        <w:rPr>
          <w:rFonts w:cstheme="minorHAnsi"/>
        </w:rPr>
      </w:pPr>
    </w:p>
    <w:p w14:paraId="0CC605C1" w14:textId="77777777" w:rsidR="00674A33" w:rsidRDefault="00674A33" w:rsidP="00674A33">
      <w:pPr>
        <w:spacing w:line="360" w:lineRule="auto"/>
        <w:rPr>
          <w:rFonts w:cstheme="minorHAnsi"/>
        </w:rPr>
      </w:pPr>
      <w:r>
        <w:rPr>
          <w:rFonts w:cstheme="minorHAnsi"/>
        </w:rPr>
        <w:t xml:space="preserve">Lesson study 2 reduced previous misconceptions that were highlighted in lesson study 1. The use of smaller groups was significantly more effective as the distractions of peers around them were minimised and more concentration within TPS was displayed as a whole class. However, from observations and interviews, we reflected that the children would have benefitted more from longer time to think and to discuss with their partner (Appendix 6). Each case study participant raised this as a way to improve for future teaching within the interviews held. </w:t>
      </w:r>
    </w:p>
    <w:p w14:paraId="23D77D67" w14:textId="77777777" w:rsidR="00674A33" w:rsidRDefault="00674A33" w:rsidP="00674A33">
      <w:pPr>
        <w:spacing w:line="360" w:lineRule="auto"/>
        <w:rPr>
          <w:rFonts w:cstheme="minorHAnsi"/>
        </w:rPr>
      </w:pPr>
    </w:p>
    <w:p w14:paraId="1CF2AC6A" w14:textId="77777777" w:rsidR="00674A33" w:rsidRPr="00D167E8" w:rsidRDefault="00674A33" w:rsidP="00674A33">
      <w:pPr>
        <w:spacing w:line="360" w:lineRule="auto"/>
        <w:rPr>
          <w:rFonts w:cstheme="minorHAnsi"/>
          <w:b/>
          <w:bCs/>
          <w:u w:val="single"/>
        </w:rPr>
      </w:pPr>
      <w:r w:rsidRPr="00D167E8">
        <w:rPr>
          <w:rFonts w:cstheme="minorHAnsi"/>
          <w:b/>
          <w:bCs/>
          <w:u w:val="single"/>
        </w:rPr>
        <w:t xml:space="preserve">Conclusion </w:t>
      </w:r>
    </w:p>
    <w:p w14:paraId="24CD29BD" w14:textId="77777777" w:rsidR="00674A33" w:rsidRDefault="00674A33" w:rsidP="00674A33">
      <w:pPr>
        <w:spacing w:line="360" w:lineRule="auto"/>
        <w:rPr>
          <w:rFonts w:cstheme="minorHAnsi"/>
        </w:rPr>
      </w:pPr>
    </w:p>
    <w:p w14:paraId="6DC6F938" w14:textId="77777777" w:rsidR="00674A33" w:rsidRDefault="00674A33" w:rsidP="00674A33">
      <w:pPr>
        <w:spacing w:line="360" w:lineRule="auto"/>
        <w:rPr>
          <w:rFonts w:cstheme="minorHAnsi"/>
        </w:rPr>
      </w:pPr>
      <w:r>
        <w:rPr>
          <w:rFonts w:cstheme="minorHAnsi"/>
        </w:rPr>
        <w:t>A limitation of conducting a lesson study as a means of research is the chosen sample size. As the lesson studies were completed in two separate classrooms, 3 children from each were chosen; all representing either higher, middle or lower ability within the classes. However, as the representative sample size is so minimal, this did not give us a truly reliable or valid study. Although easier to make observational notes on, we can’t rely on the three students to provide answers that all children in the class agree with (Zimmerman, 2002).</w:t>
      </w:r>
    </w:p>
    <w:p w14:paraId="0553D714" w14:textId="77777777" w:rsidR="00674A33" w:rsidRDefault="00674A33" w:rsidP="00674A33">
      <w:pPr>
        <w:spacing w:line="360" w:lineRule="auto"/>
        <w:rPr>
          <w:rFonts w:cstheme="minorHAnsi"/>
        </w:rPr>
      </w:pPr>
    </w:p>
    <w:p w14:paraId="7C6EC5F2" w14:textId="77777777" w:rsidR="00674A33" w:rsidRDefault="00674A33" w:rsidP="00674A33">
      <w:pPr>
        <w:spacing w:line="360" w:lineRule="auto"/>
        <w:rPr>
          <w:rFonts w:cstheme="minorHAnsi"/>
        </w:rPr>
      </w:pPr>
      <w:r>
        <w:rPr>
          <w:rFonts w:cstheme="minorHAnsi"/>
        </w:rPr>
        <w:t>As we only included a sample size of 3 participants from each class, we cannot generalise our findings. The research conducted was short and specific to the context of the two year 4 classes within an urban area, it can not be used to represent the perceptions of TPS across the whole of Wales. Perhaps if more than one lesson study was conducted in more than one school in Wales, it would increase the likeliness of generalisation. This is supported by (</w:t>
      </w:r>
      <w:proofErr w:type="spellStart"/>
      <w:r>
        <w:rPr>
          <w:rFonts w:cstheme="minorHAnsi"/>
        </w:rPr>
        <w:t>Thelwall</w:t>
      </w:r>
      <w:proofErr w:type="spellEnd"/>
      <w:r>
        <w:rPr>
          <w:rFonts w:cstheme="minorHAnsi"/>
        </w:rPr>
        <w:t>, 2017) who points out that researchers should aim to generalise their research as far as possible.</w:t>
      </w:r>
    </w:p>
    <w:p w14:paraId="40ACD125" w14:textId="77777777" w:rsidR="00674A33" w:rsidRDefault="00674A33" w:rsidP="00674A33">
      <w:pPr>
        <w:spacing w:line="360" w:lineRule="auto"/>
        <w:rPr>
          <w:rFonts w:cstheme="minorHAnsi"/>
        </w:rPr>
      </w:pPr>
    </w:p>
    <w:p w14:paraId="40E05893" w14:textId="77777777" w:rsidR="00674A33" w:rsidRDefault="00674A33" w:rsidP="00674A33">
      <w:pPr>
        <w:spacing w:line="360" w:lineRule="auto"/>
        <w:rPr>
          <w:rFonts w:cstheme="minorHAnsi"/>
        </w:rPr>
      </w:pPr>
      <w:r>
        <w:rPr>
          <w:rFonts w:cstheme="minorHAnsi"/>
        </w:rPr>
        <w:t xml:space="preserve">Another limitation is that only 2 lesson studies were undertaken. Lewis, Perry, and Hurd (2004) indicate that the main aim of lesson study is to provide opportunities for ongoing improvement, not just improving one single lesson. Dudley (2014) emphasises that lesson study should be completed within a cycle of at least three lessons in order to improve the children’s learning and understanding. The research may have benefitted more from additional lessons in order to see if the changes implemented affected the misconceptions within the children’s understanding of TPS and how it should be used effectively within the lesson. </w:t>
      </w:r>
    </w:p>
    <w:p w14:paraId="79B2DAF6" w14:textId="77777777" w:rsidR="00674A33" w:rsidRDefault="00674A33" w:rsidP="00674A33">
      <w:pPr>
        <w:spacing w:line="360" w:lineRule="auto"/>
        <w:rPr>
          <w:rFonts w:cstheme="minorHAnsi"/>
        </w:rPr>
      </w:pPr>
    </w:p>
    <w:p w14:paraId="5D870E38" w14:textId="77777777" w:rsidR="00674A33" w:rsidRDefault="00674A33" w:rsidP="00674A33">
      <w:pPr>
        <w:spacing w:line="360" w:lineRule="auto"/>
        <w:rPr>
          <w:rFonts w:cstheme="minorHAnsi"/>
        </w:rPr>
      </w:pPr>
      <w:r>
        <w:rPr>
          <w:rFonts w:cstheme="minorHAnsi"/>
        </w:rPr>
        <w:t xml:space="preserve">Undertaking observations and interviews with another researcher was incredibly beneficial to the study. I found that having my research partner in the class enabled me to have another perspective on the common misconceptions of using the TPS strategy. This is supported through literature that states that lesson study </w:t>
      </w:r>
      <w:r w:rsidRPr="001762B8">
        <w:rPr>
          <w:rFonts w:cstheme="minorHAnsi"/>
        </w:rPr>
        <w:t>helps to identify common errors from the particular learners (Ball,</w:t>
      </w:r>
      <w:r>
        <w:rPr>
          <w:rFonts w:cstheme="minorHAnsi"/>
        </w:rPr>
        <w:t xml:space="preserve"> Hoover-Thames, and Phelps, 2008; Hill, Ball, and Schilling, 2008). As I already knew the children, it was easy for me to recognise the usual misconceptions within their learning, nevertheless, my research partner was able to identify errors that I had missed within my own teaching. However, on the other hand, having an additional adult within the room may have impacted the behaviour and attitudes towards learning of the pupils within the class and henceforth, the study may not have received a true representation of the children’s abilities. Research emphasises that the Hawthorne effect underlines the possibility of a change in behaviour due to an awareness of being observed (Chiesa and Hobbs, 2008; </w:t>
      </w:r>
      <w:proofErr w:type="spellStart"/>
      <w:r>
        <w:rPr>
          <w:rFonts w:cstheme="minorHAnsi"/>
        </w:rPr>
        <w:t>McCambridge</w:t>
      </w:r>
      <w:proofErr w:type="spellEnd"/>
      <w:r>
        <w:rPr>
          <w:rFonts w:cstheme="minorHAnsi"/>
        </w:rPr>
        <w:t xml:space="preserve">, Witton and </w:t>
      </w:r>
      <w:proofErr w:type="spellStart"/>
      <w:r>
        <w:rPr>
          <w:rFonts w:cstheme="minorHAnsi"/>
        </w:rPr>
        <w:t>Elbourne</w:t>
      </w:r>
      <w:proofErr w:type="spellEnd"/>
      <w:r>
        <w:rPr>
          <w:rFonts w:cstheme="minorHAnsi"/>
        </w:rPr>
        <w:t xml:space="preserve">, 2014).  </w:t>
      </w:r>
    </w:p>
    <w:p w14:paraId="2139681E" w14:textId="77777777" w:rsidR="00674A33" w:rsidRDefault="00674A33" w:rsidP="00674A33">
      <w:pPr>
        <w:spacing w:line="360" w:lineRule="auto"/>
        <w:rPr>
          <w:rFonts w:cstheme="minorHAnsi"/>
        </w:rPr>
      </w:pPr>
    </w:p>
    <w:p w14:paraId="325BFE59" w14:textId="77777777" w:rsidR="00674A33" w:rsidRDefault="00674A33" w:rsidP="00674A33">
      <w:pPr>
        <w:spacing w:line="360" w:lineRule="auto"/>
        <w:rPr>
          <w:rFonts w:cstheme="minorHAnsi"/>
        </w:rPr>
      </w:pPr>
      <w:r>
        <w:rPr>
          <w:rFonts w:cstheme="minorHAnsi"/>
        </w:rPr>
        <w:lastRenderedPageBreak/>
        <w:t xml:space="preserve">Moving forward to future practice, I would like to participate in another lesson study, but with more researchers within the cycle to identify how changes can impact the children’s knowledge and understanding of the chosen topic. This will allow me to develop my own professionalism within schools as I am undertaking research to identify misconceptions and ways forward to improve these. I would also like to continue to use reflective cycles such as Kolb (1994) and Brookfield (1998) to gather different perspectives on the lessons. Using it this time around really encouraged me to identify how viewpoints can differ in the same lesson and others can highlight things that perhaps I missed. This could furthermore, help with my professional development as I will be able to reflect from another point of view. </w:t>
      </w:r>
    </w:p>
    <w:p w14:paraId="0E395FB2" w14:textId="77777777" w:rsidR="00674A33" w:rsidRDefault="00674A33" w:rsidP="00674A33">
      <w:pPr>
        <w:spacing w:line="360" w:lineRule="auto"/>
        <w:rPr>
          <w:rFonts w:cstheme="minorHAnsi"/>
        </w:rPr>
      </w:pPr>
    </w:p>
    <w:p w14:paraId="4A18EE74" w14:textId="77777777" w:rsidR="00674A33" w:rsidRDefault="00674A33" w:rsidP="00674A33">
      <w:pPr>
        <w:spacing w:line="360" w:lineRule="auto"/>
        <w:rPr>
          <w:rFonts w:cstheme="minorHAnsi"/>
        </w:rPr>
      </w:pPr>
    </w:p>
    <w:p w14:paraId="3980BA39" w14:textId="77777777" w:rsidR="00674A33" w:rsidRPr="007D2C35" w:rsidRDefault="00674A33" w:rsidP="00674A33">
      <w:pPr>
        <w:spacing w:line="360" w:lineRule="auto"/>
        <w:rPr>
          <w:rFonts w:cstheme="minorHAnsi"/>
          <w:b/>
          <w:bCs/>
          <w:u w:val="single"/>
        </w:rPr>
      </w:pPr>
      <w:r w:rsidRPr="007D2C35">
        <w:rPr>
          <w:rFonts w:cstheme="minorHAnsi"/>
          <w:b/>
          <w:bCs/>
          <w:u w:val="single"/>
        </w:rPr>
        <w:t>Recommendations</w:t>
      </w:r>
    </w:p>
    <w:p w14:paraId="1A74EDA2" w14:textId="77777777" w:rsidR="00674A33" w:rsidRDefault="00674A33" w:rsidP="00674A33">
      <w:pPr>
        <w:spacing w:line="360" w:lineRule="auto"/>
        <w:rPr>
          <w:rFonts w:cstheme="minorHAnsi"/>
        </w:rPr>
      </w:pPr>
    </w:p>
    <w:p w14:paraId="12CD19ED" w14:textId="77777777" w:rsidR="00674A33" w:rsidRDefault="00674A33" w:rsidP="00674A33">
      <w:pPr>
        <w:spacing w:line="360" w:lineRule="auto"/>
        <w:rPr>
          <w:rFonts w:cstheme="minorHAnsi"/>
        </w:rPr>
      </w:pPr>
      <w:r>
        <w:rPr>
          <w:rFonts w:cstheme="minorHAnsi"/>
        </w:rPr>
        <w:t xml:space="preserve">In light of the research conducted surrounding the topic of TPS within a classroom setting, I would like to deliver a lesson study comparing the same year group, but in different schools. I would hope that this would enable me to identify any vast differences in how TPS does or does not encourage engagement within discussion in different schools and the reasons for this. This could furthermore allow me to see the bigger picture of if, and how schools implement TPS to promote discussion, as opposed to using the small scale research found within the same school that uses TPS regularly to have an overall perspective. </w:t>
      </w:r>
    </w:p>
    <w:p w14:paraId="616843CE" w14:textId="77777777" w:rsidR="00674A33" w:rsidRDefault="00674A33" w:rsidP="00674A33">
      <w:pPr>
        <w:spacing w:line="360" w:lineRule="auto"/>
        <w:rPr>
          <w:rFonts w:cstheme="minorHAnsi"/>
        </w:rPr>
      </w:pPr>
    </w:p>
    <w:p w14:paraId="77FE2434" w14:textId="77777777" w:rsidR="00674A33" w:rsidRDefault="00674A33" w:rsidP="00674A33">
      <w:pPr>
        <w:spacing w:line="360" w:lineRule="auto"/>
        <w:rPr>
          <w:rFonts w:cstheme="minorHAnsi"/>
        </w:rPr>
      </w:pPr>
      <w:r>
        <w:rPr>
          <w:rFonts w:cstheme="minorHAnsi"/>
        </w:rPr>
        <w:t xml:space="preserve">If I did lesson study research again, I would ensure to acknowledge the topic on a wider scale and incorporate more participants within the study. This would henceforth, allow various perspectives on the topic and how different children within the class engage within TPS to promote discussion amongst their peers and the class. This is supported by Dudley (2014) who reinforces that lesson study is best when more perspectives are gathered to give a full rounded view on how the children understand and can therefore improve further. </w:t>
      </w:r>
    </w:p>
    <w:p w14:paraId="6BBFCE15" w14:textId="77777777" w:rsidR="00674A33" w:rsidRDefault="00674A33" w:rsidP="00674A33">
      <w:pPr>
        <w:spacing w:line="360" w:lineRule="auto"/>
        <w:rPr>
          <w:rFonts w:cstheme="minorHAnsi"/>
        </w:rPr>
      </w:pPr>
    </w:p>
    <w:p w14:paraId="3851EAC0" w14:textId="77777777" w:rsidR="00674A33" w:rsidRDefault="00674A33" w:rsidP="00674A33">
      <w:pPr>
        <w:spacing w:line="360" w:lineRule="auto"/>
        <w:rPr>
          <w:rFonts w:cstheme="minorHAnsi"/>
        </w:rPr>
      </w:pPr>
      <w:r>
        <w:rPr>
          <w:rFonts w:cstheme="minorHAnsi"/>
        </w:rPr>
        <w:t xml:space="preserve">Following this, I would like to have the opportunity to share good practice of undertaking lesson study within my PTE2 in order to develop my own professionalism, as well as encouraging teachers to participate within their own research. I found that it has been </w:t>
      </w:r>
      <w:r>
        <w:rPr>
          <w:rFonts w:cstheme="minorHAnsi"/>
        </w:rPr>
        <w:lastRenderedPageBreak/>
        <w:t>beneficial to see beyond the normalities of teaching a lesson and focus purely on TPS as an aspect to identify how the children engage and discuss their ideas further.</w:t>
      </w:r>
    </w:p>
    <w:p w14:paraId="39A7899D" w14:textId="77777777" w:rsidR="00674A33" w:rsidRDefault="00674A33" w:rsidP="00674A33">
      <w:pPr>
        <w:rPr>
          <w:rFonts w:cstheme="minorHAnsi"/>
        </w:rPr>
      </w:pPr>
    </w:p>
    <w:p w14:paraId="6B5718E9" w14:textId="77777777" w:rsidR="00674A33" w:rsidRDefault="00674A33" w:rsidP="00674A33">
      <w:pPr>
        <w:rPr>
          <w:rFonts w:cstheme="minorHAnsi"/>
        </w:rPr>
      </w:pPr>
    </w:p>
    <w:p w14:paraId="07638A6D" w14:textId="77777777" w:rsidR="00674A33" w:rsidRDefault="00674A33" w:rsidP="00674A33">
      <w:pPr>
        <w:rPr>
          <w:rFonts w:cstheme="minorHAnsi"/>
        </w:rPr>
      </w:pPr>
    </w:p>
    <w:p w14:paraId="10C21ABE" w14:textId="77777777" w:rsidR="00674A33" w:rsidRDefault="00674A33" w:rsidP="00674A33">
      <w:pPr>
        <w:rPr>
          <w:rFonts w:cstheme="minorHAnsi"/>
        </w:rPr>
      </w:pPr>
    </w:p>
    <w:p w14:paraId="0188A5C5" w14:textId="77777777" w:rsidR="00674A33" w:rsidRPr="00A45B6A" w:rsidRDefault="00674A33" w:rsidP="00674A33">
      <w:pPr>
        <w:rPr>
          <w:rFonts w:cstheme="minorHAnsi"/>
        </w:rPr>
      </w:pPr>
    </w:p>
    <w:p w14:paraId="724C39A0" w14:textId="77777777" w:rsidR="00674A33" w:rsidRDefault="00674A33" w:rsidP="00674A33">
      <w:pPr>
        <w:tabs>
          <w:tab w:val="left" w:pos="1634"/>
        </w:tabs>
      </w:pPr>
      <w:r>
        <w:tab/>
      </w:r>
    </w:p>
    <w:p w14:paraId="714B9EC4" w14:textId="77777777" w:rsidR="00674A33" w:rsidRDefault="00674A33" w:rsidP="00674A33"/>
    <w:p w14:paraId="7D16C34E" w14:textId="77777777" w:rsidR="00674A33" w:rsidRPr="00261DAD" w:rsidRDefault="00674A33" w:rsidP="00674A33"/>
    <w:p w14:paraId="6D4F7C26" w14:textId="77777777" w:rsidR="00674A33" w:rsidRPr="00261DAD" w:rsidRDefault="00674A33" w:rsidP="00674A33"/>
    <w:p w14:paraId="1D5A9E8A" w14:textId="77777777" w:rsidR="00674A33" w:rsidRPr="00261DAD" w:rsidRDefault="00674A33" w:rsidP="00674A33"/>
    <w:p w14:paraId="3880DACA" w14:textId="77777777" w:rsidR="00674A33" w:rsidRPr="00261DAD" w:rsidRDefault="00674A33" w:rsidP="00674A33"/>
    <w:p w14:paraId="42565C3D" w14:textId="77777777" w:rsidR="00674A33" w:rsidRPr="00261DAD" w:rsidRDefault="00674A33" w:rsidP="00674A33"/>
    <w:p w14:paraId="061D565F" w14:textId="77777777" w:rsidR="00674A33" w:rsidRPr="00261DAD" w:rsidRDefault="00674A33" w:rsidP="00674A33"/>
    <w:p w14:paraId="2E87358E" w14:textId="77777777" w:rsidR="00674A33" w:rsidRPr="00261DAD" w:rsidRDefault="00674A33" w:rsidP="00674A33"/>
    <w:p w14:paraId="141E6786" w14:textId="77777777" w:rsidR="00674A33" w:rsidRPr="00261DAD" w:rsidRDefault="00674A33" w:rsidP="00674A33"/>
    <w:p w14:paraId="6D763879" w14:textId="77777777" w:rsidR="00674A33" w:rsidRPr="00261DAD" w:rsidRDefault="00674A33" w:rsidP="00674A33"/>
    <w:p w14:paraId="6B616E05" w14:textId="77777777" w:rsidR="00674A33" w:rsidRPr="00261DAD" w:rsidRDefault="00674A33" w:rsidP="00674A33"/>
    <w:p w14:paraId="13C69D98" w14:textId="77777777" w:rsidR="00674A33" w:rsidRPr="00261DAD" w:rsidRDefault="00674A33" w:rsidP="00674A33"/>
    <w:p w14:paraId="459899B9" w14:textId="77777777" w:rsidR="00674A33" w:rsidRPr="00261DAD" w:rsidRDefault="00674A33" w:rsidP="00674A33"/>
    <w:p w14:paraId="0A4E2F51" w14:textId="77777777" w:rsidR="00674A33" w:rsidRDefault="00674A33" w:rsidP="00674A33"/>
    <w:p w14:paraId="7479F97C" w14:textId="358653AC" w:rsidR="00674A33" w:rsidRDefault="008403C6" w:rsidP="008403C6">
      <w:pPr>
        <w:tabs>
          <w:tab w:val="left" w:pos="2000"/>
        </w:tabs>
      </w:pPr>
      <w:r>
        <w:tab/>
      </w:r>
    </w:p>
    <w:p w14:paraId="7D44BBEE" w14:textId="50EAA07B" w:rsidR="008403C6" w:rsidRDefault="008403C6" w:rsidP="008403C6">
      <w:pPr>
        <w:tabs>
          <w:tab w:val="left" w:pos="2000"/>
        </w:tabs>
      </w:pPr>
    </w:p>
    <w:p w14:paraId="541B74CF" w14:textId="3C5D1925" w:rsidR="008403C6" w:rsidRDefault="008403C6" w:rsidP="008403C6">
      <w:pPr>
        <w:tabs>
          <w:tab w:val="left" w:pos="2000"/>
        </w:tabs>
      </w:pPr>
    </w:p>
    <w:p w14:paraId="5A9A6227" w14:textId="6FB45778" w:rsidR="008403C6" w:rsidRDefault="008403C6" w:rsidP="008403C6">
      <w:pPr>
        <w:tabs>
          <w:tab w:val="left" w:pos="2000"/>
        </w:tabs>
      </w:pPr>
    </w:p>
    <w:p w14:paraId="748C869C" w14:textId="4E14FDCA" w:rsidR="008403C6" w:rsidRDefault="008403C6" w:rsidP="008403C6">
      <w:pPr>
        <w:tabs>
          <w:tab w:val="left" w:pos="2000"/>
        </w:tabs>
      </w:pPr>
    </w:p>
    <w:p w14:paraId="1659169C" w14:textId="72C52B8C" w:rsidR="008403C6" w:rsidRDefault="008403C6" w:rsidP="008403C6">
      <w:pPr>
        <w:tabs>
          <w:tab w:val="left" w:pos="2000"/>
        </w:tabs>
      </w:pPr>
    </w:p>
    <w:p w14:paraId="112481A3" w14:textId="408E13B8" w:rsidR="008403C6" w:rsidRDefault="008403C6" w:rsidP="008403C6">
      <w:pPr>
        <w:tabs>
          <w:tab w:val="left" w:pos="2000"/>
        </w:tabs>
      </w:pPr>
    </w:p>
    <w:p w14:paraId="25975AF4" w14:textId="3A8905B4" w:rsidR="008403C6" w:rsidRDefault="008403C6" w:rsidP="008403C6">
      <w:pPr>
        <w:tabs>
          <w:tab w:val="left" w:pos="2000"/>
        </w:tabs>
      </w:pPr>
    </w:p>
    <w:p w14:paraId="35AC93AC" w14:textId="38A9F9B0" w:rsidR="008403C6" w:rsidRDefault="008403C6" w:rsidP="008403C6">
      <w:pPr>
        <w:tabs>
          <w:tab w:val="left" w:pos="2000"/>
        </w:tabs>
      </w:pPr>
    </w:p>
    <w:p w14:paraId="6BDCA45C" w14:textId="0A9A4BF2" w:rsidR="008403C6" w:rsidRDefault="008403C6" w:rsidP="008403C6">
      <w:pPr>
        <w:tabs>
          <w:tab w:val="left" w:pos="2000"/>
        </w:tabs>
      </w:pPr>
    </w:p>
    <w:p w14:paraId="5C603364" w14:textId="71A0712C" w:rsidR="008403C6" w:rsidRDefault="008403C6" w:rsidP="008403C6">
      <w:pPr>
        <w:tabs>
          <w:tab w:val="left" w:pos="2000"/>
        </w:tabs>
      </w:pPr>
    </w:p>
    <w:p w14:paraId="332289C4" w14:textId="4F0BE384" w:rsidR="008403C6" w:rsidRDefault="008403C6" w:rsidP="008403C6">
      <w:pPr>
        <w:tabs>
          <w:tab w:val="left" w:pos="2000"/>
        </w:tabs>
      </w:pPr>
    </w:p>
    <w:p w14:paraId="16242B74" w14:textId="04A3B538" w:rsidR="008403C6" w:rsidRDefault="008403C6" w:rsidP="008403C6">
      <w:pPr>
        <w:tabs>
          <w:tab w:val="left" w:pos="2000"/>
        </w:tabs>
      </w:pPr>
    </w:p>
    <w:p w14:paraId="176BE20A" w14:textId="20CB520E" w:rsidR="008403C6" w:rsidRDefault="008403C6" w:rsidP="008403C6">
      <w:pPr>
        <w:tabs>
          <w:tab w:val="left" w:pos="2000"/>
        </w:tabs>
      </w:pPr>
    </w:p>
    <w:p w14:paraId="3317B44F" w14:textId="2F6D10A5" w:rsidR="008403C6" w:rsidRDefault="008403C6" w:rsidP="008403C6">
      <w:pPr>
        <w:tabs>
          <w:tab w:val="left" w:pos="2000"/>
        </w:tabs>
      </w:pPr>
    </w:p>
    <w:p w14:paraId="06244A89" w14:textId="394C0CE9" w:rsidR="008403C6" w:rsidRDefault="008403C6" w:rsidP="008403C6">
      <w:pPr>
        <w:tabs>
          <w:tab w:val="left" w:pos="2000"/>
        </w:tabs>
      </w:pPr>
    </w:p>
    <w:p w14:paraId="359827C1" w14:textId="2939DA2D" w:rsidR="008403C6" w:rsidRDefault="008403C6" w:rsidP="008403C6">
      <w:pPr>
        <w:tabs>
          <w:tab w:val="left" w:pos="2000"/>
        </w:tabs>
      </w:pPr>
    </w:p>
    <w:p w14:paraId="2B73B9A1" w14:textId="11A521B2" w:rsidR="008403C6" w:rsidRDefault="008403C6" w:rsidP="008403C6">
      <w:pPr>
        <w:tabs>
          <w:tab w:val="left" w:pos="2000"/>
        </w:tabs>
      </w:pPr>
    </w:p>
    <w:p w14:paraId="070A52BB" w14:textId="321471BA" w:rsidR="008403C6" w:rsidRDefault="008403C6" w:rsidP="008403C6">
      <w:pPr>
        <w:tabs>
          <w:tab w:val="left" w:pos="2000"/>
        </w:tabs>
      </w:pPr>
    </w:p>
    <w:p w14:paraId="555BC356" w14:textId="3C61A11F" w:rsidR="008403C6" w:rsidRDefault="008403C6" w:rsidP="008403C6">
      <w:pPr>
        <w:tabs>
          <w:tab w:val="left" w:pos="2000"/>
        </w:tabs>
      </w:pPr>
    </w:p>
    <w:p w14:paraId="086EE4CD" w14:textId="214C4B57" w:rsidR="008403C6" w:rsidRDefault="008403C6" w:rsidP="008403C6">
      <w:pPr>
        <w:tabs>
          <w:tab w:val="left" w:pos="2000"/>
        </w:tabs>
      </w:pPr>
    </w:p>
    <w:p w14:paraId="06F30B4C" w14:textId="77777777" w:rsidR="008403C6" w:rsidRDefault="008403C6" w:rsidP="008403C6">
      <w:pPr>
        <w:tabs>
          <w:tab w:val="left" w:pos="2000"/>
        </w:tabs>
      </w:pPr>
    </w:p>
    <w:p w14:paraId="0664F9B2" w14:textId="77777777" w:rsidR="00674A33" w:rsidRPr="00261DAD" w:rsidRDefault="00674A33" w:rsidP="00674A33"/>
    <w:p w14:paraId="6ACBC7A7" w14:textId="77777777" w:rsidR="00674A33" w:rsidRDefault="00674A33" w:rsidP="00674A33"/>
    <w:p w14:paraId="26B72F08" w14:textId="77777777" w:rsidR="00674A33" w:rsidRDefault="00674A33" w:rsidP="00674A33">
      <w:pPr>
        <w:rPr>
          <w:b/>
          <w:bCs/>
          <w:u w:val="single"/>
        </w:rPr>
      </w:pPr>
      <w:r w:rsidRPr="007D6ACE">
        <w:rPr>
          <w:b/>
          <w:bCs/>
          <w:u w:val="single"/>
        </w:rPr>
        <w:lastRenderedPageBreak/>
        <w:t>References</w:t>
      </w:r>
    </w:p>
    <w:p w14:paraId="5C9405F8" w14:textId="77777777" w:rsidR="00674A33" w:rsidRPr="007D4F9F" w:rsidRDefault="00674A33" w:rsidP="00674A33">
      <w:pPr>
        <w:rPr>
          <w:b/>
          <w:bCs/>
          <w:u w:val="single"/>
        </w:rPr>
      </w:pPr>
    </w:p>
    <w:p w14:paraId="35B5E08C" w14:textId="77777777" w:rsidR="00674A33" w:rsidRPr="00A67007" w:rsidRDefault="00674A33" w:rsidP="00674A33">
      <w:pPr>
        <w:pStyle w:val="NormalWeb"/>
        <w:shd w:val="clear" w:color="auto" w:fill="FFFFFF"/>
        <w:spacing w:line="360" w:lineRule="auto"/>
        <w:rPr>
          <w:rFonts w:asciiTheme="minorHAnsi" w:hAnsiTheme="minorHAnsi" w:cstheme="minorHAnsi"/>
          <w:color w:val="000000" w:themeColor="text1"/>
        </w:rPr>
      </w:pPr>
      <w:proofErr w:type="spellStart"/>
      <w:r w:rsidRPr="00A67007">
        <w:rPr>
          <w:rFonts w:asciiTheme="minorHAnsi" w:hAnsiTheme="minorHAnsi" w:cstheme="minorHAnsi"/>
          <w:color w:val="000000" w:themeColor="text1"/>
        </w:rPr>
        <w:t>Anyansi-Archibong</w:t>
      </w:r>
      <w:proofErr w:type="spellEnd"/>
      <w:r w:rsidRPr="00A67007">
        <w:rPr>
          <w:rFonts w:asciiTheme="minorHAnsi" w:hAnsiTheme="minorHAnsi" w:cstheme="minorHAnsi"/>
          <w:color w:val="000000" w:themeColor="text1"/>
        </w:rPr>
        <w:t xml:space="preserve">, C.B. (2015) </w:t>
      </w:r>
      <w:r w:rsidRPr="00A67007">
        <w:rPr>
          <w:rFonts w:asciiTheme="minorHAnsi" w:hAnsiTheme="minorHAnsi" w:cstheme="minorHAnsi"/>
          <w:i/>
          <w:iCs/>
          <w:color w:val="000000" w:themeColor="text1"/>
        </w:rPr>
        <w:t xml:space="preserve">Contemporary Issues Surrounding Ethical Research Methods and Practice. </w:t>
      </w:r>
      <w:r w:rsidRPr="00A67007">
        <w:rPr>
          <w:rFonts w:asciiTheme="minorHAnsi" w:hAnsiTheme="minorHAnsi" w:cstheme="minorHAnsi"/>
          <w:color w:val="000000" w:themeColor="text1"/>
        </w:rPr>
        <w:t xml:space="preserve">United States of America: IGI Global. </w:t>
      </w:r>
    </w:p>
    <w:p w14:paraId="1D743274" w14:textId="77777777" w:rsidR="00674A33" w:rsidRPr="00A67007" w:rsidRDefault="00674A33" w:rsidP="00674A33">
      <w:pPr>
        <w:spacing w:line="360" w:lineRule="auto"/>
        <w:rPr>
          <w:rFonts w:cstheme="minorHAnsi"/>
        </w:rPr>
      </w:pPr>
      <w:r w:rsidRPr="00A67007">
        <w:rPr>
          <w:rFonts w:cstheme="minorHAnsi"/>
        </w:rPr>
        <w:t xml:space="preserve">Archambault, I., </w:t>
      </w:r>
      <w:proofErr w:type="spellStart"/>
      <w:r w:rsidRPr="00A67007">
        <w:rPr>
          <w:rFonts w:cstheme="minorHAnsi"/>
        </w:rPr>
        <w:t>Janosz</w:t>
      </w:r>
      <w:proofErr w:type="spellEnd"/>
      <w:r w:rsidRPr="00A67007">
        <w:rPr>
          <w:rFonts w:cstheme="minorHAnsi"/>
        </w:rPr>
        <w:t xml:space="preserve">, M., </w:t>
      </w:r>
      <w:proofErr w:type="spellStart"/>
      <w:r w:rsidRPr="00A67007">
        <w:rPr>
          <w:rFonts w:cstheme="minorHAnsi"/>
        </w:rPr>
        <w:t>Fallu</w:t>
      </w:r>
      <w:proofErr w:type="spellEnd"/>
      <w:r w:rsidRPr="00A67007">
        <w:rPr>
          <w:rFonts w:cstheme="minorHAnsi"/>
        </w:rPr>
        <w:t xml:space="preserve">, J., and Pagani, L.S. (2009) ‘Student Engagement and its Relationship with Early High School Dropout’, </w:t>
      </w:r>
      <w:r w:rsidRPr="00A67007">
        <w:rPr>
          <w:rFonts w:cstheme="minorHAnsi"/>
          <w:i/>
          <w:iCs/>
        </w:rPr>
        <w:t>Journal of Adolescence</w:t>
      </w:r>
      <w:r w:rsidRPr="00A67007">
        <w:rPr>
          <w:rFonts w:cstheme="minorHAnsi"/>
        </w:rPr>
        <w:t xml:space="preserve">, 32 (1), pp. 651-670. </w:t>
      </w:r>
      <w:hyperlink r:id="rId6" w:tgtFrame="_blank" w:tooltip="Persistent link using digital object identifier" w:history="1">
        <w:r w:rsidRPr="00A67007">
          <w:rPr>
            <w:rStyle w:val="Hyperlink"/>
            <w:rFonts w:cstheme="minorHAnsi"/>
            <w:color w:val="0C7DBB"/>
          </w:rPr>
          <w:t>https://doi.org/10.1016/j.adolescence.2008.06.007</w:t>
        </w:r>
      </w:hyperlink>
      <w:r w:rsidRPr="00A67007">
        <w:rPr>
          <w:rFonts w:cstheme="minorHAnsi"/>
        </w:rPr>
        <w:t xml:space="preserve"> (Accessed: 11</w:t>
      </w:r>
      <w:r w:rsidRPr="00A67007">
        <w:rPr>
          <w:rFonts w:cstheme="minorHAnsi"/>
          <w:vertAlign w:val="superscript"/>
        </w:rPr>
        <w:t>th</w:t>
      </w:r>
      <w:r w:rsidRPr="00A67007">
        <w:rPr>
          <w:rFonts w:cstheme="minorHAnsi"/>
        </w:rPr>
        <w:t xml:space="preserve"> February 2020). </w:t>
      </w:r>
    </w:p>
    <w:p w14:paraId="0DC04C95" w14:textId="77777777" w:rsidR="00674A33" w:rsidRPr="00A67007" w:rsidRDefault="00674A33" w:rsidP="00674A33">
      <w:pPr>
        <w:spacing w:line="360" w:lineRule="auto"/>
        <w:rPr>
          <w:rFonts w:cstheme="minorHAnsi"/>
        </w:rPr>
      </w:pPr>
    </w:p>
    <w:p w14:paraId="2546ABB3" w14:textId="77777777" w:rsidR="00674A33" w:rsidRPr="00A67007" w:rsidRDefault="00674A33" w:rsidP="00674A33">
      <w:pPr>
        <w:spacing w:line="360" w:lineRule="auto"/>
        <w:rPr>
          <w:rFonts w:cstheme="minorHAnsi"/>
        </w:rPr>
      </w:pPr>
      <w:r w:rsidRPr="00A67007">
        <w:rPr>
          <w:rFonts w:cstheme="minorHAnsi"/>
        </w:rPr>
        <w:t xml:space="preserve">Assessment Reform Group (2002) </w:t>
      </w:r>
      <w:r w:rsidRPr="00A67007">
        <w:rPr>
          <w:rFonts w:cstheme="minorHAnsi"/>
          <w:i/>
          <w:iCs/>
        </w:rPr>
        <w:t xml:space="preserve">Assessment for Learning: 10 Principles. </w:t>
      </w:r>
      <w:r w:rsidRPr="00A67007">
        <w:rPr>
          <w:rFonts w:cstheme="minorHAnsi"/>
        </w:rPr>
        <w:t xml:space="preserve">Available at: </w:t>
      </w:r>
      <w:hyperlink r:id="rId7" w:history="1">
        <w:r w:rsidRPr="00A67007">
          <w:rPr>
            <w:rStyle w:val="Hyperlink"/>
            <w:rFonts w:cstheme="minorHAnsi"/>
          </w:rPr>
          <w:t>http://www.hkeaa.edu.hk/DocLibrary/SBA/HKDSE/Eng_DVD/doc/Afl_principles.pdf</w:t>
        </w:r>
      </w:hyperlink>
      <w:r w:rsidRPr="00A67007">
        <w:rPr>
          <w:rFonts w:cstheme="minorHAnsi"/>
        </w:rPr>
        <w:t xml:space="preserve"> (Accessed: 19</w:t>
      </w:r>
      <w:r w:rsidRPr="00A67007">
        <w:rPr>
          <w:rFonts w:cstheme="minorHAnsi"/>
          <w:vertAlign w:val="superscript"/>
        </w:rPr>
        <w:t>th</w:t>
      </w:r>
      <w:r w:rsidRPr="00A67007">
        <w:rPr>
          <w:rFonts w:cstheme="minorHAnsi"/>
        </w:rPr>
        <w:t xml:space="preserve"> December 2019). </w:t>
      </w:r>
    </w:p>
    <w:p w14:paraId="2335B504" w14:textId="77777777" w:rsidR="00674A33" w:rsidRPr="00A67007" w:rsidRDefault="00674A33" w:rsidP="00674A33">
      <w:pPr>
        <w:spacing w:line="360" w:lineRule="auto"/>
        <w:rPr>
          <w:rFonts w:cstheme="minorHAnsi"/>
        </w:rPr>
      </w:pPr>
    </w:p>
    <w:p w14:paraId="5E6E1CC3" w14:textId="77777777" w:rsidR="00674A33" w:rsidRPr="00A67007" w:rsidRDefault="00674A33" w:rsidP="00674A33">
      <w:pPr>
        <w:spacing w:line="360" w:lineRule="auto"/>
        <w:rPr>
          <w:rFonts w:eastAsia="Times New Roman" w:cstheme="minorHAnsi"/>
          <w:lang w:eastAsia="en-GB"/>
        </w:rPr>
      </w:pPr>
      <w:r w:rsidRPr="00A67007">
        <w:rPr>
          <w:rFonts w:eastAsia="Times New Roman" w:cstheme="minorHAnsi"/>
          <w:lang w:eastAsia="en-GB"/>
        </w:rPr>
        <w:t xml:space="preserve">Ball, D., Hoover-Thames, M., and Phelps, G. (2008) ‘Current Knowledge for Teaching: What Makes it Special?’, </w:t>
      </w:r>
      <w:r w:rsidRPr="00A67007">
        <w:rPr>
          <w:rFonts w:eastAsia="Times New Roman" w:cstheme="minorHAnsi"/>
          <w:i/>
          <w:iCs/>
          <w:lang w:eastAsia="en-GB"/>
        </w:rPr>
        <w:t>Journal of Teacher Education.</w:t>
      </w:r>
      <w:r w:rsidRPr="00A67007">
        <w:rPr>
          <w:rFonts w:eastAsia="Times New Roman" w:cstheme="minorHAnsi"/>
          <w:lang w:eastAsia="en-GB"/>
        </w:rPr>
        <w:t xml:space="preserve"> 59 (5), pp.398-407. Available at: </w:t>
      </w:r>
      <w:hyperlink r:id="rId8" w:history="1">
        <w:r w:rsidRPr="00A67007">
          <w:rPr>
            <w:rStyle w:val="Hyperlink"/>
            <w:rFonts w:eastAsia="Times New Roman" w:cstheme="minorHAnsi"/>
            <w:lang w:eastAsia="en-GB"/>
          </w:rPr>
          <w:t>http://citeseerx.ist.psu.edu/viewdoc/summary?doi=10.1.1.424.4874</w:t>
        </w:r>
      </w:hyperlink>
      <w:r w:rsidRPr="00A67007">
        <w:rPr>
          <w:rFonts w:eastAsia="Times New Roman" w:cstheme="minorHAnsi"/>
          <w:lang w:eastAsia="en-GB"/>
        </w:rPr>
        <w:t xml:space="preserve"> (Accessed: 13</w:t>
      </w:r>
      <w:r w:rsidRPr="00A67007">
        <w:rPr>
          <w:rFonts w:eastAsia="Times New Roman" w:cstheme="minorHAnsi"/>
          <w:vertAlign w:val="superscript"/>
          <w:lang w:eastAsia="en-GB"/>
        </w:rPr>
        <w:t>th</w:t>
      </w:r>
      <w:r w:rsidRPr="00A67007">
        <w:rPr>
          <w:rFonts w:eastAsia="Times New Roman" w:cstheme="minorHAnsi"/>
          <w:lang w:eastAsia="en-GB"/>
        </w:rPr>
        <w:t xml:space="preserve"> February 2020). </w:t>
      </w:r>
    </w:p>
    <w:p w14:paraId="41525B87" w14:textId="77777777" w:rsidR="00674A33" w:rsidRPr="00A67007" w:rsidRDefault="00674A33" w:rsidP="00674A33">
      <w:pPr>
        <w:spacing w:line="360" w:lineRule="auto"/>
        <w:rPr>
          <w:rFonts w:eastAsia="Times New Roman" w:cstheme="minorHAnsi"/>
          <w:lang w:eastAsia="en-GB"/>
        </w:rPr>
      </w:pPr>
    </w:p>
    <w:p w14:paraId="0F8E1918" w14:textId="77777777" w:rsidR="00674A33" w:rsidRPr="00A67007" w:rsidRDefault="00674A33" w:rsidP="00674A33">
      <w:pPr>
        <w:spacing w:line="360" w:lineRule="auto"/>
        <w:rPr>
          <w:rFonts w:cstheme="minorHAnsi"/>
        </w:rPr>
      </w:pPr>
      <w:r w:rsidRPr="00A67007">
        <w:rPr>
          <w:rFonts w:cstheme="minorHAnsi"/>
        </w:rPr>
        <w:t xml:space="preserve">Bandura, A. (1977) </w:t>
      </w:r>
      <w:r w:rsidRPr="00A67007">
        <w:rPr>
          <w:rFonts w:cstheme="minorHAnsi"/>
          <w:i/>
          <w:iCs/>
        </w:rPr>
        <w:t>Social Learning Theory</w:t>
      </w:r>
      <w:r w:rsidRPr="00A67007">
        <w:rPr>
          <w:rFonts w:cstheme="minorHAnsi"/>
        </w:rPr>
        <w:t xml:space="preserve">. Englewood Cliffs, NJ: Prentice-Hall. </w:t>
      </w:r>
    </w:p>
    <w:p w14:paraId="59657965" w14:textId="77777777" w:rsidR="00674A33" w:rsidRPr="00A67007" w:rsidRDefault="00674A33" w:rsidP="00674A33">
      <w:pPr>
        <w:spacing w:line="360" w:lineRule="auto"/>
        <w:rPr>
          <w:rFonts w:cstheme="minorHAnsi"/>
        </w:rPr>
      </w:pPr>
    </w:p>
    <w:p w14:paraId="24EF0311" w14:textId="77777777" w:rsidR="00674A33" w:rsidRPr="00A67007" w:rsidRDefault="00674A33" w:rsidP="00674A33">
      <w:pPr>
        <w:spacing w:line="360" w:lineRule="auto"/>
        <w:rPr>
          <w:rFonts w:cstheme="minorHAnsi"/>
        </w:rPr>
      </w:pPr>
      <w:r w:rsidRPr="00A67007">
        <w:rPr>
          <w:rFonts w:cstheme="minorHAnsi"/>
        </w:rPr>
        <w:t xml:space="preserve">Beaver, M., Brewster, J., Jones, P., Keene, A., Neaum, S., and </w:t>
      </w:r>
      <w:proofErr w:type="spellStart"/>
      <w:r w:rsidRPr="00A67007">
        <w:rPr>
          <w:rFonts w:cstheme="minorHAnsi"/>
        </w:rPr>
        <w:t>Tallack</w:t>
      </w:r>
      <w:proofErr w:type="spellEnd"/>
      <w:r w:rsidRPr="00A67007">
        <w:rPr>
          <w:rFonts w:cstheme="minorHAnsi"/>
        </w:rPr>
        <w:t xml:space="preserve">, J. (1999) </w:t>
      </w:r>
      <w:r w:rsidRPr="00A67007">
        <w:rPr>
          <w:rFonts w:cstheme="minorHAnsi"/>
          <w:i/>
          <w:iCs/>
        </w:rPr>
        <w:t xml:space="preserve">Babies and Young Children. </w:t>
      </w:r>
      <w:r w:rsidRPr="00A67007">
        <w:rPr>
          <w:rFonts w:cstheme="minorHAnsi"/>
        </w:rPr>
        <w:t>2</w:t>
      </w:r>
      <w:r w:rsidRPr="00A67007">
        <w:rPr>
          <w:rFonts w:cstheme="minorHAnsi"/>
          <w:vertAlign w:val="superscript"/>
        </w:rPr>
        <w:t>nd</w:t>
      </w:r>
      <w:r w:rsidRPr="00A67007">
        <w:rPr>
          <w:rFonts w:cstheme="minorHAnsi"/>
        </w:rPr>
        <w:t xml:space="preserve"> </w:t>
      </w:r>
      <w:proofErr w:type="spellStart"/>
      <w:r w:rsidRPr="00A67007">
        <w:rPr>
          <w:rFonts w:cstheme="minorHAnsi"/>
        </w:rPr>
        <w:t>edn</w:t>
      </w:r>
      <w:proofErr w:type="spellEnd"/>
      <w:r w:rsidRPr="00A67007">
        <w:rPr>
          <w:rFonts w:cstheme="minorHAnsi"/>
        </w:rPr>
        <w:t xml:space="preserve">. Great Britain: Stanley Thornes Ltd. </w:t>
      </w:r>
    </w:p>
    <w:p w14:paraId="005561D2" w14:textId="77777777" w:rsidR="00674A33" w:rsidRPr="00A67007" w:rsidRDefault="00674A33" w:rsidP="00674A33">
      <w:pPr>
        <w:spacing w:line="360" w:lineRule="auto"/>
        <w:rPr>
          <w:rFonts w:cstheme="minorHAnsi"/>
        </w:rPr>
      </w:pPr>
    </w:p>
    <w:p w14:paraId="66966311" w14:textId="77777777" w:rsidR="00674A33" w:rsidRPr="00A67007" w:rsidRDefault="00674A33" w:rsidP="00674A33">
      <w:pPr>
        <w:spacing w:line="360" w:lineRule="auto"/>
        <w:rPr>
          <w:rFonts w:eastAsia="Times New Roman" w:cstheme="minorHAnsi"/>
          <w:lang w:eastAsia="en-GB"/>
        </w:rPr>
      </w:pPr>
      <w:r w:rsidRPr="00A67007">
        <w:rPr>
          <w:rFonts w:eastAsia="Times New Roman" w:cstheme="minorHAnsi"/>
          <w:lang w:eastAsia="en-GB"/>
        </w:rPr>
        <w:t xml:space="preserve">Bender, W.N., and Waller, L. (2011) </w:t>
      </w:r>
      <w:r w:rsidRPr="00A67007">
        <w:rPr>
          <w:rFonts w:eastAsia="Times New Roman" w:cstheme="minorHAnsi"/>
          <w:i/>
          <w:iCs/>
          <w:lang w:eastAsia="en-GB"/>
        </w:rPr>
        <w:t xml:space="preserve">The Teaching Revolution. </w:t>
      </w:r>
      <w:r w:rsidRPr="00A67007">
        <w:rPr>
          <w:rFonts w:eastAsia="Times New Roman" w:cstheme="minorHAnsi"/>
          <w:lang w:eastAsia="en-GB"/>
        </w:rPr>
        <w:t xml:space="preserve">California: Corwin. </w:t>
      </w:r>
    </w:p>
    <w:p w14:paraId="326382B5" w14:textId="77777777" w:rsidR="00674A33" w:rsidRPr="00A67007" w:rsidRDefault="00674A33" w:rsidP="00674A33">
      <w:pPr>
        <w:spacing w:line="360" w:lineRule="auto"/>
        <w:rPr>
          <w:rFonts w:eastAsia="Times New Roman" w:cstheme="minorHAnsi"/>
          <w:lang w:eastAsia="en-GB"/>
        </w:rPr>
      </w:pPr>
    </w:p>
    <w:p w14:paraId="2E9A2176" w14:textId="77777777" w:rsidR="00674A33" w:rsidRPr="00A67007" w:rsidRDefault="00674A33" w:rsidP="00674A33">
      <w:pPr>
        <w:spacing w:line="360" w:lineRule="auto"/>
        <w:rPr>
          <w:rFonts w:cstheme="minorHAnsi"/>
        </w:rPr>
      </w:pPr>
      <w:r w:rsidRPr="00A67007">
        <w:rPr>
          <w:rFonts w:cstheme="minorHAnsi"/>
        </w:rPr>
        <w:t xml:space="preserve">BERA (2018) </w:t>
      </w:r>
      <w:r w:rsidRPr="00A67007">
        <w:rPr>
          <w:rFonts w:cstheme="minorHAnsi"/>
          <w:i/>
          <w:iCs/>
        </w:rPr>
        <w:t xml:space="preserve">Ethical Guidelines for Educational Research, Fourth Edition </w:t>
      </w:r>
      <w:r w:rsidRPr="00A67007">
        <w:rPr>
          <w:rFonts w:cstheme="minorHAnsi"/>
        </w:rPr>
        <w:t xml:space="preserve">(2018). Available at: </w:t>
      </w:r>
      <w:hyperlink r:id="rId9" w:history="1">
        <w:r w:rsidRPr="00A67007">
          <w:rPr>
            <w:rStyle w:val="Hyperlink"/>
            <w:rFonts w:cstheme="minorHAnsi"/>
          </w:rPr>
          <w:t>https://www.bera.ac.uk/publication/ethical-guidelines-for-educational-research-2018</w:t>
        </w:r>
      </w:hyperlink>
      <w:r w:rsidRPr="00A67007">
        <w:rPr>
          <w:rFonts w:cstheme="minorHAnsi"/>
        </w:rPr>
        <w:t xml:space="preserve"> (Accessed: 15</w:t>
      </w:r>
      <w:r w:rsidRPr="00A67007">
        <w:rPr>
          <w:rFonts w:cstheme="minorHAnsi"/>
          <w:vertAlign w:val="superscript"/>
        </w:rPr>
        <w:t>th</w:t>
      </w:r>
      <w:r w:rsidRPr="00A67007">
        <w:rPr>
          <w:rFonts w:cstheme="minorHAnsi"/>
        </w:rPr>
        <w:t xml:space="preserve"> December 2019). </w:t>
      </w:r>
    </w:p>
    <w:p w14:paraId="6A027F2F" w14:textId="77777777" w:rsidR="00674A33" w:rsidRPr="00A67007" w:rsidRDefault="00674A33" w:rsidP="00674A33">
      <w:pPr>
        <w:pStyle w:val="NormalWeb"/>
        <w:spacing w:line="360" w:lineRule="auto"/>
        <w:rPr>
          <w:rFonts w:asciiTheme="minorHAnsi" w:hAnsiTheme="minorHAnsi" w:cstheme="minorHAnsi"/>
          <w:color w:val="000000" w:themeColor="text1"/>
          <w:shd w:val="clear" w:color="auto" w:fill="FFFFFF"/>
        </w:rPr>
      </w:pPr>
      <w:r w:rsidRPr="00A67007">
        <w:rPr>
          <w:rFonts w:asciiTheme="minorHAnsi" w:hAnsiTheme="minorHAnsi" w:cstheme="minorHAnsi"/>
          <w:color w:val="000000" w:themeColor="text1"/>
          <w:shd w:val="clear" w:color="auto" w:fill="FFFFFF"/>
        </w:rPr>
        <w:t xml:space="preserve">Black, P., and </w:t>
      </w:r>
      <w:proofErr w:type="spellStart"/>
      <w:r w:rsidRPr="00A67007">
        <w:rPr>
          <w:rFonts w:asciiTheme="minorHAnsi" w:hAnsiTheme="minorHAnsi" w:cstheme="minorHAnsi"/>
          <w:color w:val="000000" w:themeColor="text1"/>
          <w:shd w:val="clear" w:color="auto" w:fill="FFFFFF"/>
        </w:rPr>
        <w:t>Wiliam</w:t>
      </w:r>
      <w:proofErr w:type="spellEnd"/>
      <w:r w:rsidRPr="00A67007">
        <w:rPr>
          <w:rFonts w:asciiTheme="minorHAnsi" w:hAnsiTheme="minorHAnsi" w:cstheme="minorHAnsi"/>
          <w:color w:val="000000" w:themeColor="text1"/>
          <w:shd w:val="clear" w:color="auto" w:fill="FFFFFF"/>
        </w:rPr>
        <w:t xml:space="preserve">, D. (1998) ‘Assessment and Classroom Learning’, </w:t>
      </w:r>
      <w:r w:rsidRPr="00A67007">
        <w:rPr>
          <w:rFonts w:asciiTheme="minorHAnsi" w:hAnsiTheme="minorHAnsi" w:cstheme="minorHAnsi"/>
          <w:i/>
          <w:iCs/>
          <w:color w:val="000000" w:themeColor="text1"/>
          <w:shd w:val="clear" w:color="auto" w:fill="FFFFFF"/>
        </w:rPr>
        <w:t xml:space="preserve">Assessment in Education: Principles, Policy and Practice, </w:t>
      </w:r>
      <w:r w:rsidRPr="00A67007">
        <w:rPr>
          <w:rFonts w:asciiTheme="minorHAnsi" w:hAnsiTheme="minorHAnsi" w:cstheme="minorHAnsi"/>
          <w:color w:val="000000" w:themeColor="text1"/>
          <w:shd w:val="clear" w:color="auto" w:fill="FFFFFF"/>
        </w:rPr>
        <w:t xml:space="preserve">5 (91), pp. 7-74. </w:t>
      </w:r>
    </w:p>
    <w:p w14:paraId="7CD62DAC" w14:textId="77777777" w:rsidR="00674A33" w:rsidRPr="00A67007" w:rsidRDefault="00674A33" w:rsidP="00674A33">
      <w:pPr>
        <w:spacing w:line="360" w:lineRule="auto"/>
        <w:rPr>
          <w:rFonts w:cstheme="minorHAnsi"/>
        </w:rPr>
      </w:pPr>
      <w:r w:rsidRPr="00A67007">
        <w:rPr>
          <w:rFonts w:cstheme="minorHAnsi"/>
        </w:rPr>
        <w:lastRenderedPageBreak/>
        <w:t xml:space="preserve">Black, P., and </w:t>
      </w:r>
      <w:proofErr w:type="spellStart"/>
      <w:r w:rsidRPr="00A67007">
        <w:rPr>
          <w:rFonts w:cstheme="minorHAnsi"/>
        </w:rPr>
        <w:t>Wiliam</w:t>
      </w:r>
      <w:proofErr w:type="spellEnd"/>
      <w:r w:rsidRPr="00A67007">
        <w:rPr>
          <w:rFonts w:cstheme="minorHAnsi"/>
        </w:rPr>
        <w:t xml:space="preserve">, D. (2006) ‘Developing a theory of formative assessment’, in Gardner, J. (ed.) </w:t>
      </w:r>
      <w:r w:rsidRPr="00A67007">
        <w:rPr>
          <w:rFonts w:cstheme="minorHAnsi"/>
          <w:i/>
          <w:iCs/>
        </w:rPr>
        <w:t>Assessment and Learning</w:t>
      </w:r>
      <w:r w:rsidRPr="00A67007">
        <w:rPr>
          <w:rFonts w:cstheme="minorHAnsi"/>
        </w:rPr>
        <w:t xml:space="preserve">. London: Sage. </w:t>
      </w:r>
    </w:p>
    <w:p w14:paraId="3FA32C80" w14:textId="77777777" w:rsidR="00674A33" w:rsidRPr="00A67007" w:rsidRDefault="00674A33" w:rsidP="00674A33">
      <w:pPr>
        <w:spacing w:line="360" w:lineRule="auto"/>
        <w:rPr>
          <w:rFonts w:cstheme="minorHAnsi"/>
        </w:rPr>
      </w:pPr>
    </w:p>
    <w:p w14:paraId="71EEFEA4" w14:textId="77777777" w:rsidR="00674A33" w:rsidRDefault="00674A33" w:rsidP="00674A33">
      <w:pPr>
        <w:spacing w:line="360" w:lineRule="auto"/>
        <w:rPr>
          <w:rFonts w:cstheme="minorHAnsi"/>
        </w:rPr>
      </w:pPr>
      <w:r w:rsidRPr="00A67007">
        <w:rPr>
          <w:rFonts w:cstheme="minorHAnsi"/>
        </w:rPr>
        <w:t xml:space="preserve">Black, P., Harrison, C., Lee, C., Marshall, B., and </w:t>
      </w:r>
      <w:proofErr w:type="spellStart"/>
      <w:r w:rsidRPr="00A67007">
        <w:rPr>
          <w:rFonts w:cstheme="minorHAnsi"/>
        </w:rPr>
        <w:t>Wiliam</w:t>
      </w:r>
      <w:proofErr w:type="spellEnd"/>
      <w:r w:rsidRPr="00A67007">
        <w:rPr>
          <w:rFonts w:cstheme="minorHAnsi"/>
        </w:rPr>
        <w:t xml:space="preserve">, D. (2004) ‘Working Inside the Black Box: Assessment for Learning in the Classroom’, </w:t>
      </w:r>
      <w:r w:rsidRPr="00A67007">
        <w:rPr>
          <w:rFonts w:cstheme="minorHAnsi"/>
          <w:i/>
          <w:iCs/>
        </w:rPr>
        <w:t xml:space="preserve">Phi Delta </w:t>
      </w:r>
      <w:proofErr w:type="spellStart"/>
      <w:r w:rsidRPr="00A67007">
        <w:rPr>
          <w:rFonts w:cstheme="minorHAnsi"/>
          <w:i/>
          <w:iCs/>
        </w:rPr>
        <w:t>Kappan</w:t>
      </w:r>
      <w:proofErr w:type="spellEnd"/>
      <w:r w:rsidRPr="00A67007">
        <w:rPr>
          <w:rFonts w:cstheme="minorHAnsi"/>
          <w:i/>
          <w:iCs/>
        </w:rPr>
        <w:t xml:space="preserve">, </w:t>
      </w:r>
      <w:r w:rsidRPr="00A67007">
        <w:rPr>
          <w:rFonts w:cstheme="minorHAnsi"/>
        </w:rPr>
        <w:t xml:space="preserve">86 (1), pp.9-21. </w:t>
      </w:r>
    </w:p>
    <w:p w14:paraId="78ABD91A" w14:textId="77777777" w:rsidR="00674A33" w:rsidRDefault="00674A33" w:rsidP="00674A33">
      <w:pPr>
        <w:spacing w:line="360" w:lineRule="auto"/>
        <w:rPr>
          <w:rFonts w:cstheme="minorHAnsi"/>
        </w:rPr>
      </w:pPr>
    </w:p>
    <w:p w14:paraId="73B4C0A4" w14:textId="77777777" w:rsidR="00674A33" w:rsidRPr="00A74AB6" w:rsidRDefault="00674A33" w:rsidP="00674A33">
      <w:pPr>
        <w:spacing w:line="360" w:lineRule="auto"/>
        <w:rPr>
          <w:rFonts w:eastAsia="Times New Roman" w:cs="Times New Roman"/>
          <w:lang w:eastAsia="en-GB"/>
        </w:rPr>
      </w:pPr>
      <w:r w:rsidRPr="00A74AB6">
        <w:t xml:space="preserve">Blatchford, P., </w:t>
      </w:r>
      <w:proofErr w:type="spellStart"/>
      <w:r w:rsidRPr="00A74AB6">
        <w:t>Kutnick</w:t>
      </w:r>
      <w:proofErr w:type="spellEnd"/>
      <w:r w:rsidRPr="00A74AB6">
        <w:t xml:space="preserve">, P., Baines, E., and Galton, M. (2003) ‘Toward a social pedagogy of classroom group work’, </w:t>
      </w:r>
      <w:r w:rsidRPr="00A74AB6">
        <w:rPr>
          <w:i/>
          <w:iCs/>
        </w:rPr>
        <w:t xml:space="preserve">International Journal of Educational Research, </w:t>
      </w:r>
      <w:r w:rsidRPr="00A74AB6">
        <w:t xml:space="preserve">39 (2), pp. 153-172. </w:t>
      </w:r>
      <w:hyperlink r:id="rId10" w:tgtFrame="_blank" w:tooltip="Persistent link using digital object identifier" w:history="1">
        <w:r w:rsidRPr="00A74AB6">
          <w:rPr>
            <w:rFonts w:eastAsia="Times New Roman" w:cs="Arial"/>
            <w:color w:val="0C7DBB"/>
            <w:u w:val="single"/>
            <w:lang w:eastAsia="en-GB"/>
          </w:rPr>
          <w:t>https://doi.org/10.1016/S0883-0355(03)00078-8</w:t>
        </w:r>
      </w:hyperlink>
      <w:r w:rsidRPr="00A74AB6">
        <w:rPr>
          <w:rFonts w:eastAsia="Times New Roman" w:cs="Times New Roman"/>
          <w:lang w:eastAsia="en-GB"/>
        </w:rPr>
        <w:t xml:space="preserve"> (Accessed: 3</w:t>
      </w:r>
      <w:r w:rsidRPr="00A74AB6">
        <w:rPr>
          <w:rFonts w:eastAsia="Times New Roman" w:cs="Times New Roman"/>
          <w:vertAlign w:val="superscript"/>
          <w:lang w:eastAsia="en-GB"/>
        </w:rPr>
        <w:t>rd</w:t>
      </w:r>
      <w:r w:rsidRPr="00A74AB6">
        <w:rPr>
          <w:rFonts w:eastAsia="Times New Roman" w:cs="Times New Roman"/>
          <w:lang w:eastAsia="en-GB"/>
        </w:rPr>
        <w:t xml:space="preserve"> February 2020).</w:t>
      </w:r>
    </w:p>
    <w:p w14:paraId="784F39B4" w14:textId="77777777" w:rsidR="00674A33" w:rsidRPr="00A67007" w:rsidRDefault="00674A33" w:rsidP="00674A33">
      <w:pPr>
        <w:pStyle w:val="NormalWeb"/>
        <w:spacing w:line="360" w:lineRule="auto"/>
        <w:rPr>
          <w:rFonts w:asciiTheme="minorHAnsi" w:hAnsiTheme="minorHAnsi" w:cstheme="minorHAnsi"/>
          <w:color w:val="057299"/>
          <w:shd w:val="clear" w:color="auto" w:fill="FFFFFF"/>
        </w:rPr>
      </w:pPr>
      <w:r w:rsidRPr="00A67007">
        <w:rPr>
          <w:rFonts w:asciiTheme="minorHAnsi" w:hAnsiTheme="minorHAnsi" w:cstheme="minorHAnsi"/>
          <w:color w:val="000000" w:themeColor="text1"/>
        </w:rPr>
        <w:t xml:space="preserve">Bozkurt, E., and </w:t>
      </w:r>
      <w:proofErr w:type="spellStart"/>
      <w:r w:rsidRPr="00A67007">
        <w:rPr>
          <w:rFonts w:asciiTheme="minorHAnsi" w:hAnsiTheme="minorHAnsi" w:cstheme="minorHAnsi"/>
          <w:color w:val="000000" w:themeColor="text1"/>
        </w:rPr>
        <w:t>Yetkin-Özdemir</w:t>
      </w:r>
      <w:proofErr w:type="spellEnd"/>
      <w:r w:rsidRPr="00A67007">
        <w:rPr>
          <w:rFonts w:asciiTheme="minorHAnsi" w:hAnsiTheme="minorHAnsi" w:cstheme="minorHAnsi"/>
          <w:color w:val="000000" w:themeColor="text1"/>
        </w:rPr>
        <w:t xml:space="preserve">, I. E. (2018) ‘Middle School Mathematics Teachers’ Reflection Activities in the Context of Lesson Study’, </w:t>
      </w:r>
      <w:r w:rsidRPr="00A67007">
        <w:rPr>
          <w:rFonts w:asciiTheme="minorHAnsi" w:hAnsiTheme="minorHAnsi" w:cstheme="minorHAnsi"/>
          <w:i/>
          <w:iCs/>
          <w:color w:val="000000" w:themeColor="text1"/>
        </w:rPr>
        <w:t xml:space="preserve">International Journal of Instruction, </w:t>
      </w:r>
      <w:r w:rsidRPr="00A67007">
        <w:rPr>
          <w:rFonts w:asciiTheme="minorHAnsi" w:hAnsiTheme="minorHAnsi" w:cstheme="minorHAnsi"/>
          <w:color w:val="000000" w:themeColor="text1"/>
        </w:rPr>
        <w:t xml:space="preserve">11 (1), pp. 379-394. </w:t>
      </w:r>
      <w:hyperlink r:id="rId11" w:history="1">
        <w:r w:rsidRPr="00A67007">
          <w:rPr>
            <w:rStyle w:val="Hyperlink"/>
            <w:rFonts w:asciiTheme="minorHAnsi" w:hAnsiTheme="minorHAnsi" w:cstheme="minorHAnsi"/>
            <w:shd w:val="clear" w:color="auto" w:fill="FFFFFF"/>
          </w:rPr>
          <w:t>https://doi.org/10.12973/iji.2018.11126a</w:t>
        </w:r>
      </w:hyperlink>
      <w:r w:rsidRPr="00A67007">
        <w:rPr>
          <w:rFonts w:asciiTheme="minorHAnsi" w:hAnsiTheme="minorHAnsi" w:cstheme="minorHAnsi"/>
          <w:color w:val="057299"/>
          <w:shd w:val="clear" w:color="auto" w:fill="FFFFFF"/>
        </w:rPr>
        <w:t xml:space="preserve">. </w:t>
      </w:r>
      <w:r w:rsidRPr="00A67007">
        <w:rPr>
          <w:rFonts w:asciiTheme="minorHAnsi" w:hAnsiTheme="minorHAnsi" w:cstheme="minorHAnsi"/>
          <w:color w:val="000000" w:themeColor="text1"/>
          <w:shd w:val="clear" w:color="auto" w:fill="FFFFFF"/>
        </w:rPr>
        <w:t>(Accessed: 15</w:t>
      </w:r>
      <w:r w:rsidRPr="00A67007">
        <w:rPr>
          <w:rFonts w:asciiTheme="minorHAnsi" w:hAnsiTheme="minorHAnsi" w:cstheme="minorHAnsi"/>
          <w:color w:val="000000" w:themeColor="text1"/>
          <w:shd w:val="clear" w:color="auto" w:fill="FFFFFF"/>
          <w:vertAlign w:val="superscript"/>
        </w:rPr>
        <w:t>th</w:t>
      </w:r>
      <w:r w:rsidRPr="00A67007">
        <w:rPr>
          <w:rFonts w:asciiTheme="minorHAnsi" w:hAnsiTheme="minorHAnsi" w:cstheme="minorHAnsi"/>
          <w:color w:val="000000" w:themeColor="text1"/>
          <w:shd w:val="clear" w:color="auto" w:fill="FFFFFF"/>
        </w:rPr>
        <w:t xml:space="preserve"> December 2019).</w:t>
      </w:r>
    </w:p>
    <w:p w14:paraId="12659E69" w14:textId="77777777" w:rsidR="00674A33" w:rsidRPr="00A67007" w:rsidRDefault="00674A33" w:rsidP="00674A33">
      <w:pPr>
        <w:spacing w:line="360" w:lineRule="auto"/>
        <w:rPr>
          <w:rFonts w:eastAsia="Times New Roman" w:cstheme="minorHAnsi"/>
          <w:color w:val="000000" w:themeColor="text1"/>
          <w:lang w:eastAsia="en-GB"/>
        </w:rPr>
      </w:pPr>
      <w:r w:rsidRPr="00A67007">
        <w:rPr>
          <w:rFonts w:eastAsia="Times New Roman" w:cstheme="minorHAnsi"/>
          <w:lang w:eastAsia="en-GB"/>
        </w:rPr>
        <w:t xml:space="preserve">Brookfield, S. (1998). ‘Critically Reflective Practice’, </w:t>
      </w:r>
      <w:r w:rsidRPr="00A67007">
        <w:rPr>
          <w:rFonts w:eastAsia="Times New Roman" w:cstheme="minorHAnsi"/>
          <w:i/>
          <w:iCs/>
          <w:lang w:eastAsia="en-GB"/>
        </w:rPr>
        <w:t xml:space="preserve">Journal of Continuing Education in the Health Professions, </w:t>
      </w:r>
      <w:r w:rsidRPr="00A67007">
        <w:rPr>
          <w:rFonts w:eastAsia="Times New Roman" w:cstheme="minorHAnsi"/>
          <w:lang w:eastAsia="en-GB"/>
        </w:rPr>
        <w:t xml:space="preserve">18 (4), pp.197-205. </w:t>
      </w:r>
      <w:r w:rsidRPr="00A67007">
        <w:rPr>
          <w:rFonts w:eastAsia="Times New Roman" w:cstheme="minorHAnsi"/>
          <w:color w:val="000000" w:themeColor="text1"/>
          <w:lang w:eastAsia="en-GB"/>
        </w:rPr>
        <w:t>DOI: 10.1002/chp.134018040. (Accessed: 15</w:t>
      </w:r>
      <w:r w:rsidRPr="00A67007">
        <w:rPr>
          <w:rFonts w:eastAsia="Times New Roman" w:cstheme="minorHAnsi"/>
          <w:color w:val="000000" w:themeColor="text1"/>
          <w:vertAlign w:val="superscript"/>
          <w:lang w:eastAsia="en-GB"/>
        </w:rPr>
        <w:t>th</w:t>
      </w:r>
      <w:r w:rsidRPr="00A67007">
        <w:rPr>
          <w:rFonts w:eastAsia="Times New Roman" w:cstheme="minorHAnsi"/>
          <w:color w:val="000000" w:themeColor="text1"/>
          <w:lang w:eastAsia="en-GB"/>
        </w:rPr>
        <w:t xml:space="preserve"> December 2019). </w:t>
      </w:r>
    </w:p>
    <w:p w14:paraId="5F7AEAE6" w14:textId="77777777" w:rsidR="00674A33" w:rsidRPr="00A67007" w:rsidRDefault="00674A33" w:rsidP="00674A33">
      <w:pPr>
        <w:spacing w:line="360" w:lineRule="auto"/>
        <w:rPr>
          <w:rFonts w:eastAsia="Times New Roman" w:cstheme="minorHAnsi"/>
          <w:color w:val="000000" w:themeColor="text1"/>
          <w:lang w:eastAsia="en-GB"/>
        </w:rPr>
      </w:pPr>
    </w:p>
    <w:p w14:paraId="099261B5" w14:textId="77777777" w:rsidR="00674A33" w:rsidRPr="00A67007" w:rsidRDefault="00674A33" w:rsidP="00674A33">
      <w:pPr>
        <w:spacing w:line="360" w:lineRule="auto"/>
        <w:rPr>
          <w:rFonts w:cstheme="minorHAnsi"/>
        </w:rPr>
      </w:pPr>
      <w:proofErr w:type="spellStart"/>
      <w:r w:rsidRPr="00A67007">
        <w:rPr>
          <w:rFonts w:cstheme="minorHAnsi"/>
        </w:rPr>
        <w:t>Cajkler</w:t>
      </w:r>
      <w:proofErr w:type="spellEnd"/>
      <w:r w:rsidRPr="00A67007">
        <w:rPr>
          <w:rFonts w:cstheme="minorHAnsi"/>
        </w:rPr>
        <w:t xml:space="preserve">, W., Wood, P., Norton, J., Pedder, D., and Xu, H. (2014) ‘Teacher perspectives about lesson study in secondary school departments: a collaborative vehicle for professional learning and practice development’, </w:t>
      </w:r>
      <w:r w:rsidRPr="00A67007">
        <w:rPr>
          <w:rFonts w:cstheme="minorHAnsi"/>
          <w:i/>
          <w:iCs/>
        </w:rPr>
        <w:t xml:space="preserve">Research Papers in Education, </w:t>
      </w:r>
      <w:r w:rsidRPr="00A67007">
        <w:rPr>
          <w:rFonts w:cstheme="minorHAnsi"/>
        </w:rPr>
        <w:t>30(2), pp. 192-213. DOI: 10.1080/02671522.2014.887139 (Accessed: 9</w:t>
      </w:r>
      <w:r w:rsidRPr="00A67007">
        <w:rPr>
          <w:rFonts w:cstheme="minorHAnsi"/>
          <w:vertAlign w:val="superscript"/>
        </w:rPr>
        <w:t>th</w:t>
      </w:r>
      <w:r w:rsidRPr="00A67007">
        <w:rPr>
          <w:rFonts w:cstheme="minorHAnsi"/>
        </w:rPr>
        <w:t xml:space="preserve"> December 2019).</w:t>
      </w:r>
    </w:p>
    <w:p w14:paraId="4FBB22A9" w14:textId="77777777" w:rsidR="00674A33" w:rsidRPr="00A67007" w:rsidRDefault="00674A33" w:rsidP="00674A33">
      <w:pPr>
        <w:spacing w:line="360" w:lineRule="auto"/>
        <w:rPr>
          <w:rFonts w:cstheme="minorHAnsi"/>
        </w:rPr>
      </w:pPr>
    </w:p>
    <w:p w14:paraId="592D994A" w14:textId="77777777" w:rsidR="00674A33" w:rsidRPr="00A67007" w:rsidRDefault="00674A33" w:rsidP="00674A33">
      <w:pPr>
        <w:spacing w:line="360" w:lineRule="auto"/>
        <w:rPr>
          <w:rFonts w:eastAsia="Times New Roman" w:cstheme="minorHAnsi"/>
          <w:lang w:eastAsia="en-GB"/>
        </w:rPr>
      </w:pPr>
      <w:r w:rsidRPr="00A67007">
        <w:rPr>
          <w:rFonts w:eastAsia="Times New Roman" w:cstheme="minorHAnsi"/>
          <w:lang w:eastAsia="en-GB"/>
        </w:rPr>
        <w:t xml:space="preserve">Carss, W.D. (2007) </w:t>
      </w:r>
      <w:r w:rsidRPr="00A67007">
        <w:rPr>
          <w:rFonts w:eastAsia="Times New Roman" w:cstheme="minorHAnsi"/>
          <w:i/>
          <w:iCs/>
          <w:lang w:eastAsia="en-GB"/>
        </w:rPr>
        <w:t>The Effects of Using Think, Pair, Share during Guided Reading Lessons.</w:t>
      </w:r>
      <w:r w:rsidRPr="00A67007">
        <w:rPr>
          <w:rFonts w:eastAsia="Times New Roman" w:cstheme="minorHAnsi"/>
          <w:lang w:eastAsia="en-GB"/>
        </w:rPr>
        <w:t xml:space="preserve"> Unpublished PhD Thesis. The University of Waikato, Hamilton, New Zealand. Available at: </w:t>
      </w:r>
      <w:hyperlink r:id="rId12" w:history="1">
        <w:r w:rsidRPr="00A67007">
          <w:rPr>
            <w:rStyle w:val="Hyperlink"/>
            <w:rFonts w:eastAsia="Times New Roman" w:cstheme="minorHAnsi"/>
            <w:lang w:eastAsia="en-GB"/>
          </w:rPr>
          <w:t>https://hdl.handle.net/10289/2233</w:t>
        </w:r>
      </w:hyperlink>
      <w:r w:rsidRPr="00A67007">
        <w:rPr>
          <w:rFonts w:eastAsia="Times New Roman" w:cstheme="minorHAnsi"/>
          <w:lang w:eastAsia="en-GB"/>
        </w:rPr>
        <w:t xml:space="preserve"> (Accessed: 11</w:t>
      </w:r>
      <w:r w:rsidRPr="00A67007">
        <w:rPr>
          <w:rFonts w:eastAsia="Times New Roman" w:cstheme="minorHAnsi"/>
          <w:vertAlign w:val="superscript"/>
          <w:lang w:eastAsia="en-GB"/>
        </w:rPr>
        <w:t>th</w:t>
      </w:r>
      <w:r w:rsidRPr="00A67007">
        <w:rPr>
          <w:rFonts w:eastAsia="Times New Roman" w:cstheme="minorHAnsi"/>
          <w:lang w:eastAsia="en-GB"/>
        </w:rPr>
        <w:t xml:space="preserve"> February 2020). </w:t>
      </w:r>
    </w:p>
    <w:p w14:paraId="455E9B4D" w14:textId="77777777" w:rsidR="00674A33" w:rsidRPr="00A67007" w:rsidRDefault="00674A33" w:rsidP="00674A33">
      <w:pPr>
        <w:spacing w:before="100" w:beforeAutospacing="1" w:after="100" w:afterAutospacing="1" w:line="360" w:lineRule="auto"/>
        <w:rPr>
          <w:rFonts w:eastAsia="Times New Roman" w:cstheme="minorHAnsi"/>
          <w:lang w:eastAsia="en-GB"/>
        </w:rPr>
      </w:pPr>
      <w:r w:rsidRPr="00A67007">
        <w:rPr>
          <w:rFonts w:eastAsia="Times New Roman" w:cstheme="minorHAnsi"/>
          <w:lang w:eastAsia="en-GB"/>
        </w:rPr>
        <w:t xml:space="preserve">Chang, B. (2019) ‘Reflection in Learning’, </w:t>
      </w:r>
      <w:r w:rsidRPr="00A67007">
        <w:rPr>
          <w:rFonts w:eastAsia="Times New Roman" w:cstheme="minorHAnsi"/>
          <w:i/>
          <w:iCs/>
          <w:lang w:eastAsia="en-GB"/>
        </w:rPr>
        <w:t xml:space="preserve">Online Learning Consortium, </w:t>
      </w:r>
      <w:r w:rsidRPr="00A67007">
        <w:rPr>
          <w:rFonts w:eastAsia="Times New Roman" w:cstheme="minorHAnsi"/>
          <w:lang w:eastAsia="en-GB"/>
        </w:rPr>
        <w:t xml:space="preserve">23 (1), pp. 95-111. </w:t>
      </w:r>
    </w:p>
    <w:p w14:paraId="5978B6A2" w14:textId="77777777" w:rsidR="00674A33" w:rsidRPr="00A67007" w:rsidRDefault="00674A33" w:rsidP="00674A33">
      <w:pPr>
        <w:spacing w:before="100" w:beforeAutospacing="1" w:after="100" w:afterAutospacing="1" w:line="360" w:lineRule="auto"/>
        <w:rPr>
          <w:rFonts w:eastAsia="Times New Roman" w:cstheme="minorHAnsi"/>
          <w:lang w:eastAsia="en-GB"/>
        </w:rPr>
      </w:pPr>
      <w:r w:rsidRPr="00A67007">
        <w:rPr>
          <w:rFonts w:eastAsia="Arial" w:cstheme="minorHAnsi"/>
          <w:iCs/>
        </w:rPr>
        <w:t xml:space="preserve">Chiesa, M., and Hobbs, S. (2008) ‘Making sense of social research: how useful is the Hawthorne effect?’, </w:t>
      </w:r>
      <w:r w:rsidRPr="00A67007">
        <w:rPr>
          <w:rFonts w:eastAsia="Arial" w:cstheme="minorHAnsi"/>
          <w:i/>
        </w:rPr>
        <w:t>Eur J Soc Psychol.</w:t>
      </w:r>
      <w:r w:rsidRPr="00A67007">
        <w:rPr>
          <w:rFonts w:eastAsia="Arial" w:cstheme="minorHAnsi"/>
          <w:iCs/>
        </w:rPr>
        <w:t xml:space="preserve"> 38 (1), pp.67-74. Available at: </w:t>
      </w:r>
      <w:hyperlink r:id="rId13" w:history="1">
        <w:r w:rsidRPr="00A67007">
          <w:rPr>
            <w:rStyle w:val="Hyperlink"/>
            <w:rFonts w:eastAsia="Arial" w:cstheme="minorHAnsi"/>
            <w:iCs/>
          </w:rPr>
          <w:t>https://onlinelibrary.wiley.com/doi/abs/10.1002/ejsp.401</w:t>
        </w:r>
      </w:hyperlink>
      <w:r w:rsidRPr="00A67007">
        <w:rPr>
          <w:rFonts w:eastAsia="Arial" w:cstheme="minorHAnsi"/>
          <w:iCs/>
        </w:rPr>
        <w:t xml:space="preserve"> (Accessed: 13th February 2020).</w:t>
      </w:r>
    </w:p>
    <w:p w14:paraId="070340A4" w14:textId="77777777" w:rsidR="00674A33" w:rsidRPr="00A67007" w:rsidRDefault="00674A33" w:rsidP="00674A33">
      <w:pPr>
        <w:pStyle w:val="NormalWeb"/>
        <w:shd w:val="clear" w:color="auto" w:fill="FFFFFF"/>
        <w:spacing w:line="360" w:lineRule="auto"/>
        <w:rPr>
          <w:rFonts w:asciiTheme="minorHAnsi" w:hAnsiTheme="minorHAnsi" w:cstheme="minorHAnsi"/>
          <w:color w:val="000000" w:themeColor="text1"/>
        </w:rPr>
      </w:pPr>
      <w:r w:rsidRPr="00A67007">
        <w:rPr>
          <w:rFonts w:asciiTheme="minorHAnsi" w:hAnsiTheme="minorHAnsi" w:cstheme="minorHAnsi"/>
          <w:color w:val="000000" w:themeColor="text1"/>
        </w:rPr>
        <w:lastRenderedPageBreak/>
        <w:t>Cohen, L., Manion, L. &amp; Morrison, K. (2018) Research Methods in Education, 8</w:t>
      </w:r>
      <w:r w:rsidRPr="00A67007">
        <w:rPr>
          <w:rFonts w:asciiTheme="minorHAnsi" w:hAnsiTheme="minorHAnsi" w:cstheme="minorHAnsi"/>
          <w:color w:val="000000" w:themeColor="text1"/>
          <w:vertAlign w:val="superscript"/>
        </w:rPr>
        <w:t>th</w:t>
      </w:r>
      <w:r w:rsidRPr="00A67007">
        <w:rPr>
          <w:rFonts w:asciiTheme="minorHAnsi" w:hAnsiTheme="minorHAnsi" w:cstheme="minorHAnsi"/>
          <w:color w:val="000000" w:themeColor="text1"/>
          <w:position w:val="10"/>
        </w:rPr>
        <w:t xml:space="preserve"> </w:t>
      </w:r>
      <w:r w:rsidRPr="00A67007">
        <w:rPr>
          <w:rFonts w:asciiTheme="minorHAnsi" w:hAnsiTheme="minorHAnsi" w:cstheme="minorHAnsi"/>
          <w:color w:val="000000" w:themeColor="text1"/>
        </w:rPr>
        <w:t xml:space="preserve">edition. Oxford: Routledge. </w:t>
      </w:r>
    </w:p>
    <w:p w14:paraId="22D39A9D" w14:textId="77777777" w:rsidR="00674A33" w:rsidRPr="00A67007" w:rsidRDefault="00674A33" w:rsidP="00674A33">
      <w:pPr>
        <w:spacing w:line="360" w:lineRule="auto"/>
        <w:rPr>
          <w:rFonts w:cstheme="minorHAnsi"/>
        </w:rPr>
      </w:pPr>
      <w:r w:rsidRPr="00A67007">
        <w:rPr>
          <w:rFonts w:cstheme="minorHAnsi"/>
        </w:rPr>
        <w:t xml:space="preserve">Cunningham, D. (2011) </w:t>
      </w:r>
      <w:r w:rsidRPr="00A67007">
        <w:rPr>
          <w:rFonts w:cstheme="minorHAnsi"/>
          <w:i/>
          <w:iCs/>
        </w:rPr>
        <w:t>Improving Teaching with Collaborative Action Research.</w:t>
      </w:r>
      <w:r w:rsidRPr="00A67007">
        <w:rPr>
          <w:rFonts w:cstheme="minorHAnsi"/>
        </w:rPr>
        <w:t xml:space="preserve"> United States of America: ASCD. </w:t>
      </w:r>
    </w:p>
    <w:p w14:paraId="2ADF3401" w14:textId="77777777" w:rsidR="00674A33" w:rsidRPr="00A67007" w:rsidRDefault="00674A33" w:rsidP="00674A33">
      <w:pPr>
        <w:spacing w:line="360" w:lineRule="auto"/>
        <w:rPr>
          <w:rFonts w:cstheme="minorHAnsi"/>
        </w:rPr>
      </w:pPr>
    </w:p>
    <w:p w14:paraId="4FDAE254" w14:textId="77777777" w:rsidR="00674A33" w:rsidRPr="00A67007" w:rsidRDefault="00674A33" w:rsidP="00674A33">
      <w:pPr>
        <w:spacing w:line="360" w:lineRule="auto"/>
        <w:rPr>
          <w:rFonts w:cstheme="minorHAnsi"/>
        </w:rPr>
      </w:pPr>
      <w:r w:rsidRPr="00A67007">
        <w:rPr>
          <w:rFonts w:cstheme="minorHAnsi"/>
        </w:rPr>
        <w:t xml:space="preserve">DCELLS (Department for Children, Education, Lifelong Learning and Skills) (2008) </w:t>
      </w:r>
      <w:r w:rsidRPr="00A67007">
        <w:rPr>
          <w:rFonts w:cstheme="minorHAnsi"/>
          <w:i/>
          <w:iCs/>
        </w:rPr>
        <w:t xml:space="preserve">Observing Children. </w:t>
      </w:r>
      <w:r w:rsidRPr="00A67007">
        <w:rPr>
          <w:rFonts w:cstheme="minorHAnsi"/>
        </w:rPr>
        <w:t xml:space="preserve">Cardiff: Welsh Government. </w:t>
      </w:r>
    </w:p>
    <w:p w14:paraId="1B2993CC" w14:textId="77777777" w:rsidR="00674A33" w:rsidRPr="00A67007" w:rsidRDefault="00674A33" w:rsidP="00674A33">
      <w:pPr>
        <w:spacing w:line="360" w:lineRule="auto"/>
        <w:rPr>
          <w:rFonts w:cstheme="minorHAnsi"/>
          <w:i/>
          <w:iCs/>
        </w:rPr>
      </w:pPr>
    </w:p>
    <w:p w14:paraId="2517C670" w14:textId="77777777" w:rsidR="00674A33" w:rsidRPr="00A67007" w:rsidRDefault="00674A33" w:rsidP="00674A33">
      <w:pPr>
        <w:spacing w:line="360" w:lineRule="auto"/>
        <w:rPr>
          <w:rFonts w:cstheme="minorHAnsi"/>
        </w:rPr>
      </w:pPr>
      <w:proofErr w:type="spellStart"/>
      <w:r w:rsidRPr="00A67007">
        <w:rPr>
          <w:rFonts w:cstheme="minorHAnsi"/>
        </w:rPr>
        <w:t>Dewalt</w:t>
      </w:r>
      <w:proofErr w:type="spellEnd"/>
      <w:r w:rsidRPr="00A67007">
        <w:rPr>
          <w:rFonts w:cstheme="minorHAnsi"/>
        </w:rPr>
        <w:t xml:space="preserve">, K.M., and </w:t>
      </w:r>
      <w:proofErr w:type="spellStart"/>
      <w:r w:rsidRPr="00A67007">
        <w:rPr>
          <w:rFonts w:cstheme="minorHAnsi"/>
        </w:rPr>
        <w:t>Dewalt</w:t>
      </w:r>
      <w:proofErr w:type="spellEnd"/>
      <w:r w:rsidRPr="00A67007">
        <w:rPr>
          <w:rFonts w:cstheme="minorHAnsi"/>
        </w:rPr>
        <w:t xml:space="preserve">, B.R. (2011) </w:t>
      </w:r>
      <w:r w:rsidRPr="00A67007">
        <w:rPr>
          <w:rFonts w:cstheme="minorHAnsi"/>
          <w:i/>
          <w:iCs/>
        </w:rPr>
        <w:t>Participant Observation: Guide for Fieldworkers.</w:t>
      </w:r>
      <w:r w:rsidRPr="00A67007">
        <w:rPr>
          <w:rFonts w:cstheme="minorHAnsi"/>
        </w:rPr>
        <w:t xml:space="preserve"> 2</w:t>
      </w:r>
      <w:r w:rsidRPr="00A67007">
        <w:rPr>
          <w:rFonts w:cstheme="minorHAnsi"/>
          <w:vertAlign w:val="superscript"/>
        </w:rPr>
        <w:t>nd</w:t>
      </w:r>
      <w:r w:rsidRPr="00A67007">
        <w:rPr>
          <w:rFonts w:cstheme="minorHAnsi"/>
        </w:rPr>
        <w:t xml:space="preserve"> </w:t>
      </w:r>
      <w:proofErr w:type="spellStart"/>
      <w:r w:rsidRPr="00A67007">
        <w:rPr>
          <w:rFonts w:cstheme="minorHAnsi"/>
        </w:rPr>
        <w:t>edn</w:t>
      </w:r>
      <w:proofErr w:type="spellEnd"/>
      <w:r w:rsidRPr="00A67007">
        <w:rPr>
          <w:rFonts w:cstheme="minorHAnsi"/>
        </w:rPr>
        <w:t xml:space="preserve">. United Kingdom: </w:t>
      </w:r>
      <w:proofErr w:type="spellStart"/>
      <w:r w:rsidRPr="00A67007">
        <w:rPr>
          <w:rFonts w:cstheme="minorHAnsi"/>
        </w:rPr>
        <w:t>AltaMira</w:t>
      </w:r>
      <w:proofErr w:type="spellEnd"/>
      <w:r w:rsidRPr="00A67007">
        <w:rPr>
          <w:rFonts w:cstheme="minorHAnsi"/>
        </w:rPr>
        <w:t xml:space="preserve"> Press. </w:t>
      </w:r>
    </w:p>
    <w:p w14:paraId="1C247B8D" w14:textId="77777777" w:rsidR="00674A33" w:rsidRPr="00A67007" w:rsidRDefault="00674A33" w:rsidP="00674A33">
      <w:pPr>
        <w:spacing w:line="360" w:lineRule="auto"/>
        <w:rPr>
          <w:rFonts w:cstheme="minorHAnsi"/>
        </w:rPr>
      </w:pPr>
    </w:p>
    <w:p w14:paraId="3EA480ED" w14:textId="77777777" w:rsidR="00674A33" w:rsidRPr="00A67007" w:rsidRDefault="00674A33" w:rsidP="00674A33">
      <w:pPr>
        <w:spacing w:line="360" w:lineRule="auto"/>
        <w:rPr>
          <w:rFonts w:eastAsia="Times New Roman" w:cstheme="minorHAnsi"/>
          <w:lang w:eastAsia="en-GB"/>
        </w:rPr>
      </w:pPr>
      <w:r w:rsidRPr="00A67007">
        <w:rPr>
          <w:rFonts w:eastAsia="Times New Roman" w:cstheme="minorHAnsi"/>
          <w:lang w:eastAsia="en-GB"/>
        </w:rPr>
        <w:t xml:space="preserve">Dewey, J. (1940) </w:t>
      </w:r>
      <w:r w:rsidRPr="00A67007">
        <w:rPr>
          <w:rFonts w:eastAsia="Times New Roman" w:cstheme="minorHAnsi"/>
          <w:i/>
          <w:iCs/>
          <w:lang w:eastAsia="en-GB"/>
        </w:rPr>
        <w:t xml:space="preserve">Education Today. </w:t>
      </w:r>
      <w:r w:rsidRPr="00A67007">
        <w:rPr>
          <w:rFonts w:eastAsia="Times New Roman" w:cstheme="minorHAnsi"/>
          <w:lang w:eastAsia="en-GB"/>
        </w:rPr>
        <w:t>New York: Greenwood Press.</w:t>
      </w:r>
    </w:p>
    <w:p w14:paraId="47F2E07C" w14:textId="77777777" w:rsidR="00674A33" w:rsidRPr="00A67007" w:rsidRDefault="00674A33" w:rsidP="00674A33">
      <w:pPr>
        <w:spacing w:line="360" w:lineRule="auto"/>
        <w:rPr>
          <w:rFonts w:eastAsia="Times New Roman" w:cstheme="minorHAnsi"/>
          <w:lang w:eastAsia="en-GB"/>
        </w:rPr>
      </w:pPr>
    </w:p>
    <w:p w14:paraId="4B9ACD76" w14:textId="77777777" w:rsidR="00674A33" w:rsidRPr="00A67007" w:rsidRDefault="00674A33" w:rsidP="00674A33">
      <w:pPr>
        <w:spacing w:line="360" w:lineRule="auto"/>
        <w:rPr>
          <w:rFonts w:cstheme="minorHAnsi"/>
        </w:rPr>
      </w:pPr>
      <w:r w:rsidRPr="00A67007">
        <w:rPr>
          <w:rFonts w:cstheme="minorHAnsi"/>
        </w:rPr>
        <w:t xml:space="preserve">Doherty, J., and Hughes, M. (2009) </w:t>
      </w:r>
      <w:r w:rsidRPr="00A67007">
        <w:rPr>
          <w:rFonts w:cstheme="minorHAnsi"/>
          <w:i/>
          <w:iCs/>
        </w:rPr>
        <w:t xml:space="preserve">Child Development Theory and Practice 0-11. </w:t>
      </w:r>
      <w:r w:rsidRPr="00A67007">
        <w:rPr>
          <w:rFonts w:cstheme="minorHAnsi"/>
        </w:rPr>
        <w:t>London: Pearson.</w:t>
      </w:r>
    </w:p>
    <w:p w14:paraId="0CC90E99" w14:textId="77777777" w:rsidR="00674A33" w:rsidRPr="00A67007" w:rsidRDefault="00674A33" w:rsidP="00674A33">
      <w:pPr>
        <w:spacing w:line="360" w:lineRule="auto"/>
        <w:rPr>
          <w:rFonts w:cstheme="minorHAnsi"/>
        </w:rPr>
      </w:pPr>
    </w:p>
    <w:p w14:paraId="1841B82F" w14:textId="77777777" w:rsidR="00674A33" w:rsidRPr="00A67007" w:rsidRDefault="00674A33" w:rsidP="00674A33">
      <w:pPr>
        <w:spacing w:line="360" w:lineRule="auto"/>
        <w:rPr>
          <w:rFonts w:cstheme="minorHAnsi"/>
        </w:rPr>
      </w:pPr>
      <w:r w:rsidRPr="00A67007">
        <w:rPr>
          <w:rFonts w:cstheme="minorHAnsi"/>
        </w:rPr>
        <w:t xml:space="preserve">Donaldson, G. (2015) </w:t>
      </w:r>
      <w:r w:rsidRPr="00A67007">
        <w:rPr>
          <w:rFonts w:cstheme="minorHAnsi"/>
          <w:i/>
          <w:iCs/>
        </w:rPr>
        <w:t xml:space="preserve">Successful Futures: Independent Review of Curriculum and Assessment Arrangements in Wales. </w:t>
      </w:r>
      <w:r w:rsidRPr="00A67007">
        <w:rPr>
          <w:rFonts w:cstheme="minorHAnsi"/>
        </w:rPr>
        <w:t xml:space="preserve">Available at: </w:t>
      </w:r>
      <w:hyperlink r:id="rId14" w:history="1">
        <w:r w:rsidRPr="00A67007">
          <w:rPr>
            <w:rStyle w:val="Hyperlink"/>
            <w:rFonts w:eastAsia="Arial" w:cstheme="minorHAnsi"/>
            <w:iCs/>
          </w:rPr>
          <w:t>https://gweddill.gov.wales/docs/dcells/publications/150225-successful-futures-en.pdf</w:t>
        </w:r>
      </w:hyperlink>
      <w:r w:rsidRPr="00A67007">
        <w:rPr>
          <w:rStyle w:val="Hyperlink"/>
          <w:rFonts w:eastAsia="Arial" w:cstheme="minorHAnsi"/>
          <w:iCs/>
        </w:rPr>
        <w:t xml:space="preserve"> </w:t>
      </w:r>
      <w:r w:rsidRPr="00A67007">
        <w:rPr>
          <w:rFonts w:cstheme="minorHAnsi"/>
        </w:rPr>
        <w:t>(Accessed: 10th February 2020).</w:t>
      </w:r>
    </w:p>
    <w:p w14:paraId="2C43AA2F" w14:textId="77777777" w:rsidR="00674A33" w:rsidRPr="00A67007" w:rsidRDefault="00674A33" w:rsidP="00674A33">
      <w:pPr>
        <w:spacing w:line="360" w:lineRule="auto"/>
        <w:rPr>
          <w:rFonts w:cstheme="minorHAnsi"/>
        </w:rPr>
      </w:pPr>
    </w:p>
    <w:p w14:paraId="3AE48F03" w14:textId="77777777" w:rsidR="00674A33" w:rsidRPr="00A67007" w:rsidRDefault="00674A33" w:rsidP="00674A33">
      <w:pPr>
        <w:spacing w:line="360" w:lineRule="auto"/>
        <w:rPr>
          <w:rFonts w:cstheme="minorHAnsi"/>
        </w:rPr>
      </w:pPr>
      <w:r w:rsidRPr="00A67007">
        <w:rPr>
          <w:rFonts w:cstheme="minorHAnsi"/>
        </w:rPr>
        <w:t xml:space="preserve">Dudley, P. (2011) </w:t>
      </w:r>
      <w:r w:rsidRPr="00A67007">
        <w:rPr>
          <w:rFonts w:cstheme="minorHAnsi"/>
          <w:i/>
          <w:iCs/>
        </w:rPr>
        <w:t xml:space="preserve">Lesson Study: A Handbook. </w:t>
      </w:r>
      <w:r w:rsidRPr="00A67007">
        <w:rPr>
          <w:rFonts w:cstheme="minorHAnsi"/>
        </w:rPr>
        <w:t xml:space="preserve">Available at:  </w:t>
      </w:r>
      <w:hyperlink r:id="rId15" w:history="1">
        <w:r w:rsidRPr="00A67007">
          <w:rPr>
            <w:rStyle w:val="Hyperlink"/>
            <w:rFonts w:cstheme="minorHAnsi"/>
          </w:rPr>
          <w:t>http://lessonstudy.co.uk/wp-content/uploads/2012/03/Lesson_Study_Handbook_-_011011-1.pdf</w:t>
        </w:r>
      </w:hyperlink>
      <w:r w:rsidRPr="00A67007">
        <w:rPr>
          <w:rFonts w:cstheme="minorHAnsi"/>
        </w:rPr>
        <w:t xml:space="preserve"> (Accessed: 9</w:t>
      </w:r>
      <w:r w:rsidRPr="00A67007">
        <w:rPr>
          <w:rFonts w:cstheme="minorHAnsi"/>
          <w:vertAlign w:val="superscript"/>
        </w:rPr>
        <w:t>th</w:t>
      </w:r>
      <w:r w:rsidRPr="00A67007">
        <w:rPr>
          <w:rFonts w:cstheme="minorHAnsi"/>
        </w:rPr>
        <w:t xml:space="preserve"> December 2019).</w:t>
      </w:r>
    </w:p>
    <w:p w14:paraId="6D4F39EF" w14:textId="77777777" w:rsidR="00674A33" w:rsidRPr="00A67007" w:rsidRDefault="00674A33" w:rsidP="00674A33">
      <w:pPr>
        <w:spacing w:line="360" w:lineRule="auto"/>
        <w:rPr>
          <w:rFonts w:cstheme="minorHAnsi"/>
        </w:rPr>
      </w:pPr>
      <w:r w:rsidRPr="00A67007">
        <w:rPr>
          <w:rFonts w:cstheme="minorHAnsi"/>
        </w:rPr>
        <w:t xml:space="preserve"> </w:t>
      </w:r>
    </w:p>
    <w:p w14:paraId="136E697B" w14:textId="77777777" w:rsidR="00674A33" w:rsidRPr="00A67007" w:rsidRDefault="00674A33" w:rsidP="00674A33">
      <w:pPr>
        <w:spacing w:line="360" w:lineRule="auto"/>
        <w:rPr>
          <w:rFonts w:eastAsia="Arial" w:cstheme="minorHAnsi"/>
          <w:iCs/>
        </w:rPr>
      </w:pPr>
      <w:r w:rsidRPr="00A67007">
        <w:rPr>
          <w:rFonts w:eastAsia="Arial" w:cstheme="minorHAnsi"/>
          <w:iCs/>
        </w:rPr>
        <w:t xml:space="preserve">Dudley, P. (2014) </w:t>
      </w:r>
      <w:r w:rsidRPr="00A67007">
        <w:rPr>
          <w:rFonts w:eastAsia="Arial" w:cstheme="minorHAnsi"/>
          <w:i/>
        </w:rPr>
        <w:t xml:space="preserve">Lesson Study: A Handbook. </w:t>
      </w:r>
      <w:r w:rsidRPr="00A67007">
        <w:rPr>
          <w:rFonts w:eastAsia="Arial" w:cstheme="minorHAnsi"/>
          <w:iCs/>
        </w:rPr>
        <w:t xml:space="preserve">Available at: </w:t>
      </w:r>
      <w:hyperlink r:id="rId16" w:history="1">
        <w:r w:rsidRPr="00A67007">
          <w:rPr>
            <w:rStyle w:val="Hyperlink"/>
            <w:rFonts w:eastAsia="Arial" w:cstheme="minorHAnsi"/>
            <w:iCs/>
          </w:rPr>
          <w:t>http://disde.minedu.gob.pe/bitstream/handle/123456789/5017/Lesson%20Study%20a%20Handbook.pdf?sequence=1&amp;isAllowed=y</w:t>
        </w:r>
      </w:hyperlink>
      <w:r w:rsidRPr="00A67007">
        <w:rPr>
          <w:rFonts w:eastAsia="Arial" w:cstheme="minorHAnsi"/>
          <w:iCs/>
        </w:rPr>
        <w:t xml:space="preserve"> (Accessed: 13</w:t>
      </w:r>
      <w:r w:rsidRPr="00A67007">
        <w:rPr>
          <w:rFonts w:eastAsia="Arial" w:cstheme="minorHAnsi"/>
          <w:iCs/>
          <w:vertAlign w:val="superscript"/>
        </w:rPr>
        <w:t>th</w:t>
      </w:r>
      <w:r w:rsidRPr="00A67007">
        <w:rPr>
          <w:rFonts w:eastAsia="Arial" w:cstheme="minorHAnsi"/>
          <w:iCs/>
        </w:rPr>
        <w:t xml:space="preserve"> February 2020). </w:t>
      </w:r>
    </w:p>
    <w:p w14:paraId="0DD15DA4" w14:textId="77777777" w:rsidR="00674A33" w:rsidRPr="00A67007" w:rsidRDefault="00674A33" w:rsidP="00674A33">
      <w:pPr>
        <w:spacing w:line="360" w:lineRule="auto"/>
        <w:rPr>
          <w:rFonts w:eastAsia="Arial" w:cstheme="minorHAnsi"/>
          <w:iCs/>
        </w:rPr>
      </w:pPr>
    </w:p>
    <w:p w14:paraId="34021AC5" w14:textId="77777777" w:rsidR="00674A33" w:rsidRPr="00A67007" w:rsidRDefault="00674A33" w:rsidP="00674A33">
      <w:pPr>
        <w:spacing w:line="360" w:lineRule="auto"/>
        <w:rPr>
          <w:rFonts w:cstheme="minorHAnsi"/>
        </w:rPr>
      </w:pPr>
      <w:r w:rsidRPr="00A67007">
        <w:rPr>
          <w:rFonts w:cstheme="minorHAnsi"/>
        </w:rPr>
        <w:t xml:space="preserve">Emanuel, E.J., Grady, C., Crouch, R.A., Lie, R.K., Miller, F.G., and Wendler, D. (eds.) (2008) </w:t>
      </w:r>
      <w:r w:rsidRPr="00A67007">
        <w:rPr>
          <w:rFonts w:cstheme="minorHAnsi"/>
          <w:i/>
          <w:iCs/>
        </w:rPr>
        <w:t xml:space="preserve">The Oxford Textbook of Clinical Research Ethics. </w:t>
      </w:r>
      <w:r w:rsidRPr="00A67007">
        <w:rPr>
          <w:rFonts w:cstheme="minorHAnsi"/>
        </w:rPr>
        <w:t xml:space="preserve">Oxford: Oxford University Press. </w:t>
      </w:r>
    </w:p>
    <w:p w14:paraId="4FC9C843" w14:textId="77777777" w:rsidR="00674A33" w:rsidRPr="00A67007" w:rsidRDefault="00674A33" w:rsidP="00674A33">
      <w:pPr>
        <w:spacing w:line="360" w:lineRule="auto"/>
        <w:rPr>
          <w:rFonts w:cstheme="minorHAnsi"/>
        </w:rPr>
      </w:pPr>
    </w:p>
    <w:p w14:paraId="0B14A43C" w14:textId="77777777" w:rsidR="00674A33" w:rsidRDefault="00674A33" w:rsidP="00674A33">
      <w:pPr>
        <w:spacing w:line="360" w:lineRule="auto"/>
        <w:rPr>
          <w:rFonts w:cstheme="minorHAnsi"/>
        </w:rPr>
      </w:pPr>
      <w:proofErr w:type="spellStart"/>
      <w:r w:rsidRPr="00A67007">
        <w:rPr>
          <w:rFonts w:cstheme="minorHAnsi"/>
        </w:rPr>
        <w:t>Farrimond</w:t>
      </w:r>
      <w:proofErr w:type="spellEnd"/>
      <w:r w:rsidRPr="00A67007">
        <w:rPr>
          <w:rFonts w:cstheme="minorHAnsi"/>
        </w:rPr>
        <w:t xml:space="preserve">, H. (2013) </w:t>
      </w:r>
      <w:r w:rsidRPr="00A67007">
        <w:rPr>
          <w:rFonts w:cstheme="minorHAnsi"/>
          <w:i/>
          <w:iCs/>
        </w:rPr>
        <w:t xml:space="preserve">Doing Ethical Research. </w:t>
      </w:r>
      <w:r w:rsidRPr="00A67007">
        <w:rPr>
          <w:rFonts w:cstheme="minorHAnsi"/>
        </w:rPr>
        <w:t>United Kingdom: Palgrave Macmillan.</w:t>
      </w:r>
    </w:p>
    <w:p w14:paraId="31ED48DF" w14:textId="77777777" w:rsidR="00674A33" w:rsidRPr="00A67007" w:rsidRDefault="00674A33" w:rsidP="00674A33">
      <w:pPr>
        <w:spacing w:line="360" w:lineRule="auto"/>
        <w:rPr>
          <w:rFonts w:cstheme="minorHAnsi"/>
        </w:rPr>
      </w:pPr>
    </w:p>
    <w:p w14:paraId="771159E4" w14:textId="77777777" w:rsidR="00674A33" w:rsidRPr="00A67007" w:rsidRDefault="00674A33" w:rsidP="00674A33">
      <w:pPr>
        <w:spacing w:line="360" w:lineRule="auto"/>
        <w:rPr>
          <w:rFonts w:cstheme="minorHAnsi"/>
        </w:rPr>
      </w:pPr>
      <w:r w:rsidRPr="00A67007">
        <w:rPr>
          <w:rFonts w:cstheme="minorHAnsi"/>
        </w:rPr>
        <w:t xml:space="preserve">Fischer, C. T. (ed.) (2011) </w:t>
      </w:r>
      <w:r w:rsidRPr="00A67007">
        <w:rPr>
          <w:rFonts w:cstheme="minorHAnsi"/>
          <w:i/>
          <w:iCs/>
        </w:rPr>
        <w:t xml:space="preserve">Qualitative Research Methods for Psychologists. </w:t>
      </w:r>
      <w:r w:rsidRPr="00A67007">
        <w:rPr>
          <w:rFonts w:cstheme="minorHAnsi"/>
        </w:rPr>
        <w:t xml:space="preserve">London: Elsevier. </w:t>
      </w:r>
    </w:p>
    <w:p w14:paraId="6FB27996" w14:textId="77777777" w:rsidR="00674A33" w:rsidRPr="00A67007" w:rsidRDefault="00674A33" w:rsidP="00674A33">
      <w:pPr>
        <w:pStyle w:val="NormalWeb"/>
        <w:spacing w:line="360" w:lineRule="auto"/>
        <w:rPr>
          <w:rFonts w:asciiTheme="minorHAnsi" w:hAnsiTheme="minorHAnsi" w:cstheme="minorHAnsi"/>
          <w:color w:val="000000" w:themeColor="text1"/>
          <w:shd w:val="clear" w:color="auto" w:fill="FFFFFF"/>
        </w:rPr>
      </w:pPr>
      <w:proofErr w:type="spellStart"/>
      <w:r w:rsidRPr="00A67007">
        <w:rPr>
          <w:rFonts w:asciiTheme="minorHAnsi" w:hAnsiTheme="minorHAnsi" w:cstheme="minorHAnsi"/>
          <w:color w:val="000000" w:themeColor="text1"/>
          <w:shd w:val="clear" w:color="auto" w:fill="FFFFFF"/>
        </w:rPr>
        <w:t>Glazzard</w:t>
      </w:r>
      <w:proofErr w:type="spellEnd"/>
      <w:r w:rsidRPr="00A67007">
        <w:rPr>
          <w:rFonts w:asciiTheme="minorHAnsi" w:hAnsiTheme="minorHAnsi" w:cstheme="minorHAnsi"/>
          <w:color w:val="000000" w:themeColor="text1"/>
          <w:shd w:val="clear" w:color="auto" w:fill="FFFFFF"/>
        </w:rPr>
        <w:t xml:space="preserve">, J. (2014) ‘Observation and Assessment’, in Mukherji, P., and Dryden, L. (eds.) </w:t>
      </w:r>
      <w:r w:rsidRPr="00A67007">
        <w:rPr>
          <w:rFonts w:asciiTheme="minorHAnsi" w:hAnsiTheme="minorHAnsi" w:cstheme="minorHAnsi"/>
          <w:i/>
          <w:iCs/>
          <w:color w:val="000000" w:themeColor="text1"/>
          <w:shd w:val="clear" w:color="auto" w:fill="FFFFFF"/>
        </w:rPr>
        <w:t>Foundations of Early Childhood Principles and Practice.</w:t>
      </w:r>
      <w:r w:rsidRPr="00A67007">
        <w:rPr>
          <w:rFonts w:asciiTheme="minorHAnsi" w:hAnsiTheme="minorHAnsi" w:cstheme="minorHAnsi"/>
          <w:color w:val="000000" w:themeColor="text1"/>
          <w:shd w:val="clear" w:color="auto" w:fill="FFFFFF"/>
        </w:rPr>
        <w:t xml:space="preserve"> London: SAGE. </w:t>
      </w:r>
    </w:p>
    <w:p w14:paraId="2CEF4FC7" w14:textId="77777777" w:rsidR="00674A33" w:rsidRPr="00A67007" w:rsidRDefault="00674A33" w:rsidP="00674A33">
      <w:pPr>
        <w:spacing w:line="360" w:lineRule="auto"/>
        <w:rPr>
          <w:rFonts w:cstheme="minorHAnsi"/>
        </w:rPr>
      </w:pPr>
      <w:r w:rsidRPr="00A67007">
        <w:rPr>
          <w:rFonts w:cstheme="minorHAnsi"/>
        </w:rPr>
        <w:t xml:space="preserve">Green, G., Rhodes, J., Hirsch, A.H., Suarez-Orozco, C., and </w:t>
      </w:r>
      <w:proofErr w:type="spellStart"/>
      <w:r w:rsidRPr="00A67007">
        <w:rPr>
          <w:rFonts w:cstheme="minorHAnsi"/>
        </w:rPr>
        <w:t>Camic</w:t>
      </w:r>
      <w:proofErr w:type="spellEnd"/>
      <w:r w:rsidRPr="00A67007">
        <w:rPr>
          <w:rFonts w:cstheme="minorHAnsi"/>
        </w:rPr>
        <w:t xml:space="preserve">, P.M. (2008) ‘Supportive Adult Relationships and the Academic Engagement of Latin American Immigrant Youth, </w:t>
      </w:r>
      <w:r w:rsidRPr="00A67007">
        <w:rPr>
          <w:rFonts w:cstheme="minorHAnsi"/>
          <w:i/>
          <w:iCs/>
        </w:rPr>
        <w:t>Journal of School Psychology</w:t>
      </w:r>
      <w:r w:rsidRPr="00A67007">
        <w:rPr>
          <w:rFonts w:cstheme="minorHAnsi"/>
        </w:rPr>
        <w:t xml:space="preserve">, 46 (1), pp. 393-412. </w:t>
      </w:r>
      <w:hyperlink r:id="rId17" w:tgtFrame="_blank" w:tooltip="Persistent link using digital object identifier" w:history="1">
        <w:r w:rsidRPr="00A67007">
          <w:rPr>
            <w:rStyle w:val="Hyperlink"/>
            <w:rFonts w:cstheme="minorHAnsi"/>
            <w:color w:val="0C7DBB"/>
          </w:rPr>
          <w:t>https://doi.org/10.1016/j.jsp.2007.07.001</w:t>
        </w:r>
      </w:hyperlink>
      <w:r w:rsidRPr="00A67007">
        <w:rPr>
          <w:rStyle w:val="Hyperlink"/>
          <w:rFonts w:cstheme="minorHAnsi"/>
          <w:color w:val="0C7DBB"/>
        </w:rPr>
        <w:t xml:space="preserve">. </w:t>
      </w:r>
      <w:r w:rsidRPr="00A67007">
        <w:rPr>
          <w:rFonts w:cstheme="minorHAnsi"/>
        </w:rPr>
        <w:t>(Accessed: 11</w:t>
      </w:r>
      <w:r w:rsidRPr="00A67007">
        <w:rPr>
          <w:rFonts w:cstheme="minorHAnsi"/>
          <w:vertAlign w:val="superscript"/>
        </w:rPr>
        <w:t>th</w:t>
      </w:r>
      <w:r w:rsidRPr="00A67007">
        <w:rPr>
          <w:rFonts w:cstheme="minorHAnsi"/>
        </w:rPr>
        <w:t xml:space="preserve"> February 2020).</w:t>
      </w:r>
    </w:p>
    <w:p w14:paraId="73D44880" w14:textId="77777777" w:rsidR="00674A33" w:rsidRPr="00A67007" w:rsidRDefault="00674A33" w:rsidP="00674A33">
      <w:pPr>
        <w:spacing w:line="360" w:lineRule="auto"/>
        <w:rPr>
          <w:rFonts w:cstheme="minorHAnsi"/>
          <w:color w:val="000000" w:themeColor="text1"/>
        </w:rPr>
      </w:pPr>
    </w:p>
    <w:p w14:paraId="31EE5415" w14:textId="77777777" w:rsidR="00674A33" w:rsidRPr="00A67007" w:rsidRDefault="00674A33" w:rsidP="00674A33">
      <w:pPr>
        <w:spacing w:line="360" w:lineRule="auto"/>
        <w:rPr>
          <w:rFonts w:eastAsia="Times New Roman" w:cstheme="minorHAnsi"/>
          <w:lang w:eastAsia="en-GB"/>
        </w:rPr>
      </w:pPr>
      <w:r w:rsidRPr="00A67007">
        <w:rPr>
          <w:rFonts w:eastAsia="Times New Roman" w:cstheme="minorHAnsi"/>
          <w:lang w:eastAsia="en-GB"/>
        </w:rPr>
        <w:t xml:space="preserve">Gregory, G.H., and </w:t>
      </w:r>
      <w:proofErr w:type="spellStart"/>
      <w:r w:rsidRPr="00A67007">
        <w:rPr>
          <w:rFonts w:eastAsia="Times New Roman" w:cstheme="minorHAnsi"/>
          <w:lang w:eastAsia="en-GB"/>
        </w:rPr>
        <w:t>Kuzmich</w:t>
      </w:r>
      <w:proofErr w:type="spellEnd"/>
      <w:r w:rsidRPr="00A67007">
        <w:rPr>
          <w:rFonts w:eastAsia="Times New Roman" w:cstheme="minorHAnsi"/>
          <w:lang w:eastAsia="en-GB"/>
        </w:rPr>
        <w:t xml:space="preserve">, L. (2010) </w:t>
      </w:r>
      <w:r w:rsidRPr="00A67007">
        <w:rPr>
          <w:rFonts w:eastAsia="Times New Roman" w:cstheme="minorHAnsi"/>
          <w:i/>
          <w:iCs/>
          <w:lang w:eastAsia="en-GB"/>
        </w:rPr>
        <w:t>Student Teams That Get Results: Teaching Tools for the Differentiated Classroom.</w:t>
      </w:r>
      <w:r w:rsidRPr="00A67007">
        <w:rPr>
          <w:rFonts w:eastAsia="Times New Roman" w:cstheme="minorHAnsi"/>
          <w:lang w:eastAsia="en-GB"/>
        </w:rPr>
        <w:t xml:space="preserve"> California: Corwin.</w:t>
      </w:r>
    </w:p>
    <w:p w14:paraId="1F1C6D97" w14:textId="77777777" w:rsidR="00674A33" w:rsidRPr="00A67007" w:rsidRDefault="00674A33" w:rsidP="00674A33">
      <w:pPr>
        <w:spacing w:line="360" w:lineRule="auto"/>
        <w:rPr>
          <w:rFonts w:eastAsia="Times New Roman" w:cstheme="minorHAnsi"/>
          <w:lang w:eastAsia="en-GB"/>
        </w:rPr>
      </w:pPr>
    </w:p>
    <w:p w14:paraId="20A50A08" w14:textId="77777777" w:rsidR="00674A33" w:rsidRPr="00A67007" w:rsidRDefault="00674A33" w:rsidP="00674A33">
      <w:pPr>
        <w:spacing w:line="360" w:lineRule="auto"/>
        <w:rPr>
          <w:rFonts w:cstheme="minorHAnsi"/>
        </w:rPr>
      </w:pPr>
      <w:proofErr w:type="spellStart"/>
      <w:r w:rsidRPr="00A67007">
        <w:rPr>
          <w:rFonts w:cstheme="minorHAnsi"/>
        </w:rPr>
        <w:t>Gutierez</w:t>
      </w:r>
      <w:proofErr w:type="spellEnd"/>
      <w:r w:rsidRPr="00A67007">
        <w:rPr>
          <w:rFonts w:cstheme="minorHAnsi"/>
        </w:rPr>
        <w:t xml:space="preserve">, S.B. (2015) ‘Teachers’ Reflective Practice in Lesson Study: A Tool for Improving Instructional Practice’, </w:t>
      </w:r>
      <w:r w:rsidRPr="00A67007">
        <w:rPr>
          <w:rFonts w:cstheme="minorHAnsi"/>
          <w:i/>
          <w:iCs/>
        </w:rPr>
        <w:t xml:space="preserve">Alberta Journal of Educational Research, </w:t>
      </w:r>
      <w:r w:rsidRPr="00A67007">
        <w:rPr>
          <w:rFonts w:cstheme="minorHAnsi"/>
        </w:rPr>
        <w:t xml:space="preserve">61 (3), pp. 314-328. </w:t>
      </w:r>
    </w:p>
    <w:p w14:paraId="767E9604" w14:textId="77777777" w:rsidR="00674A33" w:rsidRPr="00A67007" w:rsidRDefault="00674A33" w:rsidP="00674A33">
      <w:pPr>
        <w:spacing w:line="360" w:lineRule="auto"/>
        <w:rPr>
          <w:rFonts w:cstheme="minorHAnsi"/>
        </w:rPr>
      </w:pPr>
    </w:p>
    <w:p w14:paraId="714E11BC" w14:textId="77777777" w:rsidR="00674A33" w:rsidRDefault="00674A33" w:rsidP="00674A33">
      <w:pPr>
        <w:spacing w:line="360" w:lineRule="auto"/>
        <w:rPr>
          <w:rFonts w:cstheme="minorHAnsi"/>
        </w:rPr>
      </w:pPr>
      <w:r w:rsidRPr="00A67007">
        <w:rPr>
          <w:rFonts w:cstheme="minorHAnsi"/>
        </w:rPr>
        <w:t xml:space="preserve">Hall, R. (2008) </w:t>
      </w:r>
      <w:r w:rsidRPr="00A67007">
        <w:rPr>
          <w:rFonts w:cstheme="minorHAnsi"/>
          <w:i/>
          <w:iCs/>
        </w:rPr>
        <w:t xml:space="preserve">Applied Social Research: Planning, Designing and Conducting Real-world Research. </w:t>
      </w:r>
      <w:r w:rsidRPr="00A67007">
        <w:rPr>
          <w:rFonts w:cstheme="minorHAnsi"/>
        </w:rPr>
        <w:t xml:space="preserve">Australia: Palgrave MacMillan. </w:t>
      </w:r>
    </w:p>
    <w:p w14:paraId="5B0B43EB" w14:textId="77777777" w:rsidR="00674A33" w:rsidRDefault="00674A33" w:rsidP="00674A33">
      <w:pPr>
        <w:spacing w:line="360" w:lineRule="auto"/>
        <w:rPr>
          <w:rFonts w:cstheme="minorHAnsi"/>
        </w:rPr>
      </w:pPr>
    </w:p>
    <w:p w14:paraId="5A397A7E" w14:textId="77777777" w:rsidR="00674A33" w:rsidRDefault="00674A33" w:rsidP="00674A33">
      <w:pPr>
        <w:spacing w:line="360" w:lineRule="auto"/>
        <w:rPr>
          <w:rFonts w:cstheme="minorHAnsi"/>
        </w:rPr>
      </w:pPr>
      <w:r>
        <w:rPr>
          <w:rFonts w:ascii="Calibri" w:hAnsi="Calibri" w:cs="Calibri"/>
        </w:rPr>
        <w:t xml:space="preserve">Hattie, J., and Timperley, H. (2007) ‘The Power of Feedback’, </w:t>
      </w:r>
      <w:r>
        <w:rPr>
          <w:rFonts w:ascii="Calibri" w:hAnsi="Calibri" w:cs="Calibri"/>
          <w:i/>
          <w:iCs/>
        </w:rPr>
        <w:t xml:space="preserve">Review of Educational Research, </w:t>
      </w:r>
      <w:r>
        <w:rPr>
          <w:rFonts w:ascii="Calibri" w:hAnsi="Calibri" w:cs="Calibri"/>
        </w:rPr>
        <w:t>77 (1), pp.81-112.</w:t>
      </w:r>
    </w:p>
    <w:p w14:paraId="6A1D11BB" w14:textId="77777777" w:rsidR="00674A33" w:rsidRDefault="00674A33" w:rsidP="00674A33">
      <w:pPr>
        <w:spacing w:line="360" w:lineRule="auto"/>
        <w:rPr>
          <w:rFonts w:cstheme="minorHAnsi"/>
        </w:rPr>
      </w:pPr>
    </w:p>
    <w:p w14:paraId="783E2A97" w14:textId="77777777" w:rsidR="00674A33" w:rsidRDefault="00674A33" w:rsidP="00674A33">
      <w:pPr>
        <w:spacing w:line="360" w:lineRule="auto"/>
        <w:rPr>
          <w:rFonts w:eastAsia="Times New Roman" w:cstheme="minorHAnsi"/>
          <w:lang w:eastAsia="en-GB"/>
        </w:rPr>
      </w:pPr>
      <w:proofErr w:type="spellStart"/>
      <w:r w:rsidRPr="00A67007">
        <w:rPr>
          <w:rFonts w:eastAsia="Times New Roman" w:cstheme="minorHAnsi"/>
          <w:lang w:eastAsia="en-GB"/>
        </w:rPr>
        <w:t>Helyer</w:t>
      </w:r>
      <w:proofErr w:type="spellEnd"/>
      <w:r w:rsidRPr="00A67007">
        <w:rPr>
          <w:rFonts w:eastAsia="Times New Roman" w:cstheme="minorHAnsi"/>
          <w:lang w:eastAsia="en-GB"/>
        </w:rPr>
        <w:t xml:space="preserve">, R. (2015). ‘Learning through reflection: The critical role of reflection in work-based learning (WBL)’. </w:t>
      </w:r>
      <w:r w:rsidRPr="00A67007">
        <w:rPr>
          <w:rFonts w:eastAsia="Times New Roman" w:cstheme="minorHAnsi"/>
          <w:i/>
          <w:iCs/>
          <w:lang w:eastAsia="en-GB"/>
        </w:rPr>
        <w:t xml:space="preserve">Journal of Work-Applied Management, 7 </w:t>
      </w:r>
      <w:r w:rsidRPr="00A67007">
        <w:rPr>
          <w:rFonts w:eastAsia="Times New Roman" w:cstheme="minorHAnsi"/>
          <w:lang w:eastAsia="en-GB"/>
        </w:rPr>
        <w:t xml:space="preserve">(1), pp. 15-27. DOI: </w:t>
      </w:r>
      <w:hyperlink r:id="rId18" w:history="1">
        <w:r w:rsidRPr="00A67007">
          <w:rPr>
            <w:rStyle w:val="Hyperlink"/>
            <w:rFonts w:eastAsia="Times New Roman" w:cstheme="minorHAnsi"/>
            <w:lang w:eastAsia="en-GB"/>
          </w:rPr>
          <w:t>https://doi.org/10.1108/JW AM-10-2015-003</w:t>
        </w:r>
      </w:hyperlink>
      <w:r w:rsidRPr="00A67007">
        <w:rPr>
          <w:rFonts w:eastAsia="Times New Roman" w:cstheme="minorHAnsi"/>
          <w:lang w:eastAsia="en-GB"/>
        </w:rPr>
        <w:t>. (Accessed: 15</w:t>
      </w:r>
      <w:r w:rsidRPr="00A67007">
        <w:rPr>
          <w:rFonts w:eastAsia="Times New Roman" w:cstheme="minorHAnsi"/>
          <w:vertAlign w:val="superscript"/>
          <w:lang w:eastAsia="en-GB"/>
        </w:rPr>
        <w:t>th</w:t>
      </w:r>
      <w:r w:rsidRPr="00A67007">
        <w:rPr>
          <w:rFonts w:eastAsia="Times New Roman" w:cstheme="minorHAnsi"/>
          <w:lang w:eastAsia="en-GB"/>
        </w:rPr>
        <w:t xml:space="preserve"> December 2019).</w:t>
      </w:r>
    </w:p>
    <w:p w14:paraId="03F4E622" w14:textId="77777777" w:rsidR="00674A33" w:rsidRDefault="00674A33" w:rsidP="00674A33">
      <w:pPr>
        <w:spacing w:before="100" w:beforeAutospacing="1" w:after="100" w:afterAutospacing="1" w:line="360" w:lineRule="auto"/>
        <w:rPr>
          <w:rFonts w:eastAsia="Times New Roman" w:cstheme="minorHAnsi"/>
          <w:lang w:eastAsia="en-GB"/>
        </w:rPr>
      </w:pPr>
      <w:proofErr w:type="spellStart"/>
      <w:r w:rsidRPr="00A67007">
        <w:rPr>
          <w:rFonts w:cstheme="minorHAnsi"/>
        </w:rPr>
        <w:t>Hennink</w:t>
      </w:r>
      <w:proofErr w:type="spellEnd"/>
      <w:r w:rsidRPr="00A67007">
        <w:rPr>
          <w:rFonts w:cstheme="minorHAnsi"/>
        </w:rPr>
        <w:t xml:space="preserve">, M., </w:t>
      </w:r>
      <w:proofErr w:type="spellStart"/>
      <w:r w:rsidRPr="00A67007">
        <w:rPr>
          <w:rFonts w:cstheme="minorHAnsi"/>
        </w:rPr>
        <w:t>Hutter</w:t>
      </w:r>
      <w:proofErr w:type="spellEnd"/>
      <w:r w:rsidRPr="00A67007">
        <w:rPr>
          <w:rFonts w:cstheme="minorHAnsi"/>
        </w:rPr>
        <w:t xml:space="preserve">, I., and Bailey, A. (2011) </w:t>
      </w:r>
      <w:r w:rsidRPr="00A67007">
        <w:rPr>
          <w:rFonts w:cstheme="minorHAnsi"/>
          <w:i/>
          <w:iCs/>
        </w:rPr>
        <w:t>Qualitative Research Methods.</w:t>
      </w:r>
      <w:r w:rsidRPr="00A67007">
        <w:rPr>
          <w:rFonts w:cstheme="minorHAnsi"/>
        </w:rPr>
        <w:t xml:space="preserve"> London: SAGE.</w:t>
      </w:r>
    </w:p>
    <w:p w14:paraId="652D62D1" w14:textId="77777777" w:rsidR="00674A33" w:rsidRPr="00A67007" w:rsidRDefault="00674A33" w:rsidP="00674A33">
      <w:pPr>
        <w:spacing w:before="100" w:beforeAutospacing="1" w:after="100" w:afterAutospacing="1" w:line="360" w:lineRule="auto"/>
        <w:rPr>
          <w:rFonts w:eastAsia="Times New Roman" w:cstheme="minorHAnsi"/>
          <w:lang w:eastAsia="en-GB"/>
        </w:rPr>
      </w:pPr>
      <w:r w:rsidRPr="00A67007">
        <w:rPr>
          <w:rFonts w:eastAsia="Times New Roman" w:cstheme="minorHAnsi"/>
          <w:lang w:eastAsia="en-GB"/>
        </w:rPr>
        <w:t xml:space="preserve">Hill, H., Ball, D., and Schilling, S. (2008) ‘Unpacking Pedagogical Content Knowledge: Conceptualising and Measuring Teachers’ Topic Specific Knowledge of Students’, </w:t>
      </w:r>
      <w:r w:rsidRPr="00A67007">
        <w:rPr>
          <w:rFonts w:eastAsia="Times New Roman" w:cstheme="minorHAnsi"/>
          <w:i/>
          <w:iCs/>
          <w:lang w:eastAsia="en-GB"/>
        </w:rPr>
        <w:t xml:space="preserve">Journal for </w:t>
      </w:r>
      <w:r w:rsidRPr="00A67007">
        <w:rPr>
          <w:rFonts w:eastAsia="Times New Roman" w:cstheme="minorHAnsi"/>
          <w:i/>
          <w:iCs/>
          <w:lang w:eastAsia="en-GB"/>
        </w:rPr>
        <w:lastRenderedPageBreak/>
        <w:t>Research in Mathematical Education.</w:t>
      </w:r>
      <w:r w:rsidRPr="00A67007">
        <w:rPr>
          <w:rFonts w:eastAsia="Times New Roman" w:cstheme="minorHAnsi"/>
          <w:lang w:eastAsia="en-GB"/>
        </w:rPr>
        <w:t xml:space="preserve"> 39 (4), pp. 372-400. Available at: </w:t>
      </w:r>
      <w:hyperlink r:id="rId19" w:history="1">
        <w:r w:rsidRPr="00A67007">
          <w:rPr>
            <w:rStyle w:val="Hyperlink"/>
            <w:rFonts w:eastAsia="Times New Roman" w:cstheme="minorHAnsi"/>
            <w:lang w:eastAsia="en-GB"/>
          </w:rPr>
          <w:t>https://www.jstor.org/stable/40539304?seq=1</w:t>
        </w:r>
      </w:hyperlink>
      <w:r w:rsidRPr="00A67007">
        <w:rPr>
          <w:rFonts w:eastAsia="Times New Roman" w:cstheme="minorHAnsi"/>
          <w:lang w:eastAsia="en-GB"/>
        </w:rPr>
        <w:t xml:space="preserve"> (Accessed: 13</w:t>
      </w:r>
      <w:r w:rsidRPr="00A67007">
        <w:rPr>
          <w:rFonts w:eastAsia="Times New Roman" w:cstheme="minorHAnsi"/>
          <w:vertAlign w:val="superscript"/>
          <w:lang w:eastAsia="en-GB"/>
        </w:rPr>
        <w:t>th</w:t>
      </w:r>
      <w:r w:rsidRPr="00A67007">
        <w:rPr>
          <w:rFonts w:eastAsia="Times New Roman" w:cstheme="minorHAnsi"/>
          <w:lang w:eastAsia="en-GB"/>
        </w:rPr>
        <w:t xml:space="preserve"> February 2020). </w:t>
      </w:r>
    </w:p>
    <w:p w14:paraId="1934DC2C" w14:textId="77777777" w:rsidR="00674A33" w:rsidRPr="00A67007" w:rsidRDefault="00674A33" w:rsidP="00674A33">
      <w:pPr>
        <w:spacing w:line="360" w:lineRule="auto"/>
        <w:rPr>
          <w:rFonts w:eastAsia="Times New Roman" w:cstheme="minorHAnsi"/>
          <w:lang w:eastAsia="en-GB"/>
        </w:rPr>
      </w:pPr>
      <w:r w:rsidRPr="00A67007">
        <w:rPr>
          <w:rFonts w:eastAsia="Times New Roman" w:cstheme="minorHAnsi"/>
          <w:lang w:eastAsia="en-GB"/>
        </w:rPr>
        <w:t xml:space="preserve">Holcomb, E.L. (2001) </w:t>
      </w:r>
      <w:r w:rsidRPr="00A67007">
        <w:rPr>
          <w:rFonts w:eastAsia="Times New Roman" w:cstheme="minorHAnsi"/>
          <w:i/>
          <w:iCs/>
          <w:lang w:eastAsia="en-GB"/>
        </w:rPr>
        <w:t xml:space="preserve">Asking the Right Questions: Techniques for Collaboration and School Change. </w:t>
      </w:r>
      <w:r w:rsidRPr="00A67007">
        <w:rPr>
          <w:rFonts w:eastAsia="Times New Roman" w:cstheme="minorHAnsi"/>
          <w:lang w:eastAsia="en-GB"/>
        </w:rPr>
        <w:t>2</w:t>
      </w:r>
      <w:r w:rsidRPr="00A67007">
        <w:rPr>
          <w:rFonts w:eastAsia="Times New Roman" w:cstheme="minorHAnsi"/>
          <w:vertAlign w:val="superscript"/>
          <w:lang w:eastAsia="en-GB"/>
        </w:rPr>
        <w:t>nd</w:t>
      </w:r>
      <w:r w:rsidRPr="00A67007">
        <w:rPr>
          <w:rFonts w:eastAsia="Times New Roman" w:cstheme="minorHAnsi"/>
          <w:lang w:eastAsia="en-GB"/>
        </w:rPr>
        <w:t xml:space="preserve"> </w:t>
      </w:r>
      <w:proofErr w:type="spellStart"/>
      <w:r w:rsidRPr="00A67007">
        <w:rPr>
          <w:rFonts w:eastAsia="Times New Roman" w:cstheme="minorHAnsi"/>
          <w:lang w:eastAsia="en-GB"/>
        </w:rPr>
        <w:t>edn</w:t>
      </w:r>
      <w:proofErr w:type="spellEnd"/>
      <w:r w:rsidRPr="00A67007">
        <w:rPr>
          <w:rFonts w:eastAsia="Times New Roman" w:cstheme="minorHAnsi"/>
          <w:lang w:eastAsia="en-GB"/>
        </w:rPr>
        <w:t xml:space="preserve">. California: Corwin Press, Inc. </w:t>
      </w:r>
    </w:p>
    <w:p w14:paraId="1BEF3B36" w14:textId="77777777" w:rsidR="00674A33" w:rsidRPr="00A67007" w:rsidRDefault="00674A33" w:rsidP="00674A33">
      <w:pPr>
        <w:spacing w:line="360" w:lineRule="auto"/>
        <w:rPr>
          <w:rFonts w:eastAsia="Times New Roman" w:cstheme="minorHAnsi"/>
          <w:lang w:eastAsia="en-GB"/>
        </w:rPr>
      </w:pPr>
    </w:p>
    <w:p w14:paraId="43BF3513" w14:textId="77777777" w:rsidR="00674A33" w:rsidRPr="00A67007" w:rsidRDefault="00674A33" w:rsidP="00674A33">
      <w:pPr>
        <w:spacing w:line="360" w:lineRule="auto"/>
        <w:rPr>
          <w:rFonts w:cstheme="minorHAnsi"/>
        </w:rPr>
      </w:pPr>
      <w:proofErr w:type="spellStart"/>
      <w:r w:rsidRPr="00A67007">
        <w:rPr>
          <w:rFonts w:cstheme="minorHAnsi"/>
        </w:rPr>
        <w:t>Kholid</w:t>
      </w:r>
      <w:proofErr w:type="spellEnd"/>
      <w:r w:rsidRPr="00A67007">
        <w:rPr>
          <w:rFonts w:cstheme="minorHAnsi"/>
        </w:rPr>
        <w:t xml:space="preserve">, M.N., </w:t>
      </w:r>
      <w:proofErr w:type="spellStart"/>
      <w:r w:rsidRPr="00A67007">
        <w:rPr>
          <w:rFonts w:cstheme="minorHAnsi"/>
        </w:rPr>
        <w:t>Muklis</w:t>
      </w:r>
      <w:proofErr w:type="spellEnd"/>
      <w:r w:rsidRPr="00A67007">
        <w:rPr>
          <w:rFonts w:cstheme="minorHAnsi"/>
        </w:rPr>
        <w:t xml:space="preserve">, Y.M., and </w:t>
      </w:r>
      <w:proofErr w:type="spellStart"/>
      <w:r w:rsidRPr="00A67007">
        <w:rPr>
          <w:rFonts w:cstheme="minorHAnsi"/>
        </w:rPr>
        <w:t>Khasanah</w:t>
      </w:r>
      <w:proofErr w:type="spellEnd"/>
      <w:r w:rsidRPr="00A67007">
        <w:rPr>
          <w:rFonts w:cstheme="minorHAnsi"/>
        </w:rPr>
        <w:t>, U. (2014) ‘Learning Model Experimentation of Student Team Achievement Division (STAD) and Think Pair Share (TPS) of Assessment for Learning (</w:t>
      </w:r>
      <w:proofErr w:type="spellStart"/>
      <w:r w:rsidRPr="00A67007">
        <w:rPr>
          <w:rFonts w:cstheme="minorHAnsi"/>
        </w:rPr>
        <w:t>AfL</w:t>
      </w:r>
      <w:proofErr w:type="spellEnd"/>
      <w:r w:rsidRPr="00A67007">
        <w:rPr>
          <w:rFonts w:cstheme="minorHAnsi"/>
        </w:rPr>
        <w:t xml:space="preserve">) Based’, </w:t>
      </w:r>
      <w:r w:rsidRPr="00A67007">
        <w:rPr>
          <w:rFonts w:cstheme="minorHAnsi"/>
          <w:i/>
          <w:iCs/>
        </w:rPr>
        <w:t xml:space="preserve">Research Implementation and Education of Mathematics and Sciences. </w:t>
      </w:r>
      <w:r w:rsidRPr="00A67007">
        <w:rPr>
          <w:rFonts w:cstheme="minorHAnsi"/>
        </w:rPr>
        <w:t xml:space="preserve">Indonesia 2014, pp. 18-20. Available at: </w:t>
      </w:r>
      <w:hyperlink r:id="rId20" w:history="1">
        <w:r w:rsidRPr="00A67007">
          <w:rPr>
            <w:rStyle w:val="Hyperlink"/>
            <w:rFonts w:cstheme="minorHAnsi"/>
          </w:rPr>
          <w:t>https://eprints.uny.ac.id/11571/1/ME-46%20m%20Noor%20Kholid%20et%20al.pdf</w:t>
        </w:r>
      </w:hyperlink>
      <w:r w:rsidRPr="00A67007">
        <w:rPr>
          <w:rFonts w:cstheme="minorHAnsi"/>
        </w:rPr>
        <w:t xml:space="preserve"> (Accessed: 10</w:t>
      </w:r>
      <w:r w:rsidRPr="00A67007">
        <w:rPr>
          <w:rFonts w:cstheme="minorHAnsi"/>
          <w:vertAlign w:val="superscript"/>
        </w:rPr>
        <w:t>th</w:t>
      </w:r>
      <w:r w:rsidRPr="00A67007">
        <w:rPr>
          <w:rFonts w:cstheme="minorHAnsi"/>
        </w:rPr>
        <w:t xml:space="preserve"> February 2020). </w:t>
      </w:r>
    </w:p>
    <w:p w14:paraId="1963E50F" w14:textId="77777777" w:rsidR="00674A33" w:rsidRPr="00A67007" w:rsidRDefault="00674A33" w:rsidP="00674A33">
      <w:pPr>
        <w:spacing w:line="360" w:lineRule="auto"/>
        <w:rPr>
          <w:rFonts w:cstheme="minorHAnsi"/>
        </w:rPr>
      </w:pPr>
    </w:p>
    <w:p w14:paraId="28572B0B" w14:textId="77777777" w:rsidR="00674A33" w:rsidRPr="00A67007" w:rsidRDefault="00674A33" w:rsidP="00674A33">
      <w:pPr>
        <w:spacing w:line="360" w:lineRule="auto"/>
        <w:rPr>
          <w:rFonts w:eastAsia="Times New Roman" w:cstheme="minorHAnsi"/>
          <w:color w:val="000000" w:themeColor="text1"/>
          <w:lang w:eastAsia="en-GB"/>
        </w:rPr>
      </w:pPr>
      <w:r w:rsidRPr="00A67007">
        <w:rPr>
          <w:rFonts w:eastAsia="Times New Roman" w:cstheme="minorHAnsi"/>
          <w:color w:val="000000" w:themeColor="text1"/>
          <w:lang w:eastAsia="en-GB"/>
        </w:rPr>
        <w:t xml:space="preserve">Kolb, D. (1994) </w:t>
      </w:r>
      <w:r w:rsidRPr="00A67007">
        <w:rPr>
          <w:rFonts w:eastAsia="Times New Roman" w:cstheme="minorHAnsi"/>
          <w:i/>
          <w:iCs/>
          <w:color w:val="000000" w:themeColor="text1"/>
          <w:lang w:eastAsia="en-GB"/>
        </w:rPr>
        <w:t xml:space="preserve">Experiential Learning: Experience as the Source of Learning and Development. </w:t>
      </w:r>
      <w:r w:rsidRPr="00A67007">
        <w:rPr>
          <w:rFonts w:eastAsia="Times New Roman" w:cstheme="minorHAnsi"/>
          <w:color w:val="000000" w:themeColor="text1"/>
          <w:lang w:eastAsia="en-GB"/>
        </w:rPr>
        <w:t>New Jersey: Prentice-Hall.</w:t>
      </w:r>
    </w:p>
    <w:p w14:paraId="331B207C" w14:textId="77777777" w:rsidR="00674A33" w:rsidRPr="00A67007" w:rsidRDefault="00674A33" w:rsidP="00674A33">
      <w:pPr>
        <w:spacing w:line="360" w:lineRule="auto"/>
        <w:rPr>
          <w:rFonts w:eastAsia="Times New Roman" w:cstheme="minorHAnsi"/>
          <w:color w:val="000000" w:themeColor="text1"/>
          <w:lang w:eastAsia="en-GB"/>
        </w:rPr>
      </w:pPr>
    </w:p>
    <w:p w14:paraId="32BA0692" w14:textId="77777777" w:rsidR="00674A33" w:rsidRDefault="00674A33" w:rsidP="00674A33">
      <w:pPr>
        <w:spacing w:line="360" w:lineRule="auto"/>
        <w:rPr>
          <w:rFonts w:eastAsia="Times New Roman" w:cstheme="minorHAnsi"/>
          <w:lang w:eastAsia="en-GB"/>
        </w:rPr>
      </w:pPr>
      <w:proofErr w:type="spellStart"/>
      <w:r w:rsidRPr="00A67007">
        <w:rPr>
          <w:rFonts w:eastAsia="Times New Roman" w:cstheme="minorHAnsi"/>
          <w:lang w:eastAsia="en-GB"/>
        </w:rPr>
        <w:t>Kothiyal</w:t>
      </w:r>
      <w:proofErr w:type="spellEnd"/>
      <w:r w:rsidRPr="00A67007">
        <w:rPr>
          <w:rFonts w:eastAsia="Times New Roman" w:cstheme="minorHAnsi"/>
          <w:lang w:eastAsia="en-GB"/>
        </w:rPr>
        <w:t xml:space="preserve">, A., Murphy, S., and </w:t>
      </w:r>
      <w:proofErr w:type="spellStart"/>
      <w:r w:rsidRPr="00A67007">
        <w:rPr>
          <w:rFonts w:eastAsia="Times New Roman" w:cstheme="minorHAnsi"/>
          <w:lang w:eastAsia="en-GB"/>
        </w:rPr>
        <w:t>Iyer</w:t>
      </w:r>
      <w:proofErr w:type="spellEnd"/>
      <w:r w:rsidRPr="00A67007">
        <w:rPr>
          <w:rFonts w:eastAsia="Times New Roman" w:cstheme="minorHAnsi"/>
          <w:lang w:eastAsia="en-GB"/>
        </w:rPr>
        <w:t xml:space="preserve">, S. (2014) ‘Think-Pair-Share in a Large CS1 Class: Does Learning Really Happen?’, </w:t>
      </w:r>
      <w:r w:rsidRPr="00A67007">
        <w:rPr>
          <w:rFonts w:eastAsia="Times New Roman" w:cstheme="minorHAnsi"/>
          <w:i/>
          <w:iCs/>
          <w:lang w:eastAsia="en-GB"/>
        </w:rPr>
        <w:t>Conference on Innovation and Technology in Computer Science Education Sweden, 2014</w:t>
      </w:r>
      <w:r w:rsidRPr="00A67007">
        <w:rPr>
          <w:rFonts w:eastAsia="Times New Roman" w:cstheme="minorHAnsi"/>
          <w:lang w:eastAsia="en-GB"/>
        </w:rPr>
        <w:t xml:space="preserve">. New York: Association for Computing Machinery. Pp. 51-56. Available at: </w:t>
      </w:r>
      <w:hyperlink r:id="rId21" w:history="1">
        <w:r w:rsidRPr="00A67007">
          <w:rPr>
            <w:rStyle w:val="Hyperlink"/>
            <w:rFonts w:eastAsia="Times New Roman" w:cstheme="minorHAnsi"/>
            <w:lang w:eastAsia="en-GB"/>
          </w:rPr>
          <w:t>https://d1.acm.org/abs/10.1145.2591708.2591739</w:t>
        </w:r>
      </w:hyperlink>
      <w:r w:rsidRPr="00A67007">
        <w:rPr>
          <w:rFonts w:eastAsia="Times New Roman" w:cstheme="minorHAnsi"/>
          <w:lang w:eastAsia="en-GB"/>
        </w:rPr>
        <w:t>. (Accessed: 10</w:t>
      </w:r>
      <w:r w:rsidRPr="00A67007">
        <w:rPr>
          <w:rFonts w:eastAsia="Times New Roman" w:cstheme="minorHAnsi"/>
          <w:vertAlign w:val="superscript"/>
          <w:lang w:eastAsia="en-GB"/>
        </w:rPr>
        <w:t>th</w:t>
      </w:r>
      <w:r w:rsidRPr="00A67007">
        <w:rPr>
          <w:rFonts w:eastAsia="Times New Roman" w:cstheme="minorHAnsi"/>
          <w:lang w:eastAsia="en-GB"/>
        </w:rPr>
        <w:t xml:space="preserve"> February 2020).</w:t>
      </w:r>
    </w:p>
    <w:p w14:paraId="259ADA7E" w14:textId="77777777" w:rsidR="00674A33" w:rsidRDefault="00674A33" w:rsidP="00674A33">
      <w:pPr>
        <w:spacing w:line="360" w:lineRule="auto"/>
        <w:rPr>
          <w:rFonts w:eastAsia="Times New Roman" w:cstheme="minorHAnsi"/>
          <w:lang w:eastAsia="en-GB"/>
        </w:rPr>
      </w:pPr>
    </w:p>
    <w:p w14:paraId="40BCEA3E" w14:textId="77777777" w:rsidR="00674A33" w:rsidRPr="00E06D56" w:rsidRDefault="00674A33" w:rsidP="00674A33">
      <w:pPr>
        <w:spacing w:line="360" w:lineRule="auto"/>
        <w:rPr>
          <w:rFonts w:eastAsia="Times New Roman" w:cstheme="minorHAnsi"/>
          <w:lang w:eastAsia="en-GB"/>
        </w:rPr>
      </w:pPr>
      <w:r w:rsidRPr="00A67007">
        <w:rPr>
          <w:rFonts w:cstheme="minorHAnsi"/>
        </w:rPr>
        <w:t xml:space="preserve">Kwok, A.P., and Lau, A. (2015) ‘An Exploratory Study on Using the Think, Pair, Share Cooperative Learning Strategy’, </w:t>
      </w:r>
      <w:r w:rsidRPr="00A67007">
        <w:rPr>
          <w:rFonts w:cstheme="minorHAnsi"/>
          <w:i/>
          <w:iCs/>
        </w:rPr>
        <w:t xml:space="preserve">Journal of Mathematical Sciences, </w:t>
      </w:r>
      <w:r w:rsidRPr="00A67007">
        <w:rPr>
          <w:rFonts w:cstheme="minorHAnsi"/>
        </w:rPr>
        <w:t>2 (1), pp. 22-28. (Accessed: 3</w:t>
      </w:r>
      <w:r w:rsidRPr="00A67007">
        <w:rPr>
          <w:rFonts w:cstheme="minorHAnsi"/>
          <w:vertAlign w:val="superscript"/>
        </w:rPr>
        <w:t>rd</w:t>
      </w:r>
      <w:r w:rsidRPr="00A67007">
        <w:rPr>
          <w:rFonts w:cstheme="minorHAnsi"/>
        </w:rPr>
        <w:t xml:space="preserve"> February 2020). </w:t>
      </w:r>
    </w:p>
    <w:p w14:paraId="2A731787" w14:textId="77777777" w:rsidR="00674A33" w:rsidRPr="00A67007" w:rsidRDefault="00674A33" w:rsidP="00674A33">
      <w:pPr>
        <w:spacing w:line="360" w:lineRule="auto"/>
        <w:rPr>
          <w:rFonts w:cstheme="minorHAnsi"/>
        </w:rPr>
      </w:pPr>
    </w:p>
    <w:p w14:paraId="1C5A6911" w14:textId="77777777" w:rsidR="00674A33" w:rsidRPr="00A67007" w:rsidRDefault="00674A33" w:rsidP="00674A33">
      <w:pPr>
        <w:spacing w:line="360" w:lineRule="auto"/>
        <w:rPr>
          <w:rFonts w:eastAsia="Arial" w:cstheme="minorHAnsi"/>
          <w:iCs/>
        </w:rPr>
      </w:pPr>
      <w:r w:rsidRPr="00A67007">
        <w:rPr>
          <w:rFonts w:eastAsia="Arial" w:cstheme="minorHAnsi"/>
          <w:iCs/>
        </w:rPr>
        <w:t xml:space="preserve">Lewis, C., Perry, R., and Hurd, J. (2004) ‘A Deeper Look at Lesson Study’, </w:t>
      </w:r>
      <w:r w:rsidRPr="00A67007">
        <w:rPr>
          <w:rFonts w:eastAsia="Arial" w:cstheme="minorHAnsi"/>
          <w:i/>
        </w:rPr>
        <w:t>Educational Leadership.</w:t>
      </w:r>
      <w:r w:rsidRPr="00A67007">
        <w:rPr>
          <w:rFonts w:eastAsia="Arial" w:cstheme="minorHAnsi"/>
          <w:iCs/>
        </w:rPr>
        <w:t xml:space="preserve"> 61 (5), pp. 18-22. Available at: </w:t>
      </w:r>
      <w:hyperlink r:id="rId22" w:anchor="AN=507887703&amp;db=eue" w:history="1">
        <w:r w:rsidRPr="00A67007">
          <w:rPr>
            <w:rStyle w:val="Hyperlink"/>
            <w:rFonts w:eastAsia="Arial" w:cstheme="minorHAnsi"/>
            <w:iCs/>
          </w:rPr>
          <w:t>https://web-a-ebscohost-com.ezproxy.uwtsd.ac.uk/ehost/detail/detail?vid=0&amp;sid=12692f14-df39-434f-8e26-1f361d333acc%40sessionmgr4008&amp;bdata=JnNpdGU9ZWhvc3QtbGl2ZQ%3d%3d#AN=507887703&amp;db=eue</w:t>
        </w:r>
      </w:hyperlink>
      <w:r w:rsidRPr="00A67007">
        <w:rPr>
          <w:rFonts w:eastAsia="Arial" w:cstheme="minorHAnsi"/>
          <w:iCs/>
        </w:rPr>
        <w:t xml:space="preserve"> (Accessed: 13</w:t>
      </w:r>
      <w:r w:rsidRPr="00A67007">
        <w:rPr>
          <w:rFonts w:eastAsia="Arial" w:cstheme="minorHAnsi"/>
          <w:iCs/>
          <w:vertAlign w:val="superscript"/>
        </w:rPr>
        <w:t>th</w:t>
      </w:r>
      <w:r w:rsidRPr="00A67007">
        <w:rPr>
          <w:rFonts w:eastAsia="Arial" w:cstheme="minorHAnsi"/>
          <w:iCs/>
        </w:rPr>
        <w:t xml:space="preserve"> February 2020). </w:t>
      </w:r>
    </w:p>
    <w:p w14:paraId="537D6E8B" w14:textId="77777777" w:rsidR="00674A33" w:rsidRPr="00A67007" w:rsidRDefault="00674A33" w:rsidP="00674A33">
      <w:pPr>
        <w:spacing w:line="360" w:lineRule="auto"/>
        <w:rPr>
          <w:rFonts w:eastAsia="Arial" w:cstheme="minorHAnsi"/>
          <w:iCs/>
        </w:rPr>
      </w:pPr>
    </w:p>
    <w:p w14:paraId="0E069B46" w14:textId="77777777" w:rsidR="00674A33" w:rsidRPr="00A67007" w:rsidRDefault="00674A33" w:rsidP="00674A33">
      <w:pPr>
        <w:spacing w:line="360" w:lineRule="auto"/>
        <w:rPr>
          <w:rFonts w:eastAsia="Times New Roman" w:cstheme="minorHAnsi"/>
          <w:lang w:eastAsia="en-GB"/>
        </w:rPr>
      </w:pPr>
      <w:r w:rsidRPr="00A67007">
        <w:rPr>
          <w:rFonts w:eastAsia="Times New Roman" w:cstheme="minorHAnsi"/>
          <w:lang w:eastAsia="en-GB"/>
        </w:rPr>
        <w:lastRenderedPageBreak/>
        <w:t xml:space="preserve">Lie, A. (2002) </w:t>
      </w:r>
      <w:proofErr w:type="spellStart"/>
      <w:r w:rsidRPr="00A67007">
        <w:rPr>
          <w:rFonts w:eastAsia="Times New Roman" w:cstheme="minorHAnsi"/>
          <w:i/>
          <w:iCs/>
          <w:lang w:eastAsia="en-GB"/>
        </w:rPr>
        <w:t>Mempraktekkan</w:t>
      </w:r>
      <w:proofErr w:type="spellEnd"/>
      <w:r w:rsidRPr="00A67007">
        <w:rPr>
          <w:rFonts w:eastAsia="Times New Roman" w:cstheme="minorHAnsi"/>
          <w:i/>
          <w:iCs/>
          <w:lang w:eastAsia="en-GB"/>
        </w:rPr>
        <w:t xml:space="preserve"> Cooperative Learning di </w:t>
      </w:r>
      <w:proofErr w:type="spellStart"/>
      <w:r w:rsidRPr="00A67007">
        <w:rPr>
          <w:rFonts w:eastAsia="Times New Roman" w:cstheme="minorHAnsi"/>
          <w:i/>
          <w:iCs/>
          <w:lang w:eastAsia="en-GB"/>
        </w:rPr>
        <w:t>Ruang</w:t>
      </w:r>
      <w:proofErr w:type="spellEnd"/>
      <w:r w:rsidRPr="00A67007">
        <w:rPr>
          <w:rFonts w:eastAsia="Times New Roman" w:cstheme="minorHAnsi"/>
          <w:i/>
          <w:iCs/>
          <w:lang w:eastAsia="en-GB"/>
        </w:rPr>
        <w:t xml:space="preserve">- </w:t>
      </w:r>
      <w:proofErr w:type="spellStart"/>
      <w:r w:rsidRPr="00A67007">
        <w:rPr>
          <w:rFonts w:eastAsia="Times New Roman" w:cstheme="minorHAnsi"/>
          <w:i/>
          <w:iCs/>
          <w:lang w:eastAsia="en-GB"/>
        </w:rPr>
        <w:t>Ruang</w:t>
      </w:r>
      <w:proofErr w:type="spellEnd"/>
      <w:r w:rsidRPr="00A67007">
        <w:rPr>
          <w:rFonts w:eastAsia="Times New Roman" w:cstheme="minorHAnsi"/>
          <w:i/>
          <w:iCs/>
          <w:lang w:eastAsia="en-GB"/>
        </w:rPr>
        <w:t xml:space="preserve"> Kelas.</w:t>
      </w:r>
      <w:r w:rsidRPr="00A67007">
        <w:rPr>
          <w:rFonts w:eastAsia="Times New Roman" w:cstheme="minorHAnsi"/>
          <w:lang w:eastAsia="en-GB"/>
        </w:rPr>
        <w:t xml:space="preserve"> Jakarta: </w:t>
      </w:r>
      <w:proofErr w:type="spellStart"/>
      <w:r w:rsidRPr="00A67007">
        <w:rPr>
          <w:rFonts w:eastAsia="Times New Roman" w:cstheme="minorHAnsi"/>
          <w:lang w:eastAsia="en-GB"/>
        </w:rPr>
        <w:t>Grasindo</w:t>
      </w:r>
      <w:proofErr w:type="spellEnd"/>
      <w:r w:rsidRPr="00A67007">
        <w:rPr>
          <w:rFonts w:eastAsia="Times New Roman" w:cstheme="minorHAnsi"/>
          <w:lang w:eastAsia="en-GB"/>
        </w:rPr>
        <w:t xml:space="preserve">. </w:t>
      </w:r>
    </w:p>
    <w:p w14:paraId="2E7F7890" w14:textId="77777777" w:rsidR="00674A33" w:rsidRPr="00A67007" w:rsidRDefault="00674A33" w:rsidP="00674A33">
      <w:pPr>
        <w:spacing w:line="360" w:lineRule="auto"/>
        <w:rPr>
          <w:rFonts w:eastAsia="Times New Roman" w:cstheme="minorHAnsi"/>
          <w:lang w:eastAsia="en-GB"/>
        </w:rPr>
      </w:pPr>
    </w:p>
    <w:p w14:paraId="6B4105A0" w14:textId="77777777" w:rsidR="00674A33" w:rsidRPr="00A67007" w:rsidRDefault="00674A33" w:rsidP="00674A33">
      <w:pPr>
        <w:spacing w:line="360" w:lineRule="auto"/>
        <w:rPr>
          <w:rFonts w:cstheme="minorHAnsi"/>
        </w:rPr>
      </w:pPr>
      <w:r w:rsidRPr="00A67007">
        <w:rPr>
          <w:rFonts w:cstheme="minorHAnsi"/>
        </w:rPr>
        <w:t xml:space="preserve">Lyman, F. (1981) </w:t>
      </w:r>
      <w:r w:rsidRPr="00A67007">
        <w:rPr>
          <w:rFonts w:cstheme="minorHAnsi"/>
          <w:i/>
          <w:iCs/>
        </w:rPr>
        <w:t xml:space="preserve">The Responsive Class Discussion. </w:t>
      </w:r>
      <w:r w:rsidRPr="00A67007">
        <w:rPr>
          <w:rFonts w:cstheme="minorHAnsi"/>
        </w:rPr>
        <w:t>Maryland: University of Maryland.</w:t>
      </w:r>
    </w:p>
    <w:p w14:paraId="3881B8BF" w14:textId="77777777" w:rsidR="00674A33" w:rsidRPr="00A67007" w:rsidRDefault="00674A33" w:rsidP="00674A33">
      <w:pPr>
        <w:spacing w:line="360" w:lineRule="auto"/>
        <w:rPr>
          <w:rFonts w:cstheme="minorHAnsi"/>
        </w:rPr>
      </w:pPr>
    </w:p>
    <w:p w14:paraId="63994755" w14:textId="77777777" w:rsidR="00674A33" w:rsidRPr="00A67007" w:rsidRDefault="00674A33" w:rsidP="00674A33">
      <w:pPr>
        <w:pStyle w:val="NormalWeb"/>
        <w:shd w:val="clear" w:color="auto" w:fill="FFFFFF"/>
        <w:spacing w:line="360" w:lineRule="auto"/>
        <w:rPr>
          <w:rFonts w:asciiTheme="minorHAnsi" w:hAnsiTheme="minorHAnsi" w:cstheme="minorHAnsi"/>
          <w:color w:val="000000" w:themeColor="text1"/>
        </w:rPr>
      </w:pPr>
      <w:r w:rsidRPr="00A67007">
        <w:rPr>
          <w:rFonts w:asciiTheme="minorHAnsi" w:hAnsiTheme="minorHAnsi" w:cstheme="minorHAnsi"/>
          <w:color w:val="000000" w:themeColor="text1"/>
        </w:rPr>
        <w:t xml:space="preserve">Mackey, A., and </w:t>
      </w:r>
      <w:proofErr w:type="spellStart"/>
      <w:r w:rsidRPr="00A67007">
        <w:rPr>
          <w:rFonts w:asciiTheme="minorHAnsi" w:hAnsiTheme="minorHAnsi" w:cstheme="minorHAnsi"/>
          <w:color w:val="000000" w:themeColor="text1"/>
        </w:rPr>
        <w:t>Gass</w:t>
      </w:r>
      <w:proofErr w:type="spellEnd"/>
      <w:r w:rsidRPr="00A67007">
        <w:rPr>
          <w:rFonts w:asciiTheme="minorHAnsi" w:hAnsiTheme="minorHAnsi" w:cstheme="minorHAnsi"/>
          <w:color w:val="000000" w:themeColor="text1"/>
        </w:rPr>
        <w:t xml:space="preserve">, M. (2016) </w:t>
      </w:r>
      <w:r w:rsidRPr="00A67007">
        <w:rPr>
          <w:rFonts w:asciiTheme="minorHAnsi" w:hAnsiTheme="minorHAnsi" w:cstheme="minorHAnsi"/>
          <w:i/>
          <w:iCs/>
          <w:color w:val="000000" w:themeColor="text1"/>
        </w:rPr>
        <w:t xml:space="preserve">Second Language Research: Methodology and Design. </w:t>
      </w:r>
      <w:r w:rsidRPr="00A67007">
        <w:rPr>
          <w:rFonts w:asciiTheme="minorHAnsi" w:hAnsiTheme="minorHAnsi" w:cstheme="minorHAnsi"/>
          <w:color w:val="000000" w:themeColor="text1"/>
        </w:rPr>
        <w:t>2</w:t>
      </w:r>
      <w:r w:rsidRPr="00A67007">
        <w:rPr>
          <w:rFonts w:asciiTheme="minorHAnsi" w:hAnsiTheme="minorHAnsi" w:cstheme="minorHAnsi"/>
          <w:color w:val="000000" w:themeColor="text1"/>
          <w:vertAlign w:val="superscript"/>
        </w:rPr>
        <w:t>nd</w:t>
      </w:r>
      <w:r w:rsidRPr="00A67007">
        <w:rPr>
          <w:rFonts w:asciiTheme="minorHAnsi" w:hAnsiTheme="minorHAnsi" w:cstheme="minorHAnsi"/>
          <w:color w:val="000000" w:themeColor="text1"/>
        </w:rPr>
        <w:t xml:space="preserve"> </w:t>
      </w:r>
      <w:proofErr w:type="spellStart"/>
      <w:r w:rsidRPr="00A67007">
        <w:rPr>
          <w:rFonts w:asciiTheme="minorHAnsi" w:hAnsiTheme="minorHAnsi" w:cstheme="minorHAnsi"/>
          <w:color w:val="000000" w:themeColor="text1"/>
        </w:rPr>
        <w:t>edn</w:t>
      </w:r>
      <w:proofErr w:type="spellEnd"/>
      <w:r w:rsidRPr="00A67007">
        <w:rPr>
          <w:rFonts w:asciiTheme="minorHAnsi" w:hAnsiTheme="minorHAnsi" w:cstheme="minorHAnsi"/>
          <w:color w:val="000000" w:themeColor="text1"/>
        </w:rPr>
        <w:t xml:space="preserve">. New Jersey: Lawrence Erlbaum Associates. </w:t>
      </w:r>
    </w:p>
    <w:p w14:paraId="0A5280D1" w14:textId="77777777" w:rsidR="00674A33" w:rsidRDefault="00674A33" w:rsidP="00674A33">
      <w:pPr>
        <w:spacing w:line="360" w:lineRule="auto"/>
        <w:rPr>
          <w:rFonts w:cstheme="minorHAnsi"/>
        </w:rPr>
      </w:pPr>
      <w:r w:rsidRPr="00A67007">
        <w:rPr>
          <w:rFonts w:cstheme="minorHAnsi"/>
        </w:rPr>
        <w:t xml:space="preserve">Mahmoud, K. (2013) ‘Think, Pair, Share: A Teaching Strategy to Enhance Students’ Critical Thinking’, </w:t>
      </w:r>
      <w:r w:rsidRPr="00A67007">
        <w:rPr>
          <w:rFonts w:cstheme="minorHAnsi"/>
          <w:i/>
          <w:iCs/>
        </w:rPr>
        <w:t xml:space="preserve">Educational Research Quarterly, </w:t>
      </w:r>
      <w:r w:rsidRPr="00A67007">
        <w:rPr>
          <w:rFonts w:cstheme="minorHAnsi"/>
        </w:rPr>
        <w:t>36 (4), pp.3-24. (Accessed: 3</w:t>
      </w:r>
      <w:r w:rsidRPr="00A67007">
        <w:rPr>
          <w:rFonts w:cstheme="minorHAnsi"/>
          <w:vertAlign w:val="superscript"/>
        </w:rPr>
        <w:t>rd</w:t>
      </w:r>
      <w:r w:rsidRPr="00A67007">
        <w:rPr>
          <w:rFonts w:cstheme="minorHAnsi"/>
        </w:rPr>
        <w:t xml:space="preserve"> February 2020).  </w:t>
      </w:r>
    </w:p>
    <w:p w14:paraId="1A248BD9" w14:textId="77777777" w:rsidR="00674A33" w:rsidRPr="00A67007" w:rsidRDefault="00674A33" w:rsidP="00674A33">
      <w:pPr>
        <w:spacing w:line="360" w:lineRule="auto"/>
        <w:rPr>
          <w:rFonts w:cstheme="minorHAnsi"/>
        </w:rPr>
      </w:pPr>
    </w:p>
    <w:p w14:paraId="0715C6F9" w14:textId="77777777" w:rsidR="00674A33" w:rsidRPr="00A67007" w:rsidRDefault="00674A33" w:rsidP="00674A33">
      <w:pPr>
        <w:spacing w:line="360" w:lineRule="auto"/>
        <w:rPr>
          <w:rFonts w:cstheme="minorHAnsi"/>
        </w:rPr>
      </w:pPr>
      <w:proofErr w:type="spellStart"/>
      <w:r w:rsidRPr="00A67007">
        <w:rPr>
          <w:rFonts w:cstheme="minorHAnsi"/>
        </w:rPr>
        <w:t>Malderez</w:t>
      </w:r>
      <w:proofErr w:type="spellEnd"/>
      <w:r w:rsidRPr="00A67007">
        <w:rPr>
          <w:rFonts w:cstheme="minorHAnsi"/>
        </w:rPr>
        <w:t xml:space="preserve">, A. (2003) ‘Observation’, </w:t>
      </w:r>
      <w:r w:rsidRPr="00A67007">
        <w:rPr>
          <w:rFonts w:cstheme="minorHAnsi"/>
          <w:i/>
          <w:iCs/>
        </w:rPr>
        <w:t>ELT Journal,</w:t>
      </w:r>
      <w:r w:rsidRPr="00A67007">
        <w:rPr>
          <w:rFonts w:cstheme="minorHAnsi"/>
        </w:rPr>
        <w:t xml:space="preserve"> 57 (2), pp.179-181. DOI: </w:t>
      </w:r>
      <w:hyperlink r:id="rId23" w:history="1">
        <w:r w:rsidRPr="00A67007">
          <w:rPr>
            <w:rStyle w:val="Hyperlink"/>
            <w:rFonts w:cstheme="minorHAnsi"/>
            <w:color w:val="006FB7"/>
            <w:bdr w:val="none" w:sz="0" w:space="0" w:color="auto" w:frame="1"/>
          </w:rPr>
          <w:t>https://doi-org.ezproxy.uwtsd.ac.uk/10.1093/elt/57.2.179</w:t>
        </w:r>
      </w:hyperlink>
      <w:r w:rsidRPr="00A67007">
        <w:rPr>
          <w:rFonts w:cstheme="minorHAnsi"/>
        </w:rPr>
        <w:t xml:space="preserve"> (Accessed: 12</w:t>
      </w:r>
      <w:r w:rsidRPr="00A67007">
        <w:rPr>
          <w:rFonts w:cstheme="minorHAnsi"/>
          <w:vertAlign w:val="superscript"/>
        </w:rPr>
        <w:t>th</w:t>
      </w:r>
      <w:r w:rsidRPr="00A67007">
        <w:rPr>
          <w:rFonts w:cstheme="minorHAnsi"/>
        </w:rPr>
        <w:t xml:space="preserve"> December 2019). </w:t>
      </w:r>
    </w:p>
    <w:p w14:paraId="697EE857" w14:textId="77777777" w:rsidR="00674A33" w:rsidRPr="00A67007" w:rsidRDefault="00674A33" w:rsidP="00674A33">
      <w:pPr>
        <w:spacing w:line="360" w:lineRule="auto"/>
        <w:rPr>
          <w:rFonts w:cstheme="minorHAnsi"/>
        </w:rPr>
      </w:pPr>
    </w:p>
    <w:p w14:paraId="44A4400D" w14:textId="77777777" w:rsidR="00674A33" w:rsidRPr="00A67007" w:rsidRDefault="00674A33" w:rsidP="00674A33">
      <w:pPr>
        <w:spacing w:line="360" w:lineRule="auto"/>
        <w:rPr>
          <w:rFonts w:cstheme="minorHAnsi"/>
        </w:rPr>
      </w:pPr>
      <w:r w:rsidRPr="00A67007">
        <w:rPr>
          <w:rFonts w:cstheme="minorHAnsi"/>
        </w:rPr>
        <w:t xml:space="preserve">Malinowski, B. (1989) </w:t>
      </w:r>
      <w:r w:rsidRPr="00A67007">
        <w:rPr>
          <w:rFonts w:cstheme="minorHAnsi"/>
          <w:i/>
          <w:iCs/>
        </w:rPr>
        <w:t>A Diary in the Strict Sense of the Term.</w:t>
      </w:r>
      <w:r w:rsidRPr="00A67007">
        <w:rPr>
          <w:rFonts w:cstheme="minorHAnsi"/>
        </w:rPr>
        <w:t xml:space="preserve"> 2</w:t>
      </w:r>
      <w:r w:rsidRPr="00A67007">
        <w:rPr>
          <w:rFonts w:cstheme="minorHAnsi"/>
          <w:vertAlign w:val="superscript"/>
        </w:rPr>
        <w:t>nd</w:t>
      </w:r>
      <w:r w:rsidRPr="00A67007">
        <w:rPr>
          <w:rFonts w:cstheme="minorHAnsi"/>
        </w:rPr>
        <w:t xml:space="preserve"> </w:t>
      </w:r>
      <w:proofErr w:type="spellStart"/>
      <w:r w:rsidRPr="00A67007">
        <w:rPr>
          <w:rFonts w:cstheme="minorHAnsi"/>
        </w:rPr>
        <w:t>edn</w:t>
      </w:r>
      <w:proofErr w:type="spellEnd"/>
      <w:r w:rsidRPr="00A67007">
        <w:rPr>
          <w:rFonts w:cstheme="minorHAnsi"/>
        </w:rPr>
        <w:t>. London: Athlone.</w:t>
      </w:r>
    </w:p>
    <w:p w14:paraId="6C3A0285" w14:textId="77777777" w:rsidR="00674A33" w:rsidRPr="00A67007" w:rsidRDefault="00674A33" w:rsidP="00674A33">
      <w:pPr>
        <w:spacing w:line="360" w:lineRule="auto"/>
        <w:rPr>
          <w:rFonts w:cstheme="minorHAnsi"/>
        </w:rPr>
      </w:pPr>
    </w:p>
    <w:p w14:paraId="087F9351" w14:textId="77777777" w:rsidR="00674A33" w:rsidRPr="00A67007" w:rsidRDefault="00674A33" w:rsidP="00674A33">
      <w:pPr>
        <w:spacing w:line="360" w:lineRule="auto"/>
        <w:rPr>
          <w:rFonts w:eastAsia="Arial" w:cstheme="minorHAnsi"/>
          <w:iCs/>
        </w:rPr>
      </w:pPr>
      <w:proofErr w:type="spellStart"/>
      <w:r w:rsidRPr="00A67007">
        <w:rPr>
          <w:rFonts w:eastAsia="Arial" w:cstheme="minorHAnsi"/>
          <w:iCs/>
        </w:rPr>
        <w:t>McCambridge</w:t>
      </w:r>
      <w:proofErr w:type="spellEnd"/>
      <w:r w:rsidRPr="00A67007">
        <w:rPr>
          <w:rFonts w:eastAsia="Arial" w:cstheme="minorHAnsi"/>
          <w:iCs/>
        </w:rPr>
        <w:t xml:space="preserve">, J., Witton, J., and </w:t>
      </w:r>
      <w:proofErr w:type="spellStart"/>
      <w:r w:rsidRPr="00A67007">
        <w:rPr>
          <w:rFonts w:eastAsia="Arial" w:cstheme="minorHAnsi"/>
          <w:iCs/>
        </w:rPr>
        <w:t>Elbourne</w:t>
      </w:r>
      <w:proofErr w:type="spellEnd"/>
      <w:r w:rsidRPr="00A67007">
        <w:rPr>
          <w:rFonts w:eastAsia="Arial" w:cstheme="minorHAnsi"/>
          <w:iCs/>
        </w:rPr>
        <w:t xml:space="preserve">, D. (2014) ‘Systematic review of the Hawthorne effect: New concepts are needed to study research participation effects’, </w:t>
      </w:r>
      <w:r w:rsidRPr="00A67007">
        <w:rPr>
          <w:rFonts w:eastAsia="Arial" w:cstheme="minorHAnsi"/>
          <w:i/>
        </w:rPr>
        <w:t>Journal of Clinical Epidemiology.</w:t>
      </w:r>
      <w:r w:rsidRPr="00A67007">
        <w:rPr>
          <w:rFonts w:eastAsia="Arial" w:cstheme="minorHAnsi"/>
          <w:iCs/>
        </w:rPr>
        <w:t xml:space="preserve"> 63 (3), pp. 267-277. Available at: </w:t>
      </w:r>
      <w:hyperlink r:id="rId24" w:anchor="bib5" w:history="1">
        <w:r w:rsidRPr="00A67007">
          <w:rPr>
            <w:rStyle w:val="Hyperlink"/>
            <w:rFonts w:eastAsia="Arial" w:cstheme="minorHAnsi"/>
            <w:iCs/>
          </w:rPr>
          <w:t>https://www.sciencedirect.com/science/article/pii/S0895435613003545#bib5</w:t>
        </w:r>
      </w:hyperlink>
      <w:r w:rsidRPr="00A67007">
        <w:rPr>
          <w:rFonts w:eastAsia="Arial" w:cstheme="minorHAnsi"/>
          <w:iCs/>
        </w:rPr>
        <w:t xml:space="preserve"> (Accessed: 13</w:t>
      </w:r>
      <w:r w:rsidRPr="00A67007">
        <w:rPr>
          <w:rFonts w:eastAsia="Arial" w:cstheme="minorHAnsi"/>
          <w:iCs/>
          <w:vertAlign w:val="superscript"/>
        </w:rPr>
        <w:t>th</w:t>
      </w:r>
      <w:r w:rsidRPr="00A67007">
        <w:rPr>
          <w:rFonts w:eastAsia="Arial" w:cstheme="minorHAnsi"/>
          <w:iCs/>
        </w:rPr>
        <w:t xml:space="preserve"> February 2020). </w:t>
      </w:r>
    </w:p>
    <w:p w14:paraId="21434C97" w14:textId="77777777" w:rsidR="00674A33" w:rsidRPr="00A67007" w:rsidRDefault="00674A33" w:rsidP="00674A33">
      <w:pPr>
        <w:pStyle w:val="NormalWeb"/>
        <w:shd w:val="clear" w:color="auto" w:fill="FFFFFF"/>
        <w:spacing w:line="360" w:lineRule="auto"/>
        <w:rPr>
          <w:rFonts w:asciiTheme="minorHAnsi" w:hAnsiTheme="minorHAnsi" w:cstheme="minorHAnsi"/>
          <w:color w:val="000000" w:themeColor="text1"/>
        </w:rPr>
      </w:pPr>
      <w:r w:rsidRPr="00A67007">
        <w:rPr>
          <w:rFonts w:asciiTheme="minorHAnsi" w:hAnsiTheme="minorHAnsi" w:cstheme="minorHAnsi"/>
          <w:color w:val="000000" w:themeColor="text1"/>
        </w:rPr>
        <w:t xml:space="preserve">McDonough, J., and McDonough, S. (1997) </w:t>
      </w:r>
      <w:r w:rsidRPr="00A67007">
        <w:rPr>
          <w:rFonts w:asciiTheme="minorHAnsi" w:hAnsiTheme="minorHAnsi" w:cstheme="minorHAnsi"/>
          <w:i/>
          <w:iCs/>
          <w:color w:val="000000" w:themeColor="text1"/>
        </w:rPr>
        <w:t xml:space="preserve">Research Methods for English Language Teachers. </w:t>
      </w:r>
      <w:r w:rsidRPr="00A67007">
        <w:rPr>
          <w:rFonts w:asciiTheme="minorHAnsi" w:hAnsiTheme="minorHAnsi" w:cstheme="minorHAnsi"/>
          <w:color w:val="000000" w:themeColor="text1"/>
        </w:rPr>
        <w:t xml:space="preserve">London: Edward Arnold. </w:t>
      </w:r>
    </w:p>
    <w:p w14:paraId="2DDDFF3E" w14:textId="77777777" w:rsidR="00674A33" w:rsidRPr="00A67007" w:rsidRDefault="00674A33" w:rsidP="00674A33">
      <w:pPr>
        <w:pStyle w:val="NormalWeb"/>
        <w:shd w:val="clear" w:color="auto" w:fill="FFFFFF"/>
        <w:spacing w:line="360" w:lineRule="auto"/>
        <w:rPr>
          <w:rFonts w:asciiTheme="minorHAnsi" w:hAnsiTheme="minorHAnsi" w:cstheme="minorHAnsi"/>
          <w:color w:val="000000" w:themeColor="text1"/>
        </w:rPr>
      </w:pPr>
      <w:r w:rsidRPr="00A67007">
        <w:rPr>
          <w:rFonts w:asciiTheme="minorHAnsi" w:hAnsiTheme="minorHAnsi" w:cstheme="minorHAnsi"/>
        </w:rPr>
        <w:t xml:space="preserve">Mills, A.J., </w:t>
      </w:r>
      <w:proofErr w:type="spellStart"/>
      <w:r w:rsidRPr="00A67007">
        <w:rPr>
          <w:rFonts w:asciiTheme="minorHAnsi" w:hAnsiTheme="minorHAnsi" w:cstheme="minorHAnsi"/>
        </w:rPr>
        <w:t>Durepos</w:t>
      </w:r>
      <w:proofErr w:type="spellEnd"/>
      <w:r w:rsidRPr="00A67007">
        <w:rPr>
          <w:rFonts w:asciiTheme="minorHAnsi" w:hAnsiTheme="minorHAnsi" w:cstheme="minorHAnsi"/>
        </w:rPr>
        <w:t xml:space="preserve">, G., and Wiebe, E. (eds) (2010) </w:t>
      </w:r>
      <w:proofErr w:type="spellStart"/>
      <w:r w:rsidRPr="00A67007">
        <w:rPr>
          <w:rFonts w:asciiTheme="minorHAnsi" w:hAnsiTheme="minorHAnsi" w:cstheme="minorHAnsi"/>
          <w:i/>
          <w:iCs/>
        </w:rPr>
        <w:t>Encyclopedia</w:t>
      </w:r>
      <w:proofErr w:type="spellEnd"/>
      <w:r w:rsidRPr="00A67007">
        <w:rPr>
          <w:rFonts w:asciiTheme="minorHAnsi" w:hAnsiTheme="minorHAnsi" w:cstheme="minorHAnsi"/>
          <w:i/>
          <w:iCs/>
        </w:rPr>
        <w:t xml:space="preserve"> of Case Study Research. </w:t>
      </w:r>
      <w:r w:rsidRPr="00A67007">
        <w:rPr>
          <w:rFonts w:asciiTheme="minorHAnsi" w:hAnsiTheme="minorHAnsi" w:cstheme="minorHAnsi"/>
        </w:rPr>
        <w:t xml:space="preserve">United States of America: SAGE. </w:t>
      </w:r>
    </w:p>
    <w:p w14:paraId="3895C4D1" w14:textId="77777777" w:rsidR="00674A33" w:rsidRDefault="00674A33" w:rsidP="00674A33">
      <w:pPr>
        <w:spacing w:line="360" w:lineRule="auto"/>
        <w:rPr>
          <w:rFonts w:cstheme="minorHAnsi"/>
        </w:rPr>
      </w:pPr>
      <w:r w:rsidRPr="00A67007">
        <w:rPr>
          <w:rFonts w:cstheme="minorHAnsi"/>
        </w:rPr>
        <w:t xml:space="preserve">Murata, A., and Takahashi, A. (2002) ’Vehicle to connect theory, research, and practice: how teacher thinking changes in district-level lesson study in Japan’, </w:t>
      </w:r>
      <w:r w:rsidRPr="00A67007">
        <w:rPr>
          <w:rFonts w:cstheme="minorHAnsi"/>
          <w:i/>
          <w:iCs/>
        </w:rPr>
        <w:t>Proceedings of the 24</w:t>
      </w:r>
      <w:r w:rsidRPr="00A67007">
        <w:rPr>
          <w:rFonts w:cstheme="minorHAnsi"/>
          <w:i/>
          <w:iCs/>
          <w:vertAlign w:val="superscript"/>
        </w:rPr>
        <w:t>th</w:t>
      </w:r>
      <w:r w:rsidRPr="00A67007">
        <w:rPr>
          <w:rFonts w:cstheme="minorHAnsi"/>
          <w:i/>
          <w:iCs/>
        </w:rPr>
        <w:t xml:space="preserve"> Annual Meeting [of the] North American Chapter of the International Group for the Psychology of Mathematics Education, </w:t>
      </w:r>
      <w:r w:rsidRPr="00A67007">
        <w:rPr>
          <w:rFonts w:cstheme="minorHAnsi"/>
        </w:rPr>
        <w:t xml:space="preserve">1 (4), pp.1-11. </w:t>
      </w:r>
    </w:p>
    <w:p w14:paraId="64AC50DA" w14:textId="77777777" w:rsidR="00674A33" w:rsidRDefault="00674A33" w:rsidP="00674A33">
      <w:pPr>
        <w:spacing w:line="360" w:lineRule="auto"/>
        <w:rPr>
          <w:rFonts w:cstheme="minorHAnsi"/>
        </w:rPr>
      </w:pPr>
    </w:p>
    <w:p w14:paraId="41A6AD9C" w14:textId="77777777" w:rsidR="00674A33" w:rsidRPr="009A52D4" w:rsidRDefault="00674A33" w:rsidP="00674A33">
      <w:pPr>
        <w:spacing w:line="360" w:lineRule="auto"/>
        <w:rPr>
          <w:rFonts w:cstheme="minorHAnsi"/>
        </w:rPr>
      </w:pPr>
      <w:r>
        <w:rPr>
          <w:rFonts w:cstheme="minorHAnsi"/>
        </w:rPr>
        <w:t xml:space="preserve">Norwich, B., and Jones, J. (eds.) (2014) </w:t>
      </w:r>
      <w:r>
        <w:rPr>
          <w:rFonts w:cstheme="minorHAnsi"/>
          <w:i/>
          <w:iCs/>
        </w:rPr>
        <w:t>Lesson Study: Making a Difference to Teaching Pupils with Learning Difficulties.</w:t>
      </w:r>
      <w:r>
        <w:rPr>
          <w:rFonts w:cstheme="minorHAnsi"/>
        </w:rPr>
        <w:t xml:space="preserve"> London: Bloomsbury.</w:t>
      </w:r>
    </w:p>
    <w:p w14:paraId="325F2186" w14:textId="77777777" w:rsidR="00674A33" w:rsidRPr="00A67007" w:rsidRDefault="00674A33" w:rsidP="00674A33">
      <w:pPr>
        <w:spacing w:line="360" w:lineRule="auto"/>
        <w:rPr>
          <w:rFonts w:cstheme="minorHAnsi"/>
        </w:rPr>
      </w:pPr>
    </w:p>
    <w:p w14:paraId="0695E215" w14:textId="77777777" w:rsidR="00674A33" w:rsidRDefault="00674A33" w:rsidP="00674A33">
      <w:pPr>
        <w:spacing w:line="360" w:lineRule="auto"/>
        <w:rPr>
          <w:rFonts w:cstheme="minorHAnsi"/>
        </w:rPr>
      </w:pPr>
      <w:r w:rsidRPr="00A67007">
        <w:rPr>
          <w:rFonts w:cstheme="minorHAnsi"/>
        </w:rPr>
        <w:t xml:space="preserve">Peters, K., and Halcomb, E. (2015) ‘Interviews in Qualitative Research’, </w:t>
      </w:r>
      <w:r w:rsidRPr="00A67007">
        <w:rPr>
          <w:rFonts w:cstheme="minorHAnsi"/>
          <w:i/>
          <w:iCs/>
        </w:rPr>
        <w:t xml:space="preserve">Nurse Researcher, </w:t>
      </w:r>
      <w:r w:rsidRPr="00A67007">
        <w:rPr>
          <w:rFonts w:cstheme="minorHAnsi"/>
        </w:rPr>
        <w:t>22 (4), pp. 4-45. DOI: 10.7748/nr.22.4.6.s2. (Accessed: 12</w:t>
      </w:r>
      <w:r w:rsidRPr="00A67007">
        <w:rPr>
          <w:rFonts w:cstheme="minorHAnsi"/>
          <w:vertAlign w:val="superscript"/>
        </w:rPr>
        <w:t>th</w:t>
      </w:r>
      <w:r w:rsidRPr="00A67007">
        <w:rPr>
          <w:rFonts w:cstheme="minorHAnsi"/>
        </w:rPr>
        <w:t xml:space="preserve"> December 2019).</w:t>
      </w:r>
    </w:p>
    <w:p w14:paraId="3F0EEF49" w14:textId="77777777" w:rsidR="00674A33" w:rsidRDefault="00674A33" w:rsidP="00674A33">
      <w:pPr>
        <w:spacing w:line="360" w:lineRule="auto"/>
        <w:rPr>
          <w:rFonts w:cstheme="minorHAnsi"/>
        </w:rPr>
      </w:pPr>
    </w:p>
    <w:p w14:paraId="3AFE8B14" w14:textId="77777777" w:rsidR="00674A33" w:rsidRPr="00A74AB6" w:rsidRDefault="00674A33" w:rsidP="00674A33">
      <w:pPr>
        <w:spacing w:line="360" w:lineRule="auto"/>
      </w:pPr>
      <w:r w:rsidRPr="00A74AB6">
        <w:t xml:space="preserve">Pound, L. (2009) </w:t>
      </w:r>
      <w:r w:rsidRPr="00A74AB6">
        <w:rPr>
          <w:i/>
        </w:rPr>
        <w:t xml:space="preserve">How Children Learn from Montessori to Vygotsky- Educational Theories and Approaches Made Easy. </w:t>
      </w:r>
      <w:r w:rsidRPr="00A74AB6">
        <w:t xml:space="preserve">London: Practical Pre-School Books. </w:t>
      </w:r>
    </w:p>
    <w:p w14:paraId="522A43A6" w14:textId="77777777" w:rsidR="00674A33" w:rsidRPr="00A67007" w:rsidRDefault="00674A33" w:rsidP="00674A33">
      <w:pPr>
        <w:spacing w:line="360" w:lineRule="auto"/>
        <w:rPr>
          <w:rFonts w:cstheme="minorHAnsi"/>
        </w:rPr>
      </w:pPr>
      <w:r w:rsidRPr="00A67007">
        <w:rPr>
          <w:rFonts w:cstheme="minorHAnsi"/>
        </w:rPr>
        <w:t xml:space="preserve"> </w:t>
      </w:r>
    </w:p>
    <w:p w14:paraId="3A7218C9" w14:textId="77777777" w:rsidR="00674A33" w:rsidRPr="00A67007" w:rsidRDefault="00674A33" w:rsidP="00674A33">
      <w:pPr>
        <w:spacing w:line="360" w:lineRule="auto"/>
        <w:rPr>
          <w:rFonts w:eastAsia="Times New Roman" w:cstheme="minorHAnsi"/>
          <w:lang w:eastAsia="en-GB"/>
        </w:rPr>
      </w:pPr>
      <w:r w:rsidRPr="00A67007">
        <w:rPr>
          <w:rFonts w:eastAsia="Times New Roman" w:cstheme="minorHAnsi"/>
          <w:lang w:eastAsia="en-GB"/>
        </w:rPr>
        <w:t xml:space="preserve">Robertson, K. (2006) </w:t>
      </w:r>
      <w:r w:rsidRPr="00A67007">
        <w:rPr>
          <w:rFonts w:eastAsia="Times New Roman" w:cstheme="minorHAnsi"/>
          <w:i/>
          <w:iCs/>
          <w:lang w:eastAsia="en-GB"/>
        </w:rPr>
        <w:t>Increase Students Interaction by Think Pair Share Technique.</w:t>
      </w:r>
      <w:r w:rsidRPr="00A67007">
        <w:rPr>
          <w:rFonts w:eastAsia="Times New Roman" w:cstheme="minorHAnsi"/>
          <w:lang w:eastAsia="en-GB"/>
        </w:rPr>
        <w:t xml:space="preserve"> Mexico City: </w:t>
      </w:r>
      <w:proofErr w:type="spellStart"/>
      <w:r w:rsidRPr="00A67007">
        <w:rPr>
          <w:rFonts w:eastAsia="Times New Roman" w:cstheme="minorHAnsi"/>
          <w:lang w:eastAsia="en-GB"/>
        </w:rPr>
        <w:t>Colorin</w:t>
      </w:r>
      <w:proofErr w:type="spellEnd"/>
      <w:r w:rsidRPr="00A67007">
        <w:rPr>
          <w:rFonts w:eastAsia="Times New Roman" w:cstheme="minorHAnsi"/>
          <w:lang w:eastAsia="en-GB"/>
        </w:rPr>
        <w:t xml:space="preserve"> Colorado. </w:t>
      </w:r>
    </w:p>
    <w:p w14:paraId="462DBCEC" w14:textId="77777777" w:rsidR="00674A33" w:rsidRPr="00A67007" w:rsidRDefault="00674A33" w:rsidP="00674A33">
      <w:pPr>
        <w:spacing w:line="360" w:lineRule="auto"/>
        <w:rPr>
          <w:rFonts w:eastAsia="Times New Roman" w:cstheme="minorHAnsi"/>
          <w:lang w:eastAsia="en-GB"/>
        </w:rPr>
      </w:pPr>
    </w:p>
    <w:p w14:paraId="63B584C5" w14:textId="77777777" w:rsidR="00674A33" w:rsidRPr="00A67007" w:rsidRDefault="00674A33" w:rsidP="00674A33">
      <w:pPr>
        <w:spacing w:line="360" w:lineRule="auto"/>
        <w:rPr>
          <w:rFonts w:cstheme="minorHAnsi"/>
        </w:rPr>
      </w:pPr>
      <w:r w:rsidRPr="00A67007">
        <w:rPr>
          <w:rFonts w:cstheme="minorHAnsi"/>
        </w:rPr>
        <w:t xml:space="preserve">SCILT, 2019. </w:t>
      </w:r>
      <w:r w:rsidRPr="00A67007">
        <w:rPr>
          <w:rFonts w:cstheme="minorHAnsi"/>
          <w:i/>
          <w:iCs/>
        </w:rPr>
        <w:t xml:space="preserve">The Leuven Scale of Active Engagement in Learning. </w:t>
      </w:r>
      <w:r w:rsidRPr="00A67007">
        <w:rPr>
          <w:rFonts w:cstheme="minorHAnsi"/>
        </w:rPr>
        <w:t xml:space="preserve">Available at: </w:t>
      </w:r>
      <w:hyperlink r:id="rId25" w:history="1">
        <w:r w:rsidRPr="00A67007">
          <w:rPr>
            <w:rStyle w:val="Hyperlink"/>
            <w:rFonts w:cstheme="minorHAnsi"/>
          </w:rPr>
          <w:t>https://www.scilt.org.uk/Portals/24/Library/resources/hmi/Leuven_Scale.pdf</w:t>
        </w:r>
      </w:hyperlink>
      <w:r w:rsidRPr="00A67007">
        <w:rPr>
          <w:rFonts w:cstheme="minorHAnsi"/>
        </w:rPr>
        <w:t xml:space="preserve"> (Accessed: 11</w:t>
      </w:r>
      <w:r w:rsidRPr="00A67007">
        <w:rPr>
          <w:rFonts w:cstheme="minorHAnsi"/>
          <w:vertAlign w:val="superscript"/>
        </w:rPr>
        <w:t>th</w:t>
      </w:r>
      <w:r w:rsidRPr="00A67007">
        <w:rPr>
          <w:rFonts w:cstheme="minorHAnsi"/>
        </w:rPr>
        <w:t xml:space="preserve"> February 2020). </w:t>
      </w:r>
    </w:p>
    <w:p w14:paraId="45B36E01" w14:textId="77777777" w:rsidR="00674A33" w:rsidRPr="00A67007" w:rsidRDefault="00674A33" w:rsidP="00674A33">
      <w:pPr>
        <w:spacing w:line="360" w:lineRule="auto"/>
        <w:rPr>
          <w:rFonts w:cstheme="minorHAnsi"/>
        </w:rPr>
      </w:pPr>
    </w:p>
    <w:p w14:paraId="0F90008C" w14:textId="77777777" w:rsidR="00674A33" w:rsidRPr="00A67007" w:rsidRDefault="00674A33" w:rsidP="00674A33">
      <w:pPr>
        <w:spacing w:line="360" w:lineRule="auto"/>
        <w:rPr>
          <w:rFonts w:cstheme="minorHAnsi"/>
        </w:rPr>
      </w:pPr>
      <w:proofErr w:type="spellStart"/>
      <w:r w:rsidRPr="00A67007">
        <w:rPr>
          <w:rFonts w:cstheme="minorHAnsi"/>
        </w:rPr>
        <w:t>Sibbald</w:t>
      </w:r>
      <w:proofErr w:type="spellEnd"/>
      <w:r w:rsidRPr="00A67007">
        <w:rPr>
          <w:rFonts w:cstheme="minorHAnsi"/>
        </w:rPr>
        <w:t xml:space="preserve">, T. (2009) ‘The Relationship between Lesson Study and Self-efficacy’, </w:t>
      </w:r>
      <w:r w:rsidRPr="00A67007">
        <w:rPr>
          <w:rFonts w:cstheme="minorHAnsi"/>
          <w:i/>
          <w:iCs/>
        </w:rPr>
        <w:t>School Science and Mathematics</w:t>
      </w:r>
      <w:r w:rsidRPr="00A67007">
        <w:rPr>
          <w:rFonts w:cstheme="minorHAnsi"/>
        </w:rPr>
        <w:t>, 109(8), pp.450-460. (Accessed: 9</w:t>
      </w:r>
      <w:r w:rsidRPr="00A67007">
        <w:rPr>
          <w:rFonts w:cstheme="minorHAnsi"/>
          <w:vertAlign w:val="superscript"/>
        </w:rPr>
        <w:t>th</w:t>
      </w:r>
      <w:r w:rsidRPr="00A67007">
        <w:rPr>
          <w:rFonts w:cstheme="minorHAnsi"/>
        </w:rPr>
        <w:t xml:space="preserve"> December 2019). </w:t>
      </w:r>
    </w:p>
    <w:p w14:paraId="2271A8B8" w14:textId="77777777" w:rsidR="00674A33" w:rsidRPr="00A67007" w:rsidRDefault="00674A33" w:rsidP="00674A33">
      <w:pPr>
        <w:spacing w:line="360" w:lineRule="auto"/>
        <w:rPr>
          <w:rFonts w:cstheme="minorHAnsi"/>
        </w:rPr>
      </w:pPr>
    </w:p>
    <w:p w14:paraId="7D62549C" w14:textId="77777777" w:rsidR="00674A33" w:rsidRPr="00A67007" w:rsidRDefault="00674A33" w:rsidP="00674A33">
      <w:pPr>
        <w:spacing w:line="360" w:lineRule="auto"/>
        <w:rPr>
          <w:rFonts w:cstheme="minorHAnsi"/>
        </w:rPr>
      </w:pPr>
      <w:r w:rsidRPr="00A67007">
        <w:rPr>
          <w:rFonts w:cstheme="minorHAnsi"/>
        </w:rPr>
        <w:t xml:space="preserve">Stepanek, J., Appel, G., Leong, M., Mangan, M.T., and Mitchell, M. (2007) </w:t>
      </w:r>
      <w:r w:rsidRPr="00A67007">
        <w:rPr>
          <w:rFonts w:cstheme="minorHAnsi"/>
          <w:i/>
          <w:iCs/>
        </w:rPr>
        <w:t>Leading Lesson Study: A Practical Guide for Teachers and Facilitators</w:t>
      </w:r>
      <w:r w:rsidRPr="00A67007">
        <w:rPr>
          <w:rFonts w:cstheme="minorHAnsi"/>
        </w:rPr>
        <w:t xml:space="preserve">. United States of America: Corwin Press. </w:t>
      </w:r>
    </w:p>
    <w:p w14:paraId="4054E699" w14:textId="77777777" w:rsidR="00674A33" w:rsidRPr="00A67007" w:rsidRDefault="00674A33" w:rsidP="00674A33">
      <w:pPr>
        <w:spacing w:line="360" w:lineRule="auto"/>
        <w:rPr>
          <w:rFonts w:cstheme="minorHAnsi"/>
        </w:rPr>
      </w:pPr>
    </w:p>
    <w:p w14:paraId="141F543A" w14:textId="77777777" w:rsidR="00674A33" w:rsidRDefault="00674A33" w:rsidP="00674A33">
      <w:pPr>
        <w:spacing w:line="360" w:lineRule="auto"/>
        <w:rPr>
          <w:rFonts w:eastAsia="Arial" w:cstheme="minorHAnsi"/>
          <w:iCs/>
        </w:rPr>
      </w:pPr>
      <w:proofErr w:type="spellStart"/>
      <w:r w:rsidRPr="00A67007">
        <w:rPr>
          <w:rFonts w:eastAsia="Arial" w:cstheme="minorHAnsi"/>
          <w:iCs/>
        </w:rPr>
        <w:t>Thelwall</w:t>
      </w:r>
      <w:proofErr w:type="spellEnd"/>
      <w:r w:rsidRPr="00A67007">
        <w:rPr>
          <w:rFonts w:eastAsia="Arial" w:cstheme="minorHAnsi"/>
          <w:iCs/>
        </w:rPr>
        <w:t xml:space="preserve">, M. (2017) ‘Avoiding Obscure Topics and Generalising Findings Produces Higher Impact Research’, </w:t>
      </w:r>
      <w:proofErr w:type="spellStart"/>
      <w:r w:rsidRPr="00A67007">
        <w:rPr>
          <w:rFonts w:eastAsia="Arial" w:cstheme="minorHAnsi"/>
          <w:i/>
        </w:rPr>
        <w:t>Scientometrics</w:t>
      </w:r>
      <w:proofErr w:type="spellEnd"/>
      <w:r w:rsidRPr="00A67007">
        <w:rPr>
          <w:rFonts w:eastAsia="Arial" w:cstheme="minorHAnsi"/>
          <w:i/>
        </w:rPr>
        <w:t>.</w:t>
      </w:r>
      <w:r w:rsidRPr="00A67007">
        <w:rPr>
          <w:rFonts w:eastAsia="Arial" w:cstheme="minorHAnsi"/>
          <w:iCs/>
        </w:rPr>
        <w:t xml:space="preserve"> 110 (1), pp.307-320. Available at: </w:t>
      </w:r>
      <w:hyperlink r:id="rId26" w:anchor="citeas" w:history="1">
        <w:r w:rsidRPr="00A67007">
          <w:rPr>
            <w:rStyle w:val="Hyperlink"/>
            <w:rFonts w:eastAsia="Arial" w:cstheme="minorHAnsi"/>
            <w:iCs/>
          </w:rPr>
          <w:t>https://link-springer-com.ezproxy.uwtsd.ac.uk/article/10.1007/s11192-016-2159-z#citeas</w:t>
        </w:r>
      </w:hyperlink>
      <w:r w:rsidRPr="00A67007">
        <w:rPr>
          <w:rFonts w:eastAsia="Arial" w:cstheme="minorHAnsi"/>
          <w:iCs/>
        </w:rPr>
        <w:t xml:space="preserve"> (Accessed: 13</w:t>
      </w:r>
      <w:r w:rsidRPr="00A67007">
        <w:rPr>
          <w:rFonts w:eastAsia="Arial" w:cstheme="minorHAnsi"/>
          <w:iCs/>
          <w:vertAlign w:val="superscript"/>
        </w:rPr>
        <w:t>th</w:t>
      </w:r>
      <w:r w:rsidRPr="00A67007">
        <w:rPr>
          <w:rFonts w:eastAsia="Arial" w:cstheme="minorHAnsi"/>
          <w:iCs/>
        </w:rPr>
        <w:t xml:space="preserve"> February 2020). </w:t>
      </w:r>
    </w:p>
    <w:p w14:paraId="10EEE3FB" w14:textId="77777777" w:rsidR="00674A33" w:rsidRDefault="00674A33" w:rsidP="00674A33">
      <w:pPr>
        <w:spacing w:line="360" w:lineRule="auto"/>
        <w:rPr>
          <w:rFonts w:eastAsia="Arial" w:cstheme="minorHAnsi"/>
          <w:iCs/>
        </w:rPr>
      </w:pPr>
    </w:p>
    <w:p w14:paraId="37ACBC6C" w14:textId="77777777" w:rsidR="00674A33" w:rsidRPr="00A74AB6" w:rsidRDefault="00674A33" w:rsidP="00674A33">
      <w:pPr>
        <w:spacing w:line="360" w:lineRule="auto"/>
        <w:rPr>
          <w:rFonts w:cs="Arial"/>
        </w:rPr>
      </w:pPr>
      <w:r w:rsidRPr="00A74AB6">
        <w:rPr>
          <w:rFonts w:cs="Arial"/>
        </w:rPr>
        <w:t xml:space="preserve">Vygotsky, L. (1978) </w:t>
      </w:r>
      <w:r w:rsidRPr="00A74AB6">
        <w:rPr>
          <w:rFonts w:cs="Arial"/>
          <w:i/>
        </w:rPr>
        <w:t xml:space="preserve">Mind in Society. </w:t>
      </w:r>
      <w:r w:rsidRPr="00A74AB6">
        <w:rPr>
          <w:rFonts w:cs="Arial"/>
        </w:rPr>
        <w:t xml:space="preserve">Cambridge, MA: Harvard University Press. </w:t>
      </w:r>
    </w:p>
    <w:p w14:paraId="78C54376" w14:textId="77777777" w:rsidR="00674A33" w:rsidRPr="00A67007" w:rsidRDefault="00674A33" w:rsidP="00674A33">
      <w:pPr>
        <w:spacing w:line="360" w:lineRule="auto"/>
        <w:rPr>
          <w:rFonts w:eastAsia="Arial" w:cstheme="minorHAnsi"/>
          <w:iCs/>
        </w:rPr>
      </w:pPr>
    </w:p>
    <w:p w14:paraId="42BA09F7" w14:textId="77777777" w:rsidR="00674A33" w:rsidRPr="00A67007" w:rsidRDefault="00674A33" w:rsidP="00674A33">
      <w:pPr>
        <w:spacing w:line="360" w:lineRule="auto"/>
        <w:rPr>
          <w:rFonts w:eastAsia="Times New Roman" w:cstheme="minorHAnsi"/>
          <w:lang w:eastAsia="en-GB"/>
        </w:rPr>
      </w:pPr>
      <w:proofErr w:type="spellStart"/>
      <w:r w:rsidRPr="00A67007">
        <w:rPr>
          <w:rFonts w:eastAsia="Times New Roman" w:cstheme="minorHAnsi"/>
          <w:lang w:eastAsia="en-GB"/>
        </w:rPr>
        <w:lastRenderedPageBreak/>
        <w:t>Wasowski</w:t>
      </w:r>
      <w:proofErr w:type="spellEnd"/>
      <w:r w:rsidRPr="00A67007">
        <w:rPr>
          <w:rFonts w:eastAsia="Times New Roman" w:cstheme="minorHAnsi"/>
          <w:lang w:eastAsia="en-GB"/>
        </w:rPr>
        <w:t xml:space="preserve">, R. (2009) </w:t>
      </w:r>
      <w:r w:rsidRPr="00A67007">
        <w:rPr>
          <w:rFonts w:eastAsia="Times New Roman" w:cstheme="minorHAnsi"/>
          <w:i/>
          <w:iCs/>
          <w:lang w:eastAsia="en-GB"/>
        </w:rPr>
        <w:t xml:space="preserve">On Nicholas Sparks’ The Notebook: Teachers Guide. </w:t>
      </w:r>
      <w:r w:rsidRPr="00A67007">
        <w:rPr>
          <w:rFonts w:eastAsia="Times New Roman" w:cstheme="minorHAnsi"/>
          <w:lang w:eastAsia="en-GB"/>
        </w:rPr>
        <w:t xml:space="preserve"> United states of America: Wiley Publishing, Inc. </w:t>
      </w:r>
    </w:p>
    <w:p w14:paraId="761D2B8F" w14:textId="77777777" w:rsidR="00674A33" w:rsidRPr="00A67007" w:rsidRDefault="00674A33" w:rsidP="00674A33">
      <w:pPr>
        <w:spacing w:line="360" w:lineRule="auto"/>
        <w:rPr>
          <w:rFonts w:eastAsia="Times New Roman" w:cstheme="minorHAnsi"/>
          <w:lang w:eastAsia="en-GB"/>
        </w:rPr>
      </w:pPr>
    </w:p>
    <w:p w14:paraId="581CFD31" w14:textId="77777777" w:rsidR="00674A33" w:rsidRPr="00A67007" w:rsidRDefault="00674A33" w:rsidP="00674A33">
      <w:pPr>
        <w:spacing w:line="360" w:lineRule="auto"/>
        <w:rPr>
          <w:rFonts w:eastAsia="Times New Roman" w:cstheme="minorHAnsi"/>
          <w:lang w:eastAsia="en-GB"/>
        </w:rPr>
      </w:pPr>
      <w:r w:rsidRPr="00A67007">
        <w:rPr>
          <w:rFonts w:eastAsia="Times New Roman" w:cstheme="minorHAnsi"/>
          <w:lang w:eastAsia="en-GB"/>
        </w:rPr>
        <w:t xml:space="preserve">Welsh Assembly Government (WAG) (2010) </w:t>
      </w:r>
      <w:r w:rsidRPr="00A67007">
        <w:rPr>
          <w:rFonts w:eastAsia="Times New Roman" w:cstheme="minorHAnsi"/>
          <w:i/>
          <w:iCs/>
          <w:lang w:eastAsia="en-GB"/>
        </w:rPr>
        <w:t xml:space="preserve">How to develop thinking and Assessment for Learning in the classroom. </w:t>
      </w:r>
      <w:r w:rsidRPr="00A67007">
        <w:rPr>
          <w:rFonts w:eastAsia="Times New Roman" w:cstheme="minorHAnsi"/>
          <w:lang w:eastAsia="en-GB"/>
        </w:rPr>
        <w:t xml:space="preserve">Available at: </w:t>
      </w:r>
      <w:hyperlink r:id="rId27" w:history="1">
        <w:r w:rsidRPr="00A67007">
          <w:rPr>
            <w:rFonts w:eastAsia="Times New Roman" w:cstheme="minorHAnsi"/>
            <w:color w:val="0000FF"/>
            <w:u w:val="single"/>
            <w:lang w:eastAsia="en-GB"/>
          </w:rPr>
          <w:t>https://hwb.gov.wales/storage/663d00fd-9c3b-4003-9a1f-0012bad39fad/how-to-develop-thinking-and-assessment-for-learning-in-the-classroom.pdf</w:t>
        </w:r>
      </w:hyperlink>
      <w:r w:rsidRPr="00A67007">
        <w:rPr>
          <w:rFonts w:eastAsia="Times New Roman" w:cstheme="minorHAnsi"/>
          <w:lang w:eastAsia="en-GB"/>
        </w:rPr>
        <w:t xml:space="preserve"> (Accessed: 10</w:t>
      </w:r>
      <w:r w:rsidRPr="00A67007">
        <w:rPr>
          <w:rFonts w:eastAsia="Times New Roman" w:cstheme="minorHAnsi"/>
          <w:vertAlign w:val="superscript"/>
          <w:lang w:eastAsia="en-GB"/>
        </w:rPr>
        <w:t>th</w:t>
      </w:r>
      <w:r w:rsidRPr="00A67007">
        <w:rPr>
          <w:rFonts w:eastAsia="Times New Roman" w:cstheme="minorHAnsi"/>
          <w:lang w:eastAsia="en-GB"/>
        </w:rPr>
        <w:t xml:space="preserve"> February 2020). </w:t>
      </w:r>
    </w:p>
    <w:p w14:paraId="6B2A1E89" w14:textId="77777777" w:rsidR="00674A33" w:rsidRPr="00A67007" w:rsidRDefault="00674A33" w:rsidP="00674A33">
      <w:pPr>
        <w:spacing w:line="360" w:lineRule="auto"/>
        <w:rPr>
          <w:rFonts w:eastAsia="Times New Roman" w:cstheme="minorHAnsi"/>
          <w:lang w:eastAsia="en-GB"/>
        </w:rPr>
      </w:pPr>
    </w:p>
    <w:p w14:paraId="49E25086" w14:textId="77777777" w:rsidR="00674A33" w:rsidRPr="00A67007" w:rsidRDefault="00674A33" w:rsidP="00674A33">
      <w:pPr>
        <w:spacing w:line="360" w:lineRule="auto"/>
        <w:rPr>
          <w:rFonts w:cstheme="minorHAnsi"/>
        </w:rPr>
      </w:pPr>
      <w:r w:rsidRPr="00A67007">
        <w:rPr>
          <w:rFonts w:cstheme="minorHAnsi"/>
        </w:rPr>
        <w:t xml:space="preserve">Wilson, V. (2016) ‘Research Methods: Interviews’, </w:t>
      </w:r>
      <w:r w:rsidRPr="00A67007">
        <w:rPr>
          <w:rFonts w:cstheme="minorHAnsi"/>
          <w:i/>
          <w:iCs/>
        </w:rPr>
        <w:t>Evidence Based Library and Information Practice’</w:t>
      </w:r>
      <w:r w:rsidRPr="00A67007">
        <w:rPr>
          <w:rFonts w:cstheme="minorHAnsi"/>
        </w:rPr>
        <w:t xml:space="preserve"> 11 (1), pp. 47-49. DOI: 10.18438/B8404H. (Accessed: 12</w:t>
      </w:r>
      <w:r w:rsidRPr="00A67007">
        <w:rPr>
          <w:rFonts w:cstheme="minorHAnsi"/>
          <w:vertAlign w:val="superscript"/>
        </w:rPr>
        <w:t>th</w:t>
      </w:r>
      <w:r w:rsidRPr="00A67007">
        <w:rPr>
          <w:rFonts w:cstheme="minorHAnsi"/>
        </w:rPr>
        <w:t xml:space="preserve"> December 2019).</w:t>
      </w:r>
    </w:p>
    <w:p w14:paraId="0A380E1B" w14:textId="77777777" w:rsidR="00674A33" w:rsidRPr="00A67007" w:rsidRDefault="00674A33" w:rsidP="00674A33">
      <w:pPr>
        <w:spacing w:line="360" w:lineRule="auto"/>
        <w:rPr>
          <w:rFonts w:cstheme="minorHAnsi"/>
        </w:rPr>
      </w:pPr>
    </w:p>
    <w:p w14:paraId="2381EB17" w14:textId="77777777" w:rsidR="00674A33" w:rsidRDefault="00674A33" w:rsidP="00674A33">
      <w:pPr>
        <w:spacing w:line="360" w:lineRule="auto"/>
        <w:rPr>
          <w:rFonts w:cstheme="minorHAnsi"/>
        </w:rPr>
      </w:pPr>
      <w:r w:rsidRPr="00A67007">
        <w:rPr>
          <w:rFonts w:cstheme="minorHAnsi"/>
        </w:rPr>
        <w:t xml:space="preserve">Zhang, Y. (2011) ‘How does Learning Study Enhance School-based Curriculum Development?’, </w:t>
      </w:r>
      <w:r w:rsidRPr="00A67007">
        <w:rPr>
          <w:rFonts w:cstheme="minorHAnsi"/>
          <w:i/>
          <w:iCs/>
        </w:rPr>
        <w:t>Curriculum Perspectives.</w:t>
      </w:r>
      <w:r w:rsidRPr="00A67007">
        <w:rPr>
          <w:rFonts w:cstheme="minorHAnsi"/>
        </w:rPr>
        <w:t xml:space="preserve"> 34 (1), pp.1-10.</w:t>
      </w:r>
    </w:p>
    <w:p w14:paraId="4A249D8F" w14:textId="77777777" w:rsidR="00674A33" w:rsidRDefault="00674A33" w:rsidP="00674A33">
      <w:pPr>
        <w:spacing w:line="360" w:lineRule="auto"/>
        <w:rPr>
          <w:rFonts w:cstheme="minorHAnsi"/>
        </w:rPr>
      </w:pPr>
    </w:p>
    <w:p w14:paraId="79BD465F" w14:textId="77777777" w:rsidR="00674A33" w:rsidRDefault="00674A33" w:rsidP="00674A33">
      <w:pPr>
        <w:spacing w:line="360" w:lineRule="auto"/>
        <w:rPr>
          <w:rFonts w:cstheme="minorHAnsi"/>
          <w:color w:val="000000" w:themeColor="text1"/>
          <w:shd w:val="clear" w:color="auto" w:fill="FFFFFF"/>
        </w:rPr>
      </w:pPr>
      <w:r w:rsidRPr="00A67007">
        <w:rPr>
          <w:rFonts w:cstheme="minorHAnsi"/>
          <w:color w:val="000000" w:themeColor="text1"/>
          <w:shd w:val="clear" w:color="auto" w:fill="FFFFFF"/>
        </w:rPr>
        <w:t xml:space="preserve">Zimmerman, B. J. (2002) ‘Becoming a Self-regulated Learner. An Overview’, </w:t>
      </w:r>
      <w:r w:rsidRPr="00A67007">
        <w:rPr>
          <w:rFonts w:cstheme="minorHAnsi"/>
          <w:i/>
          <w:iCs/>
          <w:color w:val="000000" w:themeColor="text1"/>
          <w:shd w:val="clear" w:color="auto" w:fill="FFFFFF"/>
        </w:rPr>
        <w:t xml:space="preserve">Theory into Practice, </w:t>
      </w:r>
      <w:r w:rsidRPr="00A67007">
        <w:rPr>
          <w:rFonts w:cstheme="minorHAnsi"/>
          <w:color w:val="000000" w:themeColor="text1"/>
          <w:shd w:val="clear" w:color="auto" w:fill="FFFFFF"/>
        </w:rPr>
        <w:t xml:space="preserve">41 (2), pp. 64-70. </w:t>
      </w:r>
    </w:p>
    <w:p w14:paraId="6D419907" w14:textId="77777777" w:rsidR="005B21E8" w:rsidRDefault="005B21E8"/>
    <w:sectPr w:rsidR="005B21E8" w:rsidSect="00AA2DB1">
      <w:headerReference w:type="default" r:id="rId2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D9F660" w14:textId="77777777" w:rsidR="008403C6" w:rsidRDefault="008403C6" w:rsidP="008403C6">
      <w:r>
        <w:separator/>
      </w:r>
    </w:p>
  </w:endnote>
  <w:endnote w:type="continuationSeparator" w:id="0">
    <w:p w14:paraId="01543046" w14:textId="77777777" w:rsidR="008403C6" w:rsidRDefault="008403C6" w:rsidP="008403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64AA59" w14:textId="77777777" w:rsidR="008403C6" w:rsidRDefault="008403C6" w:rsidP="008403C6">
      <w:r>
        <w:separator/>
      </w:r>
    </w:p>
  </w:footnote>
  <w:footnote w:type="continuationSeparator" w:id="0">
    <w:p w14:paraId="103D003C" w14:textId="77777777" w:rsidR="008403C6" w:rsidRDefault="008403C6" w:rsidP="008403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EA37D6" w14:textId="5AD4AE40" w:rsidR="008403C6" w:rsidRDefault="008403C6">
    <w:pPr>
      <w:pStyle w:val="Header"/>
    </w:pPr>
    <w:r>
      <w:t>Shannon Matthews</w:t>
    </w:r>
    <w:r>
      <w:ptab w:relativeTo="margin" w:alignment="center" w:leader="none"/>
    </w:r>
    <w:r>
      <w:t>1900177</w:t>
    </w:r>
    <w:r>
      <w:ptab w:relativeTo="margin" w:alignment="right" w:leader="none"/>
    </w:r>
    <w:r>
      <w:t>ECADD 7004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4A33"/>
    <w:rsid w:val="005B21E8"/>
    <w:rsid w:val="00674A33"/>
    <w:rsid w:val="008403C6"/>
    <w:rsid w:val="00AA2D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4A8F1AA"/>
  <w15:chartTrackingRefBased/>
  <w15:docId w15:val="{745628D8-7C31-A94E-B527-EB28262AE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4A3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74A33"/>
    <w:rPr>
      <w:color w:val="0563C1" w:themeColor="hyperlink"/>
      <w:u w:val="single"/>
    </w:rPr>
  </w:style>
  <w:style w:type="paragraph" w:styleId="NormalWeb">
    <w:name w:val="Normal (Web)"/>
    <w:basedOn w:val="Normal"/>
    <w:uiPriority w:val="99"/>
    <w:unhideWhenUsed/>
    <w:rsid w:val="00674A33"/>
    <w:pPr>
      <w:spacing w:before="100" w:beforeAutospacing="1" w:after="100" w:afterAutospacing="1"/>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8403C6"/>
    <w:pPr>
      <w:tabs>
        <w:tab w:val="center" w:pos="4513"/>
        <w:tab w:val="right" w:pos="9026"/>
      </w:tabs>
    </w:pPr>
  </w:style>
  <w:style w:type="character" w:customStyle="1" w:styleId="HeaderChar">
    <w:name w:val="Header Char"/>
    <w:basedOn w:val="DefaultParagraphFont"/>
    <w:link w:val="Header"/>
    <w:uiPriority w:val="99"/>
    <w:rsid w:val="008403C6"/>
  </w:style>
  <w:style w:type="paragraph" w:styleId="Footer">
    <w:name w:val="footer"/>
    <w:basedOn w:val="Normal"/>
    <w:link w:val="FooterChar"/>
    <w:uiPriority w:val="99"/>
    <w:unhideWhenUsed/>
    <w:rsid w:val="008403C6"/>
    <w:pPr>
      <w:tabs>
        <w:tab w:val="center" w:pos="4513"/>
        <w:tab w:val="right" w:pos="9026"/>
      </w:tabs>
    </w:pPr>
  </w:style>
  <w:style w:type="character" w:customStyle="1" w:styleId="FooterChar">
    <w:name w:val="Footer Char"/>
    <w:basedOn w:val="DefaultParagraphFont"/>
    <w:link w:val="Footer"/>
    <w:uiPriority w:val="99"/>
    <w:rsid w:val="008403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citeseerx.ist.psu.edu/viewdoc/summary?doi=10.1.1.424.4874" TargetMode="External"/><Relationship Id="rId13" Type="http://schemas.openxmlformats.org/officeDocument/2006/relationships/hyperlink" Target="https://onlinelibrary.wiley.com/doi/abs/10.1002/ejsp.401" TargetMode="External"/><Relationship Id="rId18" Type="http://schemas.openxmlformats.org/officeDocument/2006/relationships/hyperlink" Target="https://doi.org/10.1108/JW%20AM-10-2015-003" TargetMode="External"/><Relationship Id="rId26" Type="http://schemas.openxmlformats.org/officeDocument/2006/relationships/hyperlink" Target="https://link-springer-com.ezproxy.uwtsd.ac.uk/article/10.1007/s11192-016-2159-z" TargetMode="External"/><Relationship Id="rId3" Type="http://schemas.openxmlformats.org/officeDocument/2006/relationships/webSettings" Target="webSettings.xml"/><Relationship Id="rId21" Type="http://schemas.openxmlformats.org/officeDocument/2006/relationships/hyperlink" Target="https://d1.acm.org/abs/10.1145.2591708.2591739" TargetMode="External"/><Relationship Id="rId7" Type="http://schemas.openxmlformats.org/officeDocument/2006/relationships/hyperlink" Target="http://www.hkeaa.edu.hk/DocLibrary/SBA/HKDSE/Eng_DVD/doc/Afl_principles.pdf" TargetMode="External"/><Relationship Id="rId12" Type="http://schemas.openxmlformats.org/officeDocument/2006/relationships/hyperlink" Target="https://hdl.handle.net/10289/2233" TargetMode="External"/><Relationship Id="rId17" Type="http://schemas.openxmlformats.org/officeDocument/2006/relationships/hyperlink" Target="https://doi-org.ezproxy.uwtsd.ac.uk/10.1016/j.jsp.2007.07.001" TargetMode="External"/><Relationship Id="rId25" Type="http://schemas.openxmlformats.org/officeDocument/2006/relationships/hyperlink" Target="https://www.scilt.org.uk/Portals/24/Library/resources/hmi/Leuven_Scale.pdf" TargetMode="External"/><Relationship Id="rId2" Type="http://schemas.openxmlformats.org/officeDocument/2006/relationships/settings" Target="settings.xml"/><Relationship Id="rId16" Type="http://schemas.openxmlformats.org/officeDocument/2006/relationships/hyperlink" Target="http://disde.minedu.gob.pe/bitstream/handle/123456789/5017/Lesson%20Study%20a%20Handbook.pdf?sequence=1&amp;isAllowed=y" TargetMode="External"/><Relationship Id="rId20" Type="http://schemas.openxmlformats.org/officeDocument/2006/relationships/hyperlink" Target="https://eprints.uny.ac.id/11571/1/ME-46%20m%20Noor%20Kholid%20et%20al.pdf"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doi-org.ezproxy.uwtsd.ac.uk/10.1016/j.adolescence.2008.06.007" TargetMode="External"/><Relationship Id="rId11" Type="http://schemas.openxmlformats.org/officeDocument/2006/relationships/hyperlink" Target="https://doi.org/10.12973/iji.2018.11126a" TargetMode="External"/><Relationship Id="rId24" Type="http://schemas.openxmlformats.org/officeDocument/2006/relationships/hyperlink" Target="https://www.sciencedirect.com/science/article/pii/S0895435613003545" TargetMode="External"/><Relationship Id="rId5" Type="http://schemas.openxmlformats.org/officeDocument/2006/relationships/endnotes" Target="endnotes.xml"/><Relationship Id="rId15" Type="http://schemas.openxmlformats.org/officeDocument/2006/relationships/hyperlink" Target="http://lessonstudy.co.uk/wp-content/uploads/2012/03/Lesson_Study_Handbook_-_011011-1.pdf" TargetMode="External"/><Relationship Id="rId23" Type="http://schemas.openxmlformats.org/officeDocument/2006/relationships/hyperlink" Target="https://doi-org.ezproxy.uwtsd.ac.uk/10.1093/elt/57.2.179" TargetMode="External"/><Relationship Id="rId28" Type="http://schemas.openxmlformats.org/officeDocument/2006/relationships/header" Target="header1.xml"/><Relationship Id="rId10" Type="http://schemas.openxmlformats.org/officeDocument/2006/relationships/hyperlink" Target="https://doi.org/10.1016/S0883-0355(03)00078-8" TargetMode="External"/><Relationship Id="rId19" Type="http://schemas.openxmlformats.org/officeDocument/2006/relationships/hyperlink" Target="https://www.jstor.org/stable/40539304?seq=1" TargetMode="External"/><Relationship Id="rId4" Type="http://schemas.openxmlformats.org/officeDocument/2006/relationships/footnotes" Target="footnotes.xml"/><Relationship Id="rId9" Type="http://schemas.openxmlformats.org/officeDocument/2006/relationships/hyperlink" Target="https://www.bera.ac.uk/publication/ethical-guidelines-for-educational-research-2018" TargetMode="External"/><Relationship Id="rId14" Type="http://schemas.openxmlformats.org/officeDocument/2006/relationships/hyperlink" Target="https://gweddill.gov.wales/docs/dcells/publications/150225-successful-futures-en.pdf" TargetMode="External"/><Relationship Id="rId22" Type="http://schemas.openxmlformats.org/officeDocument/2006/relationships/hyperlink" Target="https://web-a-ebscohost-com.ezproxy.uwtsd.ac.uk/ehost/detail/detail?vid=0&amp;sid=12692f14-df39-434f-8e26-1f361d333acc%40sessionmgr4008&amp;bdata=JnNpdGU9ZWhvc3QtbGl2ZQ%3d%3d" TargetMode="External"/><Relationship Id="rId27" Type="http://schemas.openxmlformats.org/officeDocument/2006/relationships/hyperlink" Target="https://hwb.gov.wales/storage/663d00fd-9c3b-4003-9a1f-0012bad39fad/how-to-develop-thinking-and-assessment-for-learning-in-the-classroom.pdf"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23</Pages>
  <Words>7074</Words>
  <Characters>40325</Characters>
  <Application>Microsoft Office Word</Application>
  <DocSecurity>0</DocSecurity>
  <Lines>336</Lines>
  <Paragraphs>94</Paragraphs>
  <ScaleCrop>false</ScaleCrop>
  <Company/>
  <LinksUpToDate>false</LinksUpToDate>
  <CharactersWithSpaces>47305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Matthews (1900177)</dc:creator>
  <cp:keywords/>
  <dc:description/>
  <cp:lastModifiedBy>Shannon Matthews (1900177)</cp:lastModifiedBy>
  <cp:revision>2</cp:revision>
  <dcterms:created xsi:type="dcterms:W3CDTF">2020-02-20T13:39:00Z</dcterms:created>
  <dcterms:modified xsi:type="dcterms:W3CDTF">2020-02-20T13:44:00Z</dcterms:modified>
</cp:coreProperties>
</file>