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743F" w:rsidRDefault="0001743F" w:rsidP="0001743F">
      <w:pPr>
        <w:jc w:val="center"/>
        <w:rPr>
          <w:b/>
          <w:u w:val="single"/>
        </w:rPr>
      </w:pPr>
      <w:r w:rsidRPr="0001743F">
        <w:rPr>
          <w:b/>
          <w:u w:val="single"/>
        </w:rPr>
        <w:t>Using empirical evidence, critically explore the impact</w:t>
      </w:r>
      <w:r>
        <w:rPr>
          <w:b/>
          <w:u w:val="single"/>
        </w:rPr>
        <w:t xml:space="preserve"> of pro-social/educational media</w:t>
      </w:r>
      <w:r w:rsidRPr="0001743F">
        <w:rPr>
          <w:b/>
          <w:u w:val="single"/>
        </w:rPr>
        <w:t xml:space="preserve"> on tackling issues associated with risk-related behaviour.</w:t>
      </w:r>
    </w:p>
    <w:p w:rsidR="0001743F" w:rsidRPr="0001743F" w:rsidRDefault="0001743F" w:rsidP="0001743F">
      <w:r>
        <w:t xml:space="preserve">Media drug prevention campaigns have been a prominent part of health campaigning with many unsuccessful strategies such as the National Institute of Drug Abuse anti-marijuana public service announcements in the 1990’s. Previously the most common message for drug prevention was ‘Just don’t take drugs’, however this has been shown time and time again that the recommended action of avoidance does not work, due to </w:t>
      </w:r>
      <w:r w:rsidR="00D90019">
        <w:t>psychological</w:t>
      </w:r>
      <w:r>
        <w:t xml:space="preserve"> reactance theory which will be looked at most closely within this essay. In recent years more research conducted into effective mass media drug prevention strategies has come to light</w:t>
      </w:r>
      <w:r w:rsidR="00A01CE0">
        <w:t>,</w:t>
      </w:r>
      <w:bookmarkStart w:id="0" w:name="_GoBack"/>
      <w:bookmarkEnd w:id="0"/>
      <w:r>
        <w:t xml:space="preserve"> and now campaigns based on the research are proving to be more effective in the prevention and reduction of drug misuse than there has been before.  </w:t>
      </w:r>
      <w:r w:rsidR="00D90019">
        <w:t>This essay question will explore the impact that previous mass media drug prevention techniques had on the target population compared to the strategies used today and their impact. Firstly this essay</w:t>
      </w:r>
      <w:r w:rsidR="00BE1C94">
        <w:t>,</w:t>
      </w:r>
      <w:r w:rsidR="00D90019">
        <w:t xml:space="preserve"> with the use of drug use statistics</w:t>
      </w:r>
      <w:r w:rsidR="00BE1C94">
        <w:t>,</w:t>
      </w:r>
      <w:r w:rsidR="00D90019">
        <w:t xml:space="preserve"> will look at The Meth Project which will examine the application the fear appeal theory, health belief model and how psychological reactance theory may impact </w:t>
      </w:r>
      <w:r w:rsidR="00BE1C94">
        <w:t xml:space="preserve">upon </w:t>
      </w:r>
      <w:r w:rsidR="00D90019">
        <w:t>adolescents will be discussed. Along with High sensation seeking adolescents, the link between sensation seeking and drug use and finally how FRANK</w:t>
      </w:r>
      <w:r w:rsidR="00BE1C94">
        <w:t xml:space="preserve"> the United Kingdom</w:t>
      </w:r>
      <w:r w:rsidR="00D90019">
        <w:t xml:space="preserve"> drug prevention campaign uses High sensation seeking as a guide to their advertisements.</w:t>
      </w:r>
      <w:r w:rsidR="00D90019">
        <w:br/>
        <w:t>Concluding that drug prevention campaigns are more effective if they are based on high sensation seeking and avoid psychological reactance.</w:t>
      </w:r>
    </w:p>
    <w:p w:rsidR="002037C8" w:rsidRDefault="00B0470E">
      <w:r>
        <w:t xml:space="preserve">The Meth Project, established in 2005 by Thomas Siebel in the United States, was designed to reduce the amount of methamphetamines being consumed by teenagers </w:t>
      </w:r>
      <w:r w:rsidR="002037C8">
        <w:t xml:space="preserve">through the use of </w:t>
      </w:r>
      <w:r>
        <w:t>graphic images</w:t>
      </w:r>
      <w:r w:rsidR="00BE1C94">
        <w:t>, typically shown or large billboards</w:t>
      </w:r>
      <w:r>
        <w:t>. The Meth Project used fear appeal theory and aspects of the health belief model. The fear appeal theory (Williams 2012) consists of three aspects, fear, threat and perceived efficacy.</w:t>
      </w:r>
      <w:r w:rsidR="00DD6792">
        <w:t xml:space="preserve"> It should also be note</w:t>
      </w:r>
      <w:r w:rsidR="00BE1C94">
        <w:t>d that in order for fear appeal theory</w:t>
      </w:r>
      <w:r w:rsidR="00DD6792">
        <w:t xml:space="preserve"> to be considered effective, they must be interesting, attention grabbing, culturally sensitive an</w:t>
      </w:r>
      <w:r w:rsidR="002037C8">
        <w:t>d on a relatively unknown topic (</w:t>
      </w:r>
      <w:proofErr w:type="spellStart"/>
      <w:r w:rsidR="002037C8">
        <w:t>Boddu</w:t>
      </w:r>
      <w:proofErr w:type="spellEnd"/>
      <w:r w:rsidR="002037C8">
        <w:t xml:space="preserve"> 2014).</w:t>
      </w:r>
    </w:p>
    <w:p w:rsidR="002037C8" w:rsidRDefault="00B0470E">
      <w:r>
        <w:t xml:space="preserve">Fear can be defined as “a negatively </w:t>
      </w:r>
      <w:proofErr w:type="spellStart"/>
      <w:r>
        <w:t>valenced</w:t>
      </w:r>
      <w:proofErr w:type="spellEnd"/>
      <w:r>
        <w:t xml:space="preserve"> emotion accompanied by high levels of arousal” (Witte 1992), fear w</w:t>
      </w:r>
      <w:r w:rsidR="00BE1C94">
        <w:t>as instilled into the viewer with the use of</w:t>
      </w:r>
      <w:r>
        <w:t xml:space="preserve"> graphic images that depicted possible events if they</w:t>
      </w:r>
      <w:r w:rsidR="00BE1C94">
        <w:t xml:space="preserve"> decided</w:t>
      </w:r>
      <w:r>
        <w:t xml:space="preserve"> consumed meth</w:t>
      </w:r>
      <w:r w:rsidR="002E1B96">
        <w:t>,</w:t>
      </w:r>
      <w:r>
        <w:t xml:space="preserve"> for example, a teenage girl</w:t>
      </w:r>
      <w:r w:rsidR="00BE1C94">
        <w:t xml:space="preserve"> who was</w:t>
      </w:r>
      <w:r>
        <w:t xml:space="preserve"> selling her body for money to buy meth, a group of friends leaving their </w:t>
      </w:r>
      <w:r w:rsidR="00BE1C94">
        <w:t xml:space="preserve">other </w:t>
      </w:r>
      <w:r>
        <w:t xml:space="preserve">friend </w:t>
      </w:r>
      <w:r w:rsidR="00BE1C94">
        <w:t xml:space="preserve">for dead </w:t>
      </w:r>
      <w:r>
        <w:t>as he over doses in an alleyway and so on. The threat asp</w:t>
      </w:r>
      <w:r w:rsidR="00391755">
        <w:t>ect of the fear appeal theory</w:t>
      </w:r>
      <w:r>
        <w:t xml:space="preserve"> can be defined as an “External factor that creates a perception that negative emotion will arise” (Williams 2012), the external factor within the Meth Project was the drug itself. The final aspect to fear appeal theory is Per</w:t>
      </w:r>
      <w:r w:rsidR="00391755">
        <w:t xml:space="preserve">ceived efficacy, which can be </w:t>
      </w:r>
      <w:r>
        <w:t>seen as the idea that the recommended action will reduce the threat.</w:t>
      </w:r>
      <w:r w:rsidR="00BE1C94">
        <w:t xml:space="preserve"> Efficacy within mass media health campaigns in key to the impact and effectiveness of the campaign.</w:t>
      </w:r>
      <w:r>
        <w:t xml:space="preserve"> </w:t>
      </w:r>
      <w:proofErr w:type="spellStart"/>
      <w:r>
        <w:t>The</w:t>
      </w:r>
      <w:proofErr w:type="spellEnd"/>
      <w:r>
        <w:t xml:space="preserve"> perceived efficacy is where the Meth project fell short, as their recommended action was “Not. Even. Once”. </w:t>
      </w:r>
    </w:p>
    <w:p w:rsidR="00B0470E" w:rsidRDefault="00B0470E">
      <w:r>
        <w:t>The lack of recommended action given via the campaign may be</w:t>
      </w:r>
      <w:r w:rsidR="00BE1C94">
        <w:t xml:space="preserve"> considered</w:t>
      </w:r>
      <w:r>
        <w:t xml:space="preserve"> beneficial and </w:t>
      </w:r>
      <w:r w:rsidR="00BE1C94">
        <w:t xml:space="preserve">perhaps </w:t>
      </w:r>
      <w:r>
        <w:t>enough to deter adolescents who have had no des</w:t>
      </w:r>
      <w:r w:rsidR="00AF11DD">
        <w:t>ire to consume methamphetamines</w:t>
      </w:r>
      <w:r w:rsidR="00BE1C94">
        <w:t xml:space="preserve"> previously</w:t>
      </w:r>
      <w:r w:rsidR="00AF11DD">
        <w:t>, however</w:t>
      </w:r>
      <w:r w:rsidR="00BE1C94">
        <w:t xml:space="preserve"> for</w:t>
      </w:r>
      <w:r w:rsidR="00AF11DD">
        <w:t xml:space="preserve"> t</w:t>
      </w:r>
      <w:r w:rsidR="002037C8">
        <w:t>hose who were already at risk of</w:t>
      </w:r>
      <w:r w:rsidR="00AF11DD">
        <w:t xml:space="preserve"> consuming the drug or are already a regular user</w:t>
      </w:r>
      <w:r w:rsidR="002037C8">
        <w:t xml:space="preserve"> of methamphetamines</w:t>
      </w:r>
      <w:r w:rsidR="00AF11DD">
        <w:t xml:space="preserve">, the recommended action could not apply to them. In a study conducted by </w:t>
      </w:r>
      <w:proofErr w:type="spellStart"/>
      <w:r w:rsidR="00AF11DD">
        <w:t>Fishbein</w:t>
      </w:r>
      <w:proofErr w:type="spellEnd"/>
      <w:r w:rsidR="00AF11DD">
        <w:t>, Hall-Jamieson et al (2002) anti-drug campaigns focussing entirely on the negative outcomes and with the recommended action being “Just say no” were found to be</w:t>
      </w:r>
      <w:r w:rsidR="00391755">
        <w:t xml:space="preserve"> perceived by adolescents as in</w:t>
      </w:r>
      <w:r w:rsidR="00AF11DD">
        <w:t>effective, untrustworthy and may be</w:t>
      </w:r>
      <w:r w:rsidR="002037C8">
        <w:t xml:space="preserve"> even</w:t>
      </w:r>
      <w:r w:rsidR="00AF11DD">
        <w:t xml:space="preserve"> considered</w:t>
      </w:r>
      <w:r w:rsidR="00BE1C94">
        <w:t xml:space="preserve"> in some situations to be</w:t>
      </w:r>
      <w:r w:rsidR="00AF11DD">
        <w:t xml:space="preserve"> humorous. However of the drug campaigns </w:t>
      </w:r>
      <w:proofErr w:type="spellStart"/>
      <w:r w:rsidR="002037C8">
        <w:t>Fishbein</w:t>
      </w:r>
      <w:proofErr w:type="spellEnd"/>
      <w:r w:rsidR="002037C8">
        <w:t xml:space="preserve"> et al (2002)</w:t>
      </w:r>
      <w:r w:rsidR="002037C8" w:rsidRPr="002037C8">
        <w:t xml:space="preserve"> </w:t>
      </w:r>
      <w:r w:rsidR="002037C8">
        <w:t>analysed,</w:t>
      </w:r>
      <w:r w:rsidR="00391755">
        <w:t xml:space="preserve"> those </w:t>
      </w:r>
      <w:r w:rsidR="00BE1C94">
        <w:t xml:space="preserve">that had </w:t>
      </w:r>
      <w:r w:rsidR="00391755">
        <w:t>focu</w:t>
      </w:r>
      <w:r w:rsidR="00AF11DD">
        <w:t>sed on harder drugs such as methamphetamine were perceived as more effective,</w:t>
      </w:r>
      <w:r>
        <w:t xml:space="preserve"> </w:t>
      </w:r>
      <w:r w:rsidR="00AF11DD">
        <w:t>compared to marijuana campaigns, however dramatization of events associated with us</w:t>
      </w:r>
      <w:r w:rsidR="002037C8">
        <w:t>e of the drug is once again perceived</w:t>
      </w:r>
      <w:r w:rsidR="00971DC9">
        <w:t xml:space="preserve"> </w:t>
      </w:r>
      <w:r w:rsidR="00971DC9">
        <w:lastRenderedPageBreak/>
        <w:t>as less effective along with those that did not produce an emotional response from the adolescent viewing the public service announcement.</w:t>
      </w:r>
    </w:p>
    <w:p w:rsidR="002E1B96" w:rsidRDefault="006E156E">
      <w:r>
        <w:t>The Meth Pro</w:t>
      </w:r>
      <w:r w:rsidR="00971DC9">
        <w:t>ject also appears to use attributes</w:t>
      </w:r>
      <w:r>
        <w:t xml:space="preserve"> of the Health Belief model (</w:t>
      </w:r>
      <w:proofErr w:type="spellStart"/>
      <w:r>
        <w:t>Hochbaum</w:t>
      </w:r>
      <w:proofErr w:type="spellEnd"/>
      <w:r>
        <w:t xml:space="preserve">, </w:t>
      </w:r>
      <w:proofErr w:type="spellStart"/>
      <w:r>
        <w:t>Rosenstock</w:t>
      </w:r>
      <w:proofErr w:type="spellEnd"/>
      <w:r>
        <w:t xml:space="preserve"> and Kegels 1952). The health belief model consists of four aspects, Perceived susceptibility, perceived severity, perceived benefits of recommended action and perceived barriers to carrying out the recommended action. For the context of the meth project, perceived susceptibility was viewed as the likeliness of that person consuming methamphetamines. With the use of graphic images the Meth project hoped to increase the perceived severity of par-taking in methamphetamine use. The perceived benefits of not continuing to consume methamphetamines are lacking within the campaign, focussing on their motto of “Not. Even. Once”.</w:t>
      </w:r>
      <w:r w:rsidR="00971DC9">
        <w:t xml:space="preserve"> The lack of direction and benefits to not using methamphetamines could cause an at risk adolescent to lose interest in the campaign poster, p</w:t>
      </w:r>
      <w:r>
        <w:t>erhaps a more beneficial way would have been</w:t>
      </w:r>
      <w:r w:rsidR="006378C5">
        <w:t xml:space="preserve"> to</w:t>
      </w:r>
      <w:r w:rsidR="00D024B4">
        <w:t xml:space="preserve"> </w:t>
      </w:r>
      <w:r>
        <w:t xml:space="preserve">depict the differences in life for one person when they are not taking methamphetamines and when they are. </w:t>
      </w:r>
    </w:p>
    <w:p w:rsidR="002E1B96" w:rsidRDefault="006E156E">
      <w:r>
        <w:t xml:space="preserve">In regards to the perceived barriers, these are mostly considered the negative consequences of </w:t>
      </w:r>
      <w:r w:rsidR="00894302">
        <w:t>stopping the harmful behaviour, such as the stress</w:t>
      </w:r>
      <w:r w:rsidR="00971DC9">
        <w:t xml:space="preserve"> on the body from quitting drug abuse</w:t>
      </w:r>
      <w:r w:rsidR="00894302">
        <w:t xml:space="preserve"> and potential changes in social groups. However a big flaw in the heal</w:t>
      </w:r>
      <w:r w:rsidR="00971DC9">
        <w:t>th belief model is that it attempts</w:t>
      </w:r>
      <w:r w:rsidR="00894302">
        <w:t xml:space="preserve"> to predict the levels of external factors and societal influen</w:t>
      </w:r>
      <w:r w:rsidR="00971DC9">
        <w:t>ces on an individual, all whilst</w:t>
      </w:r>
      <w:r w:rsidR="00894302">
        <w:t xml:space="preserve"> working under the assumption that the targeted audience is of sound and sane mind. This can prove to be a problem for individuals who are regularly consuming methamphetamines which is known for its mind altering state, as social influences and external factors may be or perceived to be worse than they actually are.</w:t>
      </w:r>
      <w:r w:rsidR="00904381">
        <w:t xml:space="preserve"> </w:t>
      </w:r>
    </w:p>
    <w:p w:rsidR="006E156E" w:rsidRDefault="00904381">
      <w:r>
        <w:t>The lack of success of the meth project can be seen in a comparison of the data collected on methamphetamine use in adolescents before the campaign started and six months after the campaign began. U</w:t>
      </w:r>
      <w:r w:rsidR="00971DC9">
        <w:t>nsurprisingly the numbers of methamphetamine users</w:t>
      </w:r>
      <w:r>
        <w:t xml:space="preserve"> had increased from 3% of teenagers in the area who believed using meth once or twice would cause</w:t>
      </w:r>
      <w:r w:rsidR="002037C8">
        <w:t xml:space="preserve"> them</w:t>
      </w:r>
      <w:r>
        <w:t xml:space="preserve"> little harm, to 8%, with a similar rise in the number of teenagers who believed regular methamphetamine use was of n</w:t>
      </w:r>
      <w:r w:rsidR="00971DC9">
        <w:t>o harm to them (Harding 2008). The f</w:t>
      </w:r>
      <w:r>
        <w:t>urther unsuccessfulness of the Meth Project can be seen in the levels of methamphetamine use amongst 12-18 year olds</w:t>
      </w:r>
      <w:r w:rsidR="00971DC9">
        <w:t xml:space="preserve"> during the years following</w:t>
      </w:r>
      <w:r>
        <w:t>, with it only being 0.2%</w:t>
      </w:r>
      <w:r w:rsidR="006918D4">
        <w:t xml:space="preserve"> of the United States 12-18 year old population using the drug in 2012, compared to 5.4% of 12-18 year olds using methamphetamine in 2016 (National Survey on Drug use and Health).</w:t>
      </w:r>
    </w:p>
    <w:p w:rsidR="00DD6792" w:rsidRDefault="00DD6792" w:rsidP="006378C5">
      <w:r>
        <w:t xml:space="preserve">In a critical review of the Meth project by </w:t>
      </w:r>
      <w:proofErr w:type="spellStart"/>
      <w:r>
        <w:t>Boddu</w:t>
      </w:r>
      <w:proofErr w:type="spellEnd"/>
      <w:r>
        <w:t xml:space="preserve"> (2014), </w:t>
      </w:r>
      <w:r w:rsidR="006378C5">
        <w:t xml:space="preserve">it is suggested that self-efficacy could be encouraged using a story of how refusing to take methamphetamines led to no negative </w:t>
      </w:r>
      <w:r w:rsidR="00971DC9">
        <w:t xml:space="preserve">psychical, social or emotional </w:t>
      </w:r>
      <w:r w:rsidR="006378C5">
        <w:t xml:space="preserve">consequences for the person. </w:t>
      </w:r>
      <w:proofErr w:type="spellStart"/>
      <w:r w:rsidR="006378C5">
        <w:t>Boddu</w:t>
      </w:r>
      <w:proofErr w:type="spellEnd"/>
      <w:r w:rsidR="006378C5">
        <w:t xml:space="preserve"> also suggested using an advertisement depicting a group of adolescents choosing to partake in another activity instead of consuming methamphetamines in order to minimise the social influences, and reinforce the positive outcomes of not consuming drugs</w:t>
      </w:r>
      <w:r w:rsidR="00971DC9">
        <w:t>, as well as providing a positive and clear alternative to not consuming methamphetamines</w:t>
      </w:r>
      <w:r w:rsidR="006378C5">
        <w:t>. A wide and diverse selection of teenagers in the public service announcement (PSA) would also be beneficial, as the wider the variety of role models the higher the chance of the targeted audience</w:t>
      </w:r>
      <w:r w:rsidR="00971DC9">
        <w:t xml:space="preserve"> relating and therefore establishing</w:t>
      </w:r>
      <w:r w:rsidR="006378C5">
        <w:t xml:space="preserve"> an emotional response, which has been shown by </w:t>
      </w:r>
      <w:proofErr w:type="spellStart"/>
      <w:r w:rsidR="006378C5">
        <w:t>Fishbein</w:t>
      </w:r>
      <w:proofErr w:type="spellEnd"/>
      <w:r w:rsidR="006378C5">
        <w:t xml:space="preserve"> et al (2002) to have a positive impact on effectiveness. Although the Meth Project was well funded, it appears the funding was not used to vigorously test the effectiveness of the campaign before it was released</w:t>
      </w:r>
      <w:r w:rsidR="00E662C7">
        <w:t>, leading it to fail and even increase methamphetamine use amongst adolescents in the United States.</w:t>
      </w:r>
    </w:p>
    <w:p w:rsidR="00827C5B" w:rsidRDefault="00D024B4" w:rsidP="006378C5">
      <w:r>
        <w:t>Some have suggested that the increase of drug use</w:t>
      </w:r>
      <w:r w:rsidR="00234C74">
        <w:t xml:space="preserve"> rates</w:t>
      </w:r>
      <w:r>
        <w:t xml:space="preserve"> after adolescent’s view PSA’s is in part due to</w:t>
      </w:r>
      <w:r w:rsidR="00234C74">
        <w:t xml:space="preserve"> the</w:t>
      </w:r>
      <w:r>
        <w:t xml:space="preserve"> psycho</w:t>
      </w:r>
      <w:r w:rsidR="002037C8">
        <w:t>logical reactance theory also referred to as the</w:t>
      </w:r>
      <w:r>
        <w:t xml:space="preserve"> boomerang effect. </w:t>
      </w:r>
      <w:r w:rsidR="00017D3E">
        <w:t>Psychol</w:t>
      </w:r>
      <w:r w:rsidR="0019659C">
        <w:t xml:space="preserve">ogical </w:t>
      </w:r>
      <w:r w:rsidR="0019659C">
        <w:lastRenderedPageBreak/>
        <w:t>reactance occurs when an</w:t>
      </w:r>
      <w:r w:rsidR="00017D3E">
        <w:t xml:space="preserve"> individual</w:t>
      </w:r>
      <w:r w:rsidR="00234C74">
        <w:t>, typically an adolescent,</w:t>
      </w:r>
      <w:r w:rsidR="00017D3E">
        <w:t xml:space="preserve"> feel</w:t>
      </w:r>
      <w:r w:rsidR="0019659C">
        <w:t>s</w:t>
      </w:r>
      <w:r w:rsidR="00017D3E">
        <w:t xml:space="preserve"> as if their “freedom to decide autonomously, to form their own opinions, to hold various attitudes, and to do what they feel free to do resulting in a motivational state aimed at restoring their threatened freedom” </w:t>
      </w:r>
      <w:proofErr w:type="spellStart"/>
      <w:r w:rsidR="00017D3E">
        <w:t>Brehm</w:t>
      </w:r>
      <w:proofErr w:type="spellEnd"/>
      <w:r w:rsidR="00017D3E">
        <w:t xml:space="preserve"> 1989. Similar to what many would call reverse psychology, the psychological reactance theory can be applied to such anti-drug campaigns as</w:t>
      </w:r>
      <w:r w:rsidR="00DB7928">
        <w:t xml:space="preserve"> the meth project or Fayette</w:t>
      </w:r>
      <w:r w:rsidR="00017D3E">
        <w:t xml:space="preserve"> county anti-m</w:t>
      </w:r>
      <w:r w:rsidR="0019659C">
        <w:t>arijuana use televised PSA’s</w:t>
      </w:r>
      <w:r w:rsidR="00017D3E">
        <w:t xml:space="preserve">, in </w:t>
      </w:r>
      <w:r w:rsidR="00234C74">
        <w:t>which upon receiving the recommended action</w:t>
      </w:r>
      <w:r w:rsidR="00017D3E">
        <w:t xml:space="preserve"> to simply avoid or say no, adolescents felt their freedom being enc</w:t>
      </w:r>
      <w:r w:rsidR="00234C74">
        <w:t>roached upon by a source they did</w:t>
      </w:r>
      <w:r w:rsidR="00017D3E">
        <w:t xml:space="preserve"> not trust resulting in an increase of various drug use </w:t>
      </w:r>
      <w:r w:rsidR="00DB7928">
        <w:t>(</w:t>
      </w:r>
      <w:proofErr w:type="spellStart"/>
      <w:r w:rsidR="00DB7928">
        <w:t>Brehm</w:t>
      </w:r>
      <w:proofErr w:type="spellEnd"/>
      <w:r w:rsidR="00DB7928">
        <w:t xml:space="preserve"> &amp; </w:t>
      </w:r>
      <w:proofErr w:type="spellStart"/>
      <w:r w:rsidR="00DB7928">
        <w:t>Brehm</w:t>
      </w:r>
      <w:proofErr w:type="spellEnd"/>
      <w:r w:rsidR="00DB7928">
        <w:t xml:space="preserve"> 2013).</w:t>
      </w:r>
    </w:p>
    <w:p w:rsidR="00834C1B" w:rsidRDefault="00DB7928" w:rsidP="006378C5">
      <w:r>
        <w:t xml:space="preserve"> Research conducted by </w:t>
      </w:r>
      <w:proofErr w:type="spellStart"/>
      <w:r>
        <w:t>Palmgreen</w:t>
      </w:r>
      <w:proofErr w:type="spellEnd"/>
      <w:r>
        <w:t xml:space="preserve"> et al 2001 on the national drug campaigns televised PSA’s</w:t>
      </w:r>
      <w:r w:rsidR="00834C1B">
        <w:t xml:space="preserve"> in 1997 and 1998</w:t>
      </w:r>
      <w:r>
        <w:t>, found that the lowest levels of cannabis use in Fayette</w:t>
      </w:r>
      <w:r w:rsidR="0019659C">
        <w:t xml:space="preserve"> county </w:t>
      </w:r>
      <w:r>
        <w:t xml:space="preserve">high school students was during a period between </w:t>
      </w:r>
      <w:r w:rsidR="00834C1B">
        <w:t>the anti-drug campaigns</w:t>
      </w:r>
      <w:r w:rsidR="0019659C">
        <w:t xml:space="preserve"> airing</w:t>
      </w:r>
      <w:r w:rsidR="00834C1B">
        <w:t xml:space="preserve"> and the highest rates of cannabis use </w:t>
      </w:r>
      <w:r w:rsidR="0019659C">
        <w:t xml:space="preserve">were recorded </w:t>
      </w:r>
      <w:r w:rsidR="00834C1B">
        <w:t>during the second campaign in 1998</w:t>
      </w:r>
      <w:r>
        <w:t xml:space="preserve">. </w:t>
      </w:r>
      <w:r w:rsidR="00827C5B">
        <w:t>In addition,</w:t>
      </w:r>
      <w:r>
        <w:t xml:space="preserve"> the neighbouring county</w:t>
      </w:r>
      <w:r w:rsidR="00834C1B">
        <w:t>, Knox, had its</w:t>
      </w:r>
      <w:r>
        <w:t xml:space="preserve"> lowest</w:t>
      </w:r>
      <w:r w:rsidR="00834C1B">
        <w:t xml:space="preserve"> rates of</w:t>
      </w:r>
      <w:r>
        <w:t xml:space="preserve"> cannabis</w:t>
      </w:r>
      <w:r w:rsidR="00834C1B">
        <w:t xml:space="preserve"> use</w:t>
      </w:r>
      <w:r>
        <w:t xml:space="preserve"> </w:t>
      </w:r>
      <w:r w:rsidR="00834C1B">
        <w:t xml:space="preserve">occur before either of the campaigns were released, and saw a steady increase of cannabis use amongst its adolescent population after the first televised anti-marijuana PSA. This steady rise shows psychological reactance theory </w:t>
      </w:r>
      <w:r w:rsidR="00827C5B">
        <w:t>at work</w:t>
      </w:r>
      <w:r w:rsidR="00834C1B">
        <w:t xml:space="preserve"> </w:t>
      </w:r>
      <w:r w:rsidR="00827C5B">
        <w:t>even though the anti-marijuana PSA’s were supposedly designed for high sensation seeking (HSS) adolescents, although that cannot be confirmed as martials</w:t>
      </w:r>
      <w:r w:rsidR="00234C74">
        <w:t xml:space="preserve"> used</w:t>
      </w:r>
      <w:r w:rsidR="00827C5B">
        <w:t xml:space="preserve"> within the research</w:t>
      </w:r>
      <w:r w:rsidR="00234C74">
        <w:t>, such as the televised PSA’s, were</w:t>
      </w:r>
      <w:r w:rsidR="00827C5B">
        <w:t xml:space="preserve"> excluded from the article. However, after the final series of </w:t>
      </w:r>
      <w:r w:rsidR="00234C74">
        <w:t xml:space="preserve">anti-marijuana </w:t>
      </w:r>
      <w:r w:rsidR="00827C5B">
        <w:t xml:space="preserve">PSA’s were broadcasted in 1998, </w:t>
      </w:r>
      <w:proofErr w:type="spellStart"/>
      <w:r w:rsidR="00827C5B">
        <w:t>Palmgreen</w:t>
      </w:r>
      <w:proofErr w:type="spellEnd"/>
      <w:r w:rsidR="00827C5B">
        <w:t xml:space="preserve"> et al (2001) noted a steady decline in marijuana use, perhaps suggesting that although </w:t>
      </w:r>
      <w:r w:rsidR="000D7012">
        <w:t>psychological reactance may occur at first, over time and with repeated</w:t>
      </w:r>
      <w:r w:rsidR="00234C74">
        <w:t xml:space="preserve"> and prolonged</w:t>
      </w:r>
      <w:r w:rsidR="000D7012">
        <w:t xml:space="preserve"> exposure to the PSA’s, it will fade </w:t>
      </w:r>
      <w:r w:rsidR="00234C74">
        <w:t>and the wanted</w:t>
      </w:r>
      <w:r w:rsidR="000D7012">
        <w:t xml:space="preserve"> behaviour modification may happen.</w:t>
      </w:r>
    </w:p>
    <w:p w:rsidR="00F82BDF" w:rsidRDefault="00CF3120" w:rsidP="006378C5">
      <w:r>
        <w:t>High s</w:t>
      </w:r>
      <w:r w:rsidR="0019659C">
        <w:t>ensation seeking is</w:t>
      </w:r>
      <w:r w:rsidR="00234C74">
        <w:t xml:space="preserve"> a personality trait and can be</w:t>
      </w:r>
      <w:r w:rsidR="0019659C">
        <w:t xml:space="preserve"> defined as “The seeking of varied, novel, complex, and intense sensations and experiences, and the willingness to take physical, social, legal, and financial risks for the sake of such experience” (Zuckerman </w:t>
      </w:r>
      <w:r w:rsidR="00664B2E">
        <w:t>1979</w:t>
      </w:r>
      <w:r w:rsidR="00234C74">
        <w:t xml:space="preserve"> )</w:t>
      </w:r>
      <w:r>
        <w:t xml:space="preserve">however the component of high levels of risk is not always essential for high sensation seekers. </w:t>
      </w:r>
      <w:r w:rsidR="000D7012">
        <w:t>High sensation seeking and its relationship to drug use has been continuously researched with early paper</w:t>
      </w:r>
      <w:r w:rsidR="0019659C">
        <w:t>s</w:t>
      </w:r>
      <w:r w:rsidR="000D7012">
        <w:t xml:space="preserve"> published indicating that 74% of college undergraduates in America who were considered to be HSS, based on the Sensation Seeking Scale (Zuckerman, </w:t>
      </w:r>
      <w:proofErr w:type="spellStart"/>
      <w:r w:rsidR="000D7012">
        <w:t>Kolin</w:t>
      </w:r>
      <w:proofErr w:type="spellEnd"/>
      <w:r w:rsidR="000D7012">
        <w:t xml:space="preserve">, Price &amp; </w:t>
      </w:r>
      <w:proofErr w:type="spellStart"/>
      <w:r w:rsidR="000D7012">
        <w:t>Zoob</w:t>
      </w:r>
      <w:proofErr w:type="spellEnd"/>
      <w:r w:rsidR="000D7012">
        <w:t xml:space="preserve"> 1964), had used one or more illicit drugs </w:t>
      </w:r>
      <w:r w:rsidR="00234C74">
        <w:t xml:space="preserve">during their time at university </w:t>
      </w:r>
      <w:r w:rsidR="000D7012">
        <w:t xml:space="preserve">(Zuckerman, </w:t>
      </w:r>
      <w:proofErr w:type="spellStart"/>
      <w:r w:rsidR="000D7012">
        <w:t>Neary</w:t>
      </w:r>
      <w:proofErr w:type="spellEnd"/>
      <w:r w:rsidR="000D7012">
        <w:t xml:space="preserve"> &amp; </w:t>
      </w:r>
      <w:proofErr w:type="spellStart"/>
      <w:r w:rsidR="000D7012">
        <w:t>Brustman</w:t>
      </w:r>
      <w:proofErr w:type="spellEnd"/>
      <w:r w:rsidR="000D7012">
        <w:t xml:space="preserve"> 1970). </w:t>
      </w:r>
      <w:r>
        <w:t xml:space="preserve">In recent years research conducted by Martins, </w:t>
      </w:r>
      <w:proofErr w:type="spellStart"/>
      <w:r>
        <w:t>Storr</w:t>
      </w:r>
      <w:proofErr w:type="spellEnd"/>
      <w:r>
        <w:t xml:space="preserve">, Alexandre, and </w:t>
      </w:r>
      <w:proofErr w:type="spellStart"/>
      <w:r>
        <w:t>Chilcoat</w:t>
      </w:r>
      <w:proofErr w:type="spellEnd"/>
      <w:r>
        <w:t xml:space="preserve"> (2008) on the links between high sensation seeking adolescents and their likeliness to con</w:t>
      </w:r>
      <w:r w:rsidR="00234C74">
        <w:t>sume</w:t>
      </w:r>
      <w:r w:rsidR="00391755">
        <w:t xml:space="preserve"> drugs, found that in their</w:t>
      </w:r>
      <w:r>
        <w:t xml:space="preserve"> sample of United States </w:t>
      </w:r>
      <w:r w:rsidR="00664B2E">
        <w:t>12</w:t>
      </w:r>
      <w:r w:rsidR="00234C74">
        <w:t>-18 year olds, 80% those who had</w:t>
      </w:r>
      <w:r w:rsidR="00664B2E">
        <w:t xml:space="preserve"> consumed alcohol, cannabis and ecstasy scored as High sensation seeking. Along with the sample that was low sensation seeking, 61% had never consumed drugs, this shows a</w:t>
      </w:r>
      <w:r w:rsidR="00234C74">
        <w:t xml:space="preserve"> clear</w:t>
      </w:r>
      <w:r w:rsidR="00664B2E">
        <w:t xml:space="preserve"> trend between sensation seeking levels and drug use.</w:t>
      </w:r>
    </w:p>
    <w:p w:rsidR="00664B2E" w:rsidRDefault="008F2187" w:rsidP="006378C5">
      <w:r>
        <w:t xml:space="preserve">After great ineffectiveness of mass media drug campaigns </w:t>
      </w:r>
      <w:proofErr w:type="spellStart"/>
      <w:r>
        <w:t>Palmgreen</w:t>
      </w:r>
      <w:proofErr w:type="spellEnd"/>
      <w:r>
        <w:t xml:space="preserve"> and </w:t>
      </w:r>
      <w:proofErr w:type="spellStart"/>
      <w:r>
        <w:t>Donohew</w:t>
      </w:r>
      <w:proofErr w:type="spellEnd"/>
      <w:r>
        <w:t xml:space="preserve"> (2006) wrote a guide for effective mass media strategies for drug abuse prevention campaigns. Within this, </w:t>
      </w:r>
      <w:proofErr w:type="spellStart"/>
      <w:r>
        <w:t>Palmgree</w:t>
      </w:r>
      <w:r w:rsidR="003C4C41">
        <w:t>n</w:t>
      </w:r>
      <w:proofErr w:type="spellEnd"/>
      <w:r>
        <w:t xml:space="preserve"> and </w:t>
      </w:r>
      <w:proofErr w:type="spellStart"/>
      <w:r>
        <w:t>Donohew</w:t>
      </w:r>
      <w:proofErr w:type="spellEnd"/>
      <w:r>
        <w:t xml:space="preserve"> reviewed the literature in terms of high sensation seeking campaigns to establish eight key aspects that a successful high sensation seeking anti-drug campaign</w:t>
      </w:r>
      <w:r w:rsidR="00AF1B62">
        <w:t xml:space="preserve"> should</w:t>
      </w:r>
      <w:r>
        <w:t xml:space="preserve"> have. These attributes are (1) Novel, creative, or unusual (2) complex (3) intense stimuli that are emotionally powerful or physically arousing (4) graphic or explicit (5) somewhat ambiguous (6)</w:t>
      </w:r>
      <w:r w:rsidR="00952C77">
        <w:t xml:space="preserve"> unconventional (7) fast paced; and (8) suspenseful. It should be noted that campaigns do not need to include high levels of each of these attributes into their advertisements as that may be too much for even the high sensation seekers.</w:t>
      </w:r>
    </w:p>
    <w:p w:rsidR="00952C77" w:rsidRDefault="00952C77" w:rsidP="006378C5">
      <w:r>
        <w:t>Bearing in mind these attributes, we take a look at FRANK the Untied Kingdoms most successful Drug abuse prevention campaign.</w:t>
      </w:r>
      <w:r w:rsidR="000570FD">
        <w:t xml:space="preserve"> FRANK was established in 2003 in a joint effort between the Department of Health (</w:t>
      </w:r>
      <w:proofErr w:type="spellStart"/>
      <w:r w:rsidR="000570FD">
        <w:t>DoH</w:t>
      </w:r>
      <w:proofErr w:type="spellEnd"/>
      <w:r w:rsidR="000570FD">
        <w:t xml:space="preserve">) and the Home Office in an attempt to educated adolescents on the </w:t>
      </w:r>
      <w:r w:rsidR="000570FD">
        <w:lastRenderedPageBreak/>
        <w:t xml:space="preserve">potential harm of both legal and illegal drug use. Based on previous research the </w:t>
      </w:r>
      <w:proofErr w:type="spellStart"/>
      <w:r w:rsidR="000570FD">
        <w:t>DoH</w:t>
      </w:r>
      <w:proofErr w:type="spellEnd"/>
      <w:r w:rsidR="000570FD">
        <w:t xml:space="preserve"> and the Home Office set out to create an entertaining character who was friendly, non-judgemental, wise and witty, this character was called Frank. Previous research into HSS adolescents and drug campaigns suggest that being both entertaining and factual if beneficial for the effectiveness. Each of the advertisements developed by FRANK focus on one or more of the eight attributes noted by </w:t>
      </w:r>
      <w:proofErr w:type="spellStart"/>
      <w:r w:rsidR="000570FD">
        <w:t>Palmgreen</w:t>
      </w:r>
      <w:proofErr w:type="spellEnd"/>
      <w:r w:rsidR="000570FD">
        <w:t xml:space="preserve"> and </w:t>
      </w:r>
      <w:proofErr w:type="spellStart"/>
      <w:r w:rsidR="000570FD">
        <w:t>Donohew</w:t>
      </w:r>
      <w:proofErr w:type="spellEnd"/>
      <w:r w:rsidR="000570FD">
        <w:t xml:space="preserve"> (2006). The launch advertisement showed a mother and son in the kitchen having breakfast when the mother implies that she wants to talk about drugs. Upon realising this the son calls in back up and a swat team crash through the windows and doors in order to prevent the mother from talking. Finally the advertisement ends with the simple line ‘Talk to FRANK’, similar to the meth project the recommended action is very little, however the big difference is that instead of demanding adolescents not to take drugs it invites them to get impartial and trustworthy advice. By inviting adolescents to talk to FRANK about drugs it eliminates the possibility of psychological reactance theory, as restrictions on the adolescent’s freedom are not placed. The first advertisement was designed to be attention grabbing and fast paced so that HSS would be compelled to view it.</w:t>
      </w:r>
    </w:p>
    <w:p w:rsidR="004B2BEC" w:rsidRDefault="004B2BEC" w:rsidP="006378C5">
      <w:r>
        <w:t>Further advertisements focused on other attributes for effective drug prevention campaign strategies for HSS adolescents. A popular advertisement by FRANK was Pablo the drug mule, in which a drug mule dog wakes up in a basement sliced open and decides to investigate why he was killed and what drugs he delivered. The graphic content of the Pablo advertisement drew in many high sensation seeking adolescents, capturing their attention with the creativeness and allowing an emotional connection to develop in order to encourage those who consume drugs smuggled in by drug mules to reconsider based on their love of animals. After the release of this advert many adolescents within the United Kingdom were talking about it, and often showing it to their peers during school lunch breaks. An example of a high sensation seeking advertisement that is unconventional and unusual is FRANKS Brain Warehouse series, in which we follow the lives of two employees who sell fresh brains to replace peoples drug abused ones. The unusualness and the graphic nature of this advertisement draws individuals in and holds their attention long enough for them to be curious enough to search up talk to FRANK.</w:t>
      </w:r>
    </w:p>
    <w:p w:rsidR="00952C77" w:rsidRDefault="004B2BEC" w:rsidP="006378C5">
      <w:r>
        <w:t xml:space="preserve">Franks success can be seen in its viewing figures and the number of hits the website has had, </w:t>
      </w:r>
      <w:r w:rsidR="000B7855">
        <w:t xml:space="preserve">in 2007 the Home Office conducted a report into the success of FRANK and found that 90% of their target audience of 11-18 year olds in the UK had been reached. Compared to the 19% of 11-18 year olds the National Drugs Helpline reached, </w:t>
      </w:r>
      <w:proofErr w:type="gramStart"/>
      <w:r w:rsidR="000B7855">
        <w:t>FRANKS</w:t>
      </w:r>
      <w:proofErr w:type="gramEnd"/>
      <w:r w:rsidR="000B7855">
        <w:t xml:space="preserve"> success compared to previous drug prevention campaigns in the United Kingdom is evident. Further evidence of </w:t>
      </w:r>
      <w:proofErr w:type="gramStart"/>
      <w:r w:rsidR="000B7855">
        <w:t>FRANKS</w:t>
      </w:r>
      <w:proofErr w:type="gramEnd"/>
      <w:r w:rsidR="000B7855">
        <w:t xml:space="preserve"> success can be seen in the trust levels reported to the campaign by 11-18 year olds. With 81% of them reporting that they felt FRANK was more trustworthy and reliable than receiving advice from parents, friends and even their General Practitioner. According to statistics gath</w:t>
      </w:r>
      <w:r w:rsidR="003C4C41">
        <w:t>ered by the Home Office</w:t>
      </w:r>
      <w:r w:rsidR="000B7855">
        <w:t xml:space="preserve">, in 2003/04 when FRANK was created 28.3% of the UKS population of 16 to 24 year olds were regularly consuming drugs, which decreased to 19.3% in 2011/2012 almost ten years after FRANK was developed. In over ten years over 3.5 million young people have called the talk to FRANK helpline and a staggering 35.5 million visiting the website. The open, honest but entertaining and graphic advertisement campaigns have led to much success for FRANK and the British adolescents who have sought out his advice. </w:t>
      </w:r>
    </w:p>
    <w:p w:rsidR="00D90019" w:rsidRDefault="00D90019" w:rsidP="006378C5">
      <w:r>
        <w:t xml:space="preserve">In conclusion, there have been few anti-drug campaigns that have had an overwhelmingly positive impact on drug use rates, with many such as the meth project that uses fear appeal theory, causing drug use rates to rise drug the campaigns. In order to avoid future psychological reactance drug prevention campaigns must avoid using recommended action that is based on avoidance, rigorously test the effectiveness of the campaign before release and design the campaign to be suited for the </w:t>
      </w:r>
      <w:r>
        <w:lastRenderedPageBreak/>
        <w:t>needs of high sensation seeking adolescents who are at a higher risk of risky behaviours such as drug abuse.</w:t>
      </w:r>
    </w:p>
    <w:p w:rsidR="00A83C09" w:rsidRDefault="00A83C09" w:rsidP="006378C5">
      <w:r>
        <w:t>References</w:t>
      </w:r>
    </w:p>
    <w:p w:rsidR="00A83C09" w:rsidRDefault="003C4C41" w:rsidP="003C4C41">
      <w:pPr>
        <w:pStyle w:val="ListParagraph"/>
        <w:numPr>
          <w:ilvl w:val="0"/>
          <w:numId w:val="1"/>
        </w:numPr>
      </w:pPr>
      <w:proofErr w:type="spellStart"/>
      <w:r w:rsidRPr="003C4C41">
        <w:t>Boddu</w:t>
      </w:r>
      <w:proofErr w:type="spellEnd"/>
      <w:r w:rsidRPr="003C4C41">
        <w:t xml:space="preserve">, S. (2014, June 08). Challenging Dogma - </w:t>
      </w:r>
      <w:proofErr w:type="gramStart"/>
      <w:r w:rsidRPr="003C4C41">
        <w:t>Spring</w:t>
      </w:r>
      <w:proofErr w:type="gramEnd"/>
      <w:r w:rsidRPr="003C4C41">
        <w:t xml:space="preserve"> 2014. Retrieved April 16, 2017, from </w:t>
      </w:r>
      <w:hyperlink r:id="rId5" w:history="1">
        <w:r w:rsidRPr="001E7AA0">
          <w:rPr>
            <w:rStyle w:val="Hyperlink"/>
          </w:rPr>
          <w:t>http://challengingdogma-spring2014.blogspot.co.uk/2014/06/the-meth-project-well-funded-but.html</w:t>
        </w:r>
      </w:hyperlink>
    </w:p>
    <w:p w:rsidR="003C4C41" w:rsidRPr="003C4C41" w:rsidRDefault="003C4C41" w:rsidP="003C4C41">
      <w:pPr>
        <w:pStyle w:val="ListParagraph"/>
        <w:numPr>
          <w:ilvl w:val="0"/>
          <w:numId w:val="1"/>
        </w:numPr>
      </w:pPr>
      <w:proofErr w:type="spellStart"/>
      <w:r>
        <w:rPr>
          <w:rFonts w:ascii="Arial" w:hAnsi="Arial" w:cs="Arial"/>
          <w:color w:val="222222"/>
          <w:sz w:val="20"/>
          <w:szCs w:val="20"/>
          <w:shd w:val="clear" w:color="auto" w:fill="FFFFFF"/>
        </w:rPr>
        <w:t>Brehm</w:t>
      </w:r>
      <w:proofErr w:type="spellEnd"/>
      <w:r>
        <w:rPr>
          <w:rFonts w:ascii="Arial" w:hAnsi="Arial" w:cs="Arial"/>
          <w:color w:val="222222"/>
          <w:sz w:val="20"/>
          <w:szCs w:val="20"/>
          <w:shd w:val="clear" w:color="auto" w:fill="FFFFFF"/>
        </w:rPr>
        <w:t>, J. W. (1989). Psychological reactance: Theory and applications. </w:t>
      </w:r>
      <w:r>
        <w:rPr>
          <w:rFonts w:ascii="Arial" w:hAnsi="Arial" w:cs="Arial"/>
          <w:i/>
          <w:iCs/>
          <w:color w:val="222222"/>
          <w:sz w:val="20"/>
          <w:szCs w:val="20"/>
          <w:shd w:val="clear" w:color="auto" w:fill="FFFFFF"/>
        </w:rPr>
        <w:t>ACR North American Advances</w:t>
      </w:r>
      <w:r>
        <w:rPr>
          <w:rFonts w:ascii="Arial" w:hAnsi="Arial" w:cs="Arial"/>
          <w:color w:val="222222"/>
          <w:sz w:val="20"/>
          <w:szCs w:val="20"/>
          <w:shd w:val="clear" w:color="auto" w:fill="FFFFFF"/>
        </w:rPr>
        <w:t>.</w:t>
      </w:r>
    </w:p>
    <w:p w:rsidR="003C4C41" w:rsidRPr="00F762A7" w:rsidRDefault="003C4C41" w:rsidP="003C4C41">
      <w:pPr>
        <w:pStyle w:val="ListParagraph"/>
        <w:numPr>
          <w:ilvl w:val="0"/>
          <w:numId w:val="1"/>
        </w:numPr>
      </w:pPr>
      <w:proofErr w:type="spellStart"/>
      <w:r>
        <w:rPr>
          <w:rFonts w:ascii="Arial" w:hAnsi="Arial" w:cs="Arial"/>
          <w:color w:val="222222"/>
          <w:sz w:val="20"/>
          <w:szCs w:val="20"/>
          <w:shd w:val="clear" w:color="auto" w:fill="FFFFFF"/>
        </w:rPr>
        <w:t>Brehm</w:t>
      </w:r>
      <w:proofErr w:type="spellEnd"/>
      <w:r>
        <w:rPr>
          <w:rFonts w:ascii="Arial" w:hAnsi="Arial" w:cs="Arial"/>
          <w:color w:val="222222"/>
          <w:sz w:val="20"/>
          <w:szCs w:val="20"/>
          <w:shd w:val="clear" w:color="auto" w:fill="FFFFFF"/>
        </w:rPr>
        <w:t xml:space="preserve">, S. S., &amp; </w:t>
      </w:r>
      <w:proofErr w:type="spellStart"/>
      <w:r>
        <w:rPr>
          <w:rFonts w:ascii="Arial" w:hAnsi="Arial" w:cs="Arial"/>
          <w:color w:val="222222"/>
          <w:sz w:val="20"/>
          <w:szCs w:val="20"/>
          <w:shd w:val="clear" w:color="auto" w:fill="FFFFFF"/>
        </w:rPr>
        <w:t>Brehm</w:t>
      </w:r>
      <w:proofErr w:type="spellEnd"/>
      <w:r>
        <w:rPr>
          <w:rFonts w:ascii="Arial" w:hAnsi="Arial" w:cs="Arial"/>
          <w:color w:val="222222"/>
          <w:sz w:val="20"/>
          <w:szCs w:val="20"/>
          <w:shd w:val="clear" w:color="auto" w:fill="FFFFFF"/>
        </w:rPr>
        <w:t>, J. W. (2013). </w:t>
      </w:r>
      <w:r>
        <w:rPr>
          <w:rFonts w:ascii="Arial" w:hAnsi="Arial" w:cs="Arial"/>
          <w:i/>
          <w:iCs/>
          <w:color w:val="222222"/>
          <w:sz w:val="20"/>
          <w:szCs w:val="20"/>
          <w:shd w:val="clear" w:color="auto" w:fill="FFFFFF"/>
        </w:rPr>
        <w:t>Psychological reactance: A theory of freedom and control</w:t>
      </w:r>
      <w:r>
        <w:rPr>
          <w:rFonts w:ascii="Arial" w:hAnsi="Arial" w:cs="Arial"/>
          <w:color w:val="222222"/>
          <w:sz w:val="20"/>
          <w:szCs w:val="20"/>
          <w:shd w:val="clear" w:color="auto" w:fill="FFFFFF"/>
        </w:rPr>
        <w:t>. Academic Press.</w:t>
      </w:r>
    </w:p>
    <w:p w:rsidR="00F762A7" w:rsidRPr="00F762A7" w:rsidRDefault="00F762A7" w:rsidP="003C4C41">
      <w:pPr>
        <w:pStyle w:val="ListParagraph"/>
        <w:numPr>
          <w:ilvl w:val="0"/>
          <w:numId w:val="1"/>
        </w:numPr>
      </w:pPr>
      <w:proofErr w:type="spellStart"/>
      <w:r>
        <w:rPr>
          <w:rFonts w:ascii="Arial" w:hAnsi="Arial" w:cs="Arial"/>
          <w:color w:val="222222"/>
          <w:sz w:val="20"/>
          <w:szCs w:val="20"/>
          <w:shd w:val="clear" w:color="auto" w:fill="FFFFFF"/>
        </w:rPr>
        <w:t>Fishbein</w:t>
      </w:r>
      <w:proofErr w:type="spellEnd"/>
      <w:r>
        <w:rPr>
          <w:rFonts w:ascii="Arial" w:hAnsi="Arial" w:cs="Arial"/>
          <w:color w:val="222222"/>
          <w:sz w:val="20"/>
          <w:szCs w:val="20"/>
          <w:shd w:val="clear" w:color="auto" w:fill="FFFFFF"/>
        </w:rPr>
        <w:t xml:space="preserve">, M., Hall-Jamieson, K., Zimmer, E., Von </w:t>
      </w:r>
      <w:proofErr w:type="spellStart"/>
      <w:r>
        <w:rPr>
          <w:rFonts w:ascii="Arial" w:hAnsi="Arial" w:cs="Arial"/>
          <w:color w:val="222222"/>
          <w:sz w:val="20"/>
          <w:szCs w:val="20"/>
          <w:shd w:val="clear" w:color="auto" w:fill="FFFFFF"/>
        </w:rPr>
        <w:t>Haeften</w:t>
      </w:r>
      <w:proofErr w:type="spellEnd"/>
      <w:r>
        <w:rPr>
          <w:rFonts w:ascii="Arial" w:hAnsi="Arial" w:cs="Arial"/>
          <w:color w:val="222222"/>
          <w:sz w:val="20"/>
          <w:szCs w:val="20"/>
          <w:shd w:val="clear" w:color="auto" w:fill="FFFFFF"/>
        </w:rPr>
        <w:t xml:space="preserve">, I., &amp; </w:t>
      </w:r>
      <w:proofErr w:type="spellStart"/>
      <w:r>
        <w:rPr>
          <w:rFonts w:ascii="Arial" w:hAnsi="Arial" w:cs="Arial"/>
          <w:color w:val="222222"/>
          <w:sz w:val="20"/>
          <w:szCs w:val="20"/>
          <w:shd w:val="clear" w:color="auto" w:fill="FFFFFF"/>
        </w:rPr>
        <w:t>Nabi</w:t>
      </w:r>
      <w:proofErr w:type="spellEnd"/>
      <w:r>
        <w:rPr>
          <w:rFonts w:ascii="Arial" w:hAnsi="Arial" w:cs="Arial"/>
          <w:color w:val="222222"/>
          <w:sz w:val="20"/>
          <w:szCs w:val="20"/>
          <w:shd w:val="clear" w:color="auto" w:fill="FFFFFF"/>
        </w:rPr>
        <w:t>, R. (2002). Avoiding the boomerang: Testing the relative effectiveness of antidrug public service announcements before a national campaign. </w:t>
      </w:r>
      <w:r>
        <w:rPr>
          <w:rFonts w:ascii="Arial" w:hAnsi="Arial" w:cs="Arial"/>
          <w:i/>
          <w:iCs/>
          <w:color w:val="222222"/>
          <w:sz w:val="20"/>
          <w:szCs w:val="20"/>
          <w:shd w:val="clear" w:color="auto" w:fill="FFFFFF"/>
        </w:rPr>
        <w:t>American Journal of Public Health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92</w:t>
      </w:r>
      <w:r>
        <w:rPr>
          <w:rFonts w:ascii="Arial" w:hAnsi="Arial" w:cs="Arial"/>
          <w:color w:val="222222"/>
          <w:sz w:val="20"/>
          <w:szCs w:val="20"/>
          <w:shd w:val="clear" w:color="auto" w:fill="FFFFFF"/>
        </w:rPr>
        <w:t>(2), 238-245.</w:t>
      </w:r>
    </w:p>
    <w:p w:rsidR="00F762A7" w:rsidRPr="00F762A7" w:rsidRDefault="00F762A7" w:rsidP="00F762A7">
      <w:pPr>
        <w:pStyle w:val="ListParagraph"/>
        <w:numPr>
          <w:ilvl w:val="0"/>
          <w:numId w:val="1"/>
        </w:numPr>
      </w:pPr>
      <w:r w:rsidRPr="00F762A7">
        <w:t>FRANK. (2013, February 14). 10 years of Frank. Retrieved March 20, 2018, from https://www.campaignlive.co.uk/article/10-years-frank/1170509</w:t>
      </w:r>
    </w:p>
    <w:p w:rsidR="00F762A7" w:rsidRPr="00F762A7" w:rsidRDefault="00F762A7" w:rsidP="003C4C41">
      <w:pPr>
        <w:pStyle w:val="ListParagraph"/>
        <w:numPr>
          <w:ilvl w:val="0"/>
          <w:numId w:val="1"/>
        </w:numPr>
        <w:rPr>
          <w:rFonts w:ascii="Arial" w:hAnsi="Arial" w:cs="Arial"/>
          <w:sz w:val="20"/>
          <w:szCs w:val="20"/>
        </w:rPr>
      </w:pPr>
      <w:r w:rsidRPr="00F762A7">
        <w:rPr>
          <w:rFonts w:ascii="Arial" w:hAnsi="Arial" w:cs="Arial"/>
          <w:color w:val="333333"/>
          <w:sz w:val="20"/>
          <w:szCs w:val="20"/>
          <w:shd w:val="clear" w:color="auto" w:fill="FFFFFF"/>
        </w:rPr>
        <w:t xml:space="preserve">Harding, A. (2008, December 19). Benefits of graphic anti-meth ads questioned. Retrieved April 16, 2018, from </w:t>
      </w:r>
      <w:hyperlink r:id="rId6" w:history="1">
        <w:r w:rsidRPr="00F762A7">
          <w:rPr>
            <w:rStyle w:val="Hyperlink"/>
            <w:rFonts w:ascii="Arial" w:hAnsi="Arial" w:cs="Arial"/>
            <w:sz w:val="20"/>
            <w:szCs w:val="20"/>
            <w:shd w:val="clear" w:color="auto" w:fill="FFFFFF"/>
          </w:rPr>
          <w:t>https://www.reuters.com/article/us-anti-meth/benefits-of-graphic-anti-meth-ads-questioned-idUSTRE4BI5S620081219</w:t>
        </w:r>
      </w:hyperlink>
    </w:p>
    <w:p w:rsidR="00F762A7" w:rsidRPr="00F762A7" w:rsidRDefault="00F762A7" w:rsidP="00F762A7">
      <w:pPr>
        <w:pStyle w:val="ListParagraph"/>
        <w:numPr>
          <w:ilvl w:val="0"/>
          <w:numId w:val="1"/>
        </w:numPr>
        <w:rPr>
          <w:rFonts w:ascii="Arial" w:hAnsi="Arial" w:cs="Arial"/>
          <w:sz w:val="20"/>
          <w:szCs w:val="20"/>
        </w:rPr>
      </w:pPr>
      <w:proofErr w:type="spellStart"/>
      <w:r w:rsidRPr="00F762A7">
        <w:rPr>
          <w:rFonts w:ascii="Arial" w:hAnsi="Arial" w:cs="Arial"/>
          <w:sz w:val="20"/>
          <w:szCs w:val="20"/>
        </w:rPr>
        <w:t>Hochbaum</w:t>
      </w:r>
      <w:proofErr w:type="spellEnd"/>
      <w:r w:rsidRPr="00F762A7">
        <w:rPr>
          <w:rFonts w:ascii="Arial" w:hAnsi="Arial" w:cs="Arial"/>
          <w:sz w:val="20"/>
          <w:szCs w:val="20"/>
        </w:rPr>
        <w:t xml:space="preserve">, G., </w:t>
      </w:r>
      <w:proofErr w:type="spellStart"/>
      <w:r w:rsidRPr="00F762A7">
        <w:rPr>
          <w:rFonts w:ascii="Arial" w:hAnsi="Arial" w:cs="Arial"/>
          <w:sz w:val="20"/>
          <w:szCs w:val="20"/>
        </w:rPr>
        <w:t>Rosenstock</w:t>
      </w:r>
      <w:proofErr w:type="spellEnd"/>
      <w:r w:rsidRPr="00F762A7">
        <w:rPr>
          <w:rFonts w:ascii="Arial" w:hAnsi="Arial" w:cs="Arial"/>
          <w:sz w:val="20"/>
          <w:szCs w:val="20"/>
        </w:rPr>
        <w:t>, I., &amp; Kegels, S. (1952). Health belief model. United States Public Health Service.</w:t>
      </w:r>
    </w:p>
    <w:p w:rsidR="003C4C41" w:rsidRDefault="00F762A7" w:rsidP="003C4C41">
      <w:pPr>
        <w:pStyle w:val="ListParagraph"/>
        <w:numPr>
          <w:ilvl w:val="0"/>
          <w:numId w:val="1"/>
        </w:numPr>
      </w:pPr>
      <w:r>
        <w:t>Home Office</w:t>
      </w:r>
      <w:r w:rsidR="003C4C41">
        <w:t xml:space="preserve">. (2004). </w:t>
      </w:r>
      <w:r w:rsidR="003C4C41">
        <w:t>Prevalence of drug use: key findings from the 2002/2003 British Crime Survey</w:t>
      </w:r>
      <w:r w:rsidR="003C4C41">
        <w:t>.</w:t>
      </w:r>
    </w:p>
    <w:p w:rsidR="003C4C41" w:rsidRDefault="00F762A7" w:rsidP="00F762A7">
      <w:pPr>
        <w:pStyle w:val="ListParagraph"/>
        <w:numPr>
          <w:ilvl w:val="0"/>
          <w:numId w:val="1"/>
        </w:numPr>
      </w:pPr>
      <w:r w:rsidRPr="00F762A7">
        <w:t xml:space="preserve">Martins, S. S., </w:t>
      </w:r>
      <w:proofErr w:type="spellStart"/>
      <w:r w:rsidRPr="00F762A7">
        <w:t>Storr</w:t>
      </w:r>
      <w:proofErr w:type="spellEnd"/>
      <w:r w:rsidRPr="00F762A7">
        <w:t xml:space="preserve">, C. L., Alexandre, P. K., &amp; </w:t>
      </w:r>
      <w:proofErr w:type="spellStart"/>
      <w:r w:rsidRPr="00F762A7">
        <w:t>Chilcoat</w:t>
      </w:r>
      <w:proofErr w:type="spellEnd"/>
      <w:r w:rsidRPr="00F762A7">
        <w:t xml:space="preserve">, H. D. (2008). Adolescent ecstasy and other drug use in the National Survey of Parents and Youth: The role of sensation-seeking, parental monitoring and peer's drug use. Addictive </w:t>
      </w:r>
      <w:proofErr w:type="spellStart"/>
      <w:r w:rsidRPr="00F762A7">
        <w:t>behaviors</w:t>
      </w:r>
      <w:proofErr w:type="spellEnd"/>
      <w:r w:rsidRPr="00F762A7">
        <w:t>, 33(7), 919-933.</w:t>
      </w:r>
    </w:p>
    <w:p w:rsidR="00F762A7" w:rsidRDefault="00F762A7" w:rsidP="00F762A7">
      <w:pPr>
        <w:pStyle w:val="ListParagraph"/>
        <w:numPr>
          <w:ilvl w:val="0"/>
          <w:numId w:val="1"/>
        </w:numPr>
      </w:pPr>
      <w:proofErr w:type="spellStart"/>
      <w:r w:rsidRPr="00F762A7">
        <w:t>Palmgreen</w:t>
      </w:r>
      <w:proofErr w:type="spellEnd"/>
      <w:r w:rsidRPr="00F762A7">
        <w:t xml:space="preserve">, P., </w:t>
      </w:r>
      <w:proofErr w:type="spellStart"/>
      <w:r w:rsidRPr="00F762A7">
        <w:t>Donohew</w:t>
      </w:r>
      <w:proofErr w:type="spellEnd"/>
      <w:r w:rsidRPr="00F762A7">
        <w:t xml:space="preserve">, L., </w:t>
      </w:r>
      <w:proofErr w:type="spellStart"/>
      <w:r w:rsidRPr="00F762A7">
        <w:t>Lorch</w:t>
      </w:r>
      <w:proofErr w:type="spellEnd"/>
      <w:r w:rsidRPr="00F762A7">
        <w:t>, E. P., Hoyle, R. H., &amp; Stephenson, M. T. (2001). Television campaigns and adolescent marijuana use: tests of sensation seeking targeting. American Journal of Public Health, 91(2), 292.</w:t>
      </w:r>
    </w:p>
    <w:p w:rsidR="00F762A7" w:rsidRDefault="00F762A7" w:rsidP="00F762A7">
      <w:pPr>
        <w:pStyle w:val="ListParagraph"/>
        <w:numPr>
          <w:ilvl w:val="0"/>
          <w:numId w:val="1"/>
        </w:numPr>
      </w:pPr>
      <w:proofErr w:type="spellStart"/>
      <w:r w:rsidRPr="00F762A7">
        <w:t>Palmgreen</w:t>
      </w:r>
      <w:proofErr w:type="spellEnd"/>
      <w:r w:rsidRPr="00F762A7">
        <w:t xml:space="preserve">, P., &amp; </w:t>
      </w:r>
      <w:proofErr w:type="spellStart"/>
      <w:r w:rsidRPr="00F762A7">
        <w:t>Donohew</w:t>
      </w:r>
      <w:proofErr w:type="spellEnd"/>
      <w:r w:rsidRPr="00F762A7">
        <w:t>, L. (2006). Effective mass media strategies for drug abuse prevention campaigns. In Handbook of drug abuse prevention (pp. 27-43). Springer US.</w:t>
      </w:r>
    </w:p>
    <w:p w:rsidR="00F762A7" w:rsidRPr="004B6DDD" w:rsidRDefault="004B6DDD" w:rsidP="00F762A7">
      <w:pPr>
        <w:pStyle w:val="ListParagraph"/>
        <w:numPr>
          <w:ilvl w:val="0"/>
          <w:numId w:val="1"/>
        </w:numPr>
      </w:pPr>
      <w:r>
        <w:rPr>
          <w:rFonts w:ascii="Arial" w:hAnsi="Arial" w:cs="Arial"/>
          <w:color w:val="222222"/>
          <w:sz w:val="20"/>
          <w:szCs w:val="20"/>
          <w:shd w:val="clear" w:color="auto" w:fill="FFFFFF"/>
        </w:rPr>
        <w:t>Williams, K. C. (2012). Fear appeal theory. </w:t>
      </w:r>
      <w:r>
        <w:rPr>
          <w:rFonts w:ascii="Arial" w:hAnsi="Arial" w:cs="Arial"/>
          <w:i/>
          <w:iCs/>
          <w:color w:val="222222"/>
          <w:sz w:val="20"/>
          <w:szCs w:val="20"/>
          <w:shd w:val="clear" w:color="auto" w:fill="FFFFFF"/>
        </w:rPr>
        <w:t>Research in Business and Economics Journal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w:t>
      </w:r>
      <w:r>
        <w:rPr>
          <w:rFonts w:ascii="Arial" w:hAnsi="Arial" w:cs="Arial"/>
          <w:color w:val="222222"/>
          <w:sz w:val="20"/>
          <w:szCs w:val="20"/>
          <w:shd w:val="clear" w:color="auto" w:fill="FFFFFF"/>
        </w:rPr>
        <w:t>, 1.</w:t>
      </w:r>
    </w:p>
    <w:p w:rsidR="004B6DDD" w:rsidRPr="004B6DDD" w:rsidRDefault="004B6DDD" w:rsidP="00F762A7">
      <w:pPr>
        <w:pStyle w:val="ListParagraph"/>
        <w:numPr>
          <w:ilvl w:val="0"/>
          <w:numId w:val="1"/>
        </w:numPr>
      </w:pPr>
      <w:r>
        <w:rPr>
          <w:rFonts w:ascii="Arial" w:hAnsi="Arial" w:cs="Arial"/>
          <w:color w:val="222222"/>
          <w:sz w:val="20"/>
          <w:szCs w:val="20"/>
          <w:shd w:val="clear" w:color="auto" w:fill="FFFFFF"/>
        </w:rPr>
        <w:t>Witte, K. (1992). Putting the fear back into fear appeals: The extended parallel process model. </w:t>
      </w:r>
      <w:r>
        <w:rPr>
          <w:rFonts w:ascii="Arial" w:hAnsi="Arial" w:cs="Arial"/>
          <w:i/>
          <w:iCs/>
          <w:color w:val="222222"/>
          <w:sz w:val="20"/>
          <w:szCs w:val="20"/>
          <w:shd w:val="clear" w:color="auto" w:fill="FFFFFF"/>
        </w:rPr>
        <w:t>Communications Monographs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59</w:t>
      </w:r>
      <w:r>
        <w:rPr>
          <w:rFonts w:ascii="Arial" w:hAnsi="Arial" w:cs="Arial"/>
          <w:color w:val="222222"/>
          <w:sz w:val="20"/>
          <w:szCs w:val="20"/>
          <w:shd w:val="clear" w:color="auto" w:fill="FFFFFF"/>
        </w:rPr>
        <w:t>(4), 329-349.</w:t>
      </w:r>
    </w:p>
    <w:p w:rsidR="004B6DDD" w:rsidRPr="004B6DDD" w:rsidRDefault="004B6DDD" w:rsidP="00F762A7">
      <w:pPr>
        <w:pStyle w:val="ListParagraph"/>
        <w:numPr>
          <w:ilvl w:val="0"/>
          <w:numId w:val="1"/>
        </w:numPr>
      </w:pPr>
      <w:r>
        <w:rPr>
          <w:rFonts w:ascii="Arial" w:hAnsi="Arial" w:cs="Arial"/>
          <w:color w:val="222222"/>
          <w:sz w:val="20"/>
          <w:szCs w:val="20"/>
          <w:shd w:val="clear" w:color="auto" w:fill="FFFFFF"/>
        </w:rPr>
        <w:t xml:space="preserve">Zuckerman, M., </w:t>
      </w:r>
      <w:proofErr w:type="spellStart"/>
      <w:r>
        <w:rPr>
          <w:rFonts w:ascii="Arial" w:hAnsi="Arial" w:cs="Arial"/>
          <w:color w:val="222222"/>
          <w:sz w:val="20"/>
          <w:szCs w:val="20"/>
          <w:shd w:val="clear" w:color="auto" w:fill="FFFFFF"/>
        </w:rPr>
        <w:t>Kolin</w:t>
      </w:r>
      <w:proofErr w:type="spellEnd"/>
      <w:r>
        <w:rPr>
          <w:rFonts w:ascii="Arial" w:hAnsi="Arial" w:cs="Arial"/>
          <w:color w:val="222222"/>
          <w:sz w:val="20"/>
          <w:szCs w:val="20"/>
          <w:shd w:val="clear" w:color="auto" w:fill="FFFFFF"/>
        </w:rPr>
        <w:t xml:space="preserve">, E. A., Price, L., &amp; </w:t>
      </w:r>
      <w:proofErr w:type="spellStart"/>
      <w:r>
        <w:rPr>
          <w:rFonts w:ascii="Arial" w:hAnsi="Arial" w:cs="Arial"/>
          <w:color w:val="222222"/>
          <w:sz w:val="20"/>
          <w:szCs w:val="20"/>
          <w:shd w:val="clear" w:color="auto" w:fill="FFFFFF"/>
        </w:rPr>
        <w:t>Zoob</w:t>
      </w:r>
      <w:proofErr w:type="spellEnd"/>
      <w:r>
        <w:rPr>
          <w:rFonts w:ascii="Arial" w:hAnsi="Arial" w:cs="Arial"/>
          <w:color w:val="222222"/>
          <w:sz w:val="20"/>
          <w:szCs w:val="20"/>
          <w:shd w:val="clear" w:color="auto" w:fill="FFFFFF"/>
        </w:rPr>
        <w:t>, I. (1964). Development of a sensation-seeking scale. </w:t>
      </w:r>
      <w:r>
        <w:rPr>
          <w:rFonts w:ascii="Arial" w:hAnsi="Arial" w:cs="Arial"/>
          <w:i/>
          <w:iCs/>
          <w:color w:val="222222"/>
          <w:sz w:val="20"/>
          <w:szCs w:val="20"/>
          <w:shd w:val="clear" w:color="auto" w:fill="FFFFFF"/>
        </w:rPr>
        <w:t>Journal of consulting 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28</w:t>
      </w:r>
      <w:r>
        <w:rPr>
          <w:rFonts w:ascii="Arial" w:hAnsi="Arial" w:cs="Arial"/>
          <w:color w:val="222222"/>
          <w:sz w:val="20"/>
          <w:szCs w:val="20"/>
          <w:shd w:val="clear" w:color="auto" w:fill="FFFFFF"/>
        </w:rPr>
        <w:t>(6), 477.</w:t>
      </w:r>
    </w:p>
    <w:p w:rsidR="004B6DDD" w:rsidRDefault="004B6DDD" w:rsidP="004B6DDD">
      <w:pPr>
        <w:pStyle w:val="ListParagraph"/>
        <w:numPr>
          <w:ilvl w:val="0"/>
          <w:numId w:val="1"/>
        </w:numPr>
      </w:pPr>
      <w:r w:rsidRPr="004B6DDD">
        <w:t xml:space="preserve">Zuckerman, M., </w:t>
      </w:r>
      <w:proofErr w:type="spellStart"/>
      <w:r w:rsidRPr="004B6DDD">
        <w:t>Neary</w:t>
      </w:r>
      <w:proofErr w:type="spellEnd"/>
      <w:r w:rsidRPr="004B6DDD">
        <w:t xml:space="preserve">, R. S., &amp; </w:t>
      </w:r>
      <w:proofErr w:type="spellStart"/>
      <w:r w:rsidRPr="004B6DDD">
        <w:t>Brustman</w:t>
      </w:r>
      <w:proofErr w:type="spellEnd"/>
      <w:r w:rsidRPr="004B6DDD">
        <w:t>, B. A. (1970). Sensation-Seeking Scale correlates in experience (smoking, drugs, alcohol," hallucinations," and sex) and preference for complexity (designs). In Proceedings of the Annual Convention of the American Psychological Association. American Psychological Association.</w:t>
      </w:r>
    </w:p>
    <w:p w:rsidR="004B6DDD" w:rsidRDefault="004B6DDD" w:rsidP="004B6DDD">
      <w:pPr>
        <w:pStyle w:val="ListParagraph"/>
        <w:numPr>
          <w:ilvl w:val="0"/>
          <w:numId w:val="1"/>
        </w:numPr>
      </w:pPr>
      <w:r>
        <w:rPr>
          <w:rFonts w:ascii="Arial" w:hAnsi="Arial" w:cs="Arial"/>
          <w:color w:val="222222"/>
          <w:sz w:val="20"/>
          <w:szCs w:val="20"/>
          <w:shd w:val="clear" w:color="auto" w:fill="FFFFFF"/>
        </w:rPr>
        <w:t>Zuckerman, M. (1979). </w:t>
      </w:r>
      <w:r>
        <w:rPr>
          <w:rFonts w:ascii="Arial" w:hAnsi="Arial" w:cs="Arial"/>
          <w:i/>
          <w:iCs/>
          <w:color w:val="222222"/>
          <w:sz w:val="20"/>
          <w:szCs w:val="20"/>
          <w:shd w:val="clear" w:color="auto" w:fill="FFFFFF"/>
        </w:rPr>
        <w:t>Sensation seeking</w:t>
      </w:r>
      <w:r>
        <w:rPr>
          <w:rFonts w:ascii="Arial" w:hAnsi="Arial" w:cs="Arial"/>
          <w:color w:val="222222"/>
          <w:sz w:val="20"/>
          <w:szCs w:val="20"/>
          <w:shd w:val="clear" w:color="auto" w:fill="FFFFFF"/>
        </w:rPr>
        <w:t>. John Wiley &amp; Sons, Ltd.</w:t>
      </w:r>
    </w:p>
    <w:sectPr w:rsidR="004B6D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DD5C16"/>
    <w:multiLevelType w:val="hybridMultilevel"/>
    <w:tmpl w:val="04BAA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470E"/>
    <w:rsid w:val="0001743F"/>
    <w:rsid w:val="00017D3E"/>
    <w:rsid w:val="000570FD"/>
    <w:rsid w:val="000B7855"/>
    <w:rsid w:val="000D7012"/>
    <w:rsid w:val="0019659C"/>
    <w:rsid w:val="002037C8"/>
    <w:rsid w:val="00234C74"/>
    <w:rsid w:val="002E1B96"/>
    <w:rsid w:val="00391755"/>
    <w:rsid w:val="003C4C41"/>
    <w:rsid w:val="004B2BEC"/>
    <w:rsid w:val="004B6DDD"/>
    <w:rsid w:val="00575FC9"/>
    <w:rsid w:val="006378C5"/>
    <w:rsid w:val="00664B2E"/>
    <w:rsid w:val="006918D4"/>
    <w:rsid w:val="006E156E"/>
    <w:rsid w:val="00700E42"/>
    <w:rsid w:val="0073253D"/>
    <w:rsid w:val="00827C5B"/>
    <w:rsid w:val="00834C1B"/>
    <w:rsid w:val="00894302"/>
    <w:rsid w:val="008F2187"/>
    <w:rsid w:val="00904381"/>
    <w:rsid w:val="00952C77"/>
    <w:rsid w:val="00971DC9"/>
    <w:rsid w:val="00A01CE0"/>
    <w:rsid w:val="00A30C0C"/>
    <w:rsid w:val="00A83C09"/>
    <w:rsid w:val="00AF11DD"/>
    <w:rsid w:val="00AF1B62"/>
    <w:rsid w:val="00B0470E"/>
    <w:rsid w:val="00BE1C94"/>
    <w:rsid w:val="00CC49B5"/>
    <w:rsid w:val="00CF3120"/>
    <w:rsid w:val="00D024B4"/>
    <w:rsid w:val="00D90019"/>
    <w:rsid w:val="00DB7928"/>
    <w:rsid w:val="00DD6792"/>
    <w:rsid w:val="00E662C7"/>
    <w:rsid w:val="00F762A7"/>
    <w:rsid w:val="00F82B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93C12"/>
  <w15:chartTrackingRefBased/>
  <w15:docId w15:val="{C3BC84EE-AA21-459B-A09F-EB08BA81B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4C41"/>
    <w:pPr>
      <w:ind w:left="720"/>
      <w:contextualSpacing/>
    </w:pPr>
  </w:style>
  <w:style w:type="character" w:styleId="Hyperlink">
    <w:name w:val="Hyperlink"/>
    <w:basedOn w:val="DefaultParagraphFont"/>
    <w:uiPriority w:val="99"/>
    <w:unhideWhenUsed/>
    <w:rsid w:val="003C4C4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2906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euters.com/article/us-anti-meth/benefits-of-graphic-anti-meth-ads-questioned-idUSTRE4BI5S620081219" TargetMode="External"/><Relationship Id="rId5" Type="http://schemas.openxmlformats.org/officeDocument/2006/relationships/hyperlink" Target="http://challengingdogma-spring2014.blogspot.co.uk/2014/06/the-meth-project-well-funded-but.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885</TotalTime>
  <Pages>5</Pages>
  <Words>2980</Words>
  <Characters>16986</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Dawson</dc:creator>
  <cp:keywords/>
  <dc:description/>
  <cp:lastModifiedBy>Rebecca Dawson (1501085)</cp:lastModifiedBy>
  <cp:revision>17</cp:revision>
  <dcterms:created xsi:type="dcterms:W3CDTF">2018-05-04T14:16:00Z</dcterms:created>
  <dcterms:modified xsi:type="dcterms:W3CDTF">2018-05-11T14:16:00Z</dcterms:modified>
</cp:coreProperties>
</file>