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F882EC" w14:textId="77777777" w:rsidR="00947BFA" w:rsidRDefault="00947BFA" w:rsidP="00BD38D4">
      <w:pPr>
        <w:pStyle w:val="NormalWeb"/>
        <w:spacing w:line="360" w:lineRule="auto"/>
        <w:jc w:val="both"/>
        <w:rPr>
          <w:rFonts w:asciiTheme="minorBidi" w:hAnsiTheme="minorBidi" w:cstheme="minorBidi"/>
          <w:lang w:val="en-GB"/>
        </w:rPr>
      </w:pPr>
    </w:p>
    <w:p w14:paraId="13C3964B" w14:textId="77777777" w:rsidR="00947BFA" w:rsidRDefault="00DA7E0B" w:rsidP="00DA7E0B">
      <w:pPr>
        <w:pStyle w:val="NormalWeb"/>
        <w:spacing w:line="360" w:lineRule="auto"/>
        <w:jc w:val="center"/>
        <w:rPr>
          <w:rFonts w:ascii="Arial" w:hAnsi="Arial" w:cs="Arial"/>
          <w:b/>
        </w:rPr>
      </w:pPr>
      <w:r w:rsidRPr="00DA7E0B">
        <w:rPr>
          <w:rFonts w:ascii="Arial" w:hAnsi="Arial" w:cs="Arial"/>
          <w:b/>
        </w:rPr>
        <w:t>Living with Care: The Older Person</w:t>
      </w:r>
    </w:p>
    <w:p w14:paraId="516966C7" w14:textId="635C5708" w:rsidR="00DA7E0B" w:rsidRDefault="00DA7E0B" w:rsidP="00DA7E0B">
      <w:pPr>
        <w:pStyle w:val="NormalWeb"/>
        <w:spacing w:line="360" w:lineRule="auto"/>
        <w:jc w:val="center"/>
        <w:rPr>
          <w:rFonts w:ascii="Arial" w:hAnsi="Arial" w:cs="Arial"/>
          <w:b/>
        </w:rPr>
      </w:pPr>
      <w:r>
        <w:rPr>
          <w:rFonts w:ascii="Arial" w:hAnsi="Arial" w:cs="Arial"/>
          <w:b/>
        </w:rPr>
        <w:t>CURRENT STRATEGIES AND FUTURE OF TECH</w:t>
      </w:r>
      <w:r w:rsidR="00697B1B">
        <w:rPr>
          <w:rFonts w:ascii="Arial" w:hAnsi="Arial" w:cs="Arial"/>
          <w:b/>
        </w:rPr>
        <w:t>N</w:t>
      </w:r>
      <w:r>
        <w:rPr>
          <w:rFonts w:ascii="Arial" w:hAnsi="Arial" w:cs="Arial"/>
          <w:b/>
        </w:rPr>
        <w:t>O</w:t>
      </w:r>
      <w:r w:rsidR="00697B1B">
        <w:rPr>
          <w:rFonts w:ascii="Arial" w:hAnsi="Arial" w:cs="Arial"/>
          <w:b/>
        </w:rPr>
        <w:t>LO</w:t>
      </w:r>
      <w:r>
        <w:rPr>
          <w:rFonts w:ascii="Arial" w:hAnsi="Arial" w:cs="Arial"/>
          <w:b/>
        </w:rPr>
        <w:t>GICAL INTEGRATION</w:t>
      </w:r>
    </w:p>
    <w:p w14:paraId="5398CE96" w14:textId="77777777" w:rsidR="00DA7E0B" w:rsidRDefault="00DA7E0B" w:rsidP="00DA7E0B">
      <w:pPr>
        <w:pStyle w:val="NormalWeb"/>
        <w:spacing w:line="360" w:lineRule="auto"/>
        <w:jc w:val="center"/>
        <w:rPr>
          <w:rFonts w:ascii="Arial" w:hAnsi="Arial" w:cs="Arial"/>
          <w:b/>
        </w:rPr>
      </w:pPr>
      <w:r>
        <w:rPr>
          <w:rFonts w:ascii="Arial" w:hAnsi="Arial" w:cs="Arial"/>
          <w:b/>
        </w:rPr>
        <w:t>WRITTEN PAPER</w:t>
      </w:r>
    </w:p>
    <w:p w14:paraId="283A38B8" w14:textId="77777777" w:rsidR="002F1D75" w:rsidRDefault="002F1D75" w:rsidP="00DA7E0B">
      <w:pPr>
        <w:pStyle w:val="NormalWeb"/>
        <w:spacing w:line="360" w:lineRule="auto"/>
        <w:jc w:val="center"/>
        <w:rPr>
          <w:rFonts w:ascii="Arial" w:hAnsi="Arial" w:cs="Arial"/>
          <w:b/>
        </w:rPr>
      </w:pPr>
    </w:p>
    <w:p w14:paraId="5C9EB7B8" w14:textId="77777777" w:rsidR="002F1D75" w:rsidRDefault="002F1D75" w:rsidP="00DA7E0B">
      <w:pPr>
        <w:pStyle w:val="NormalWeb"/>
        <w:spacing w:line="360" w:lineRule="auto"/>
        <w:jc w:val="center"/>
        <w:rPr>
          <w:rFonts w:ascii="Arial" w:hAnsi="Arial" w:cs="Arial"/>
          <w:b/>
        </w:rPr>
      </w:pPr>
    </w:p>
    <w:p w14:paraId="4FFAF59E" w14:textId="117D1A01" w:rsidR="002F1D75" w:rsidRDefault="00D5234B" w:rsidP="00DA7E0B">
      <w:pPr>
        <w:pStyle w:val="NormalWeb"/>
        <w:spacing w:line="360" w:lineRule="auto"/>
        <w:jc w:val="center"/>
        <w:rPr>
          <w:rFonts w:asciiTheme="minorBidi" w:hAnsiTheme="minorBidi" w:cstheme="minorBidi"/>
          <w:lang w:val="en-GB"/>
        </w:rPr>
      </w:pPr>
      <w:r>
        <w:rPr>
          <w:rFonts w:asciiTheme="minorBidi" w:hAnsiTheme="minorBidi" w:cstheme="minorBidi"/>
          <w:lang w:val="en-GB"/>
        </w:rPr>
        <w:t>Name</w:t>
      </w:r>
      <w:r w:rsidR="00697B1B">
        <w:rPr>
          <w:rFonts w:asciiTheme="minorBidi" w:hAnsiTheme="minorBidi" w:cstheme="minorBidi"/>
          <w:lang w:val="en-GB"/>
        </w:rPr>
        <w:t>:</w:t>
      </w:r>
      <w:r w:rsidR="00F67059">
        <w:rPr>
          <w:rFonts w:asciiTheme="minorBidi" w:hAnsiTheme="minorBidi" w:cstheme="minorBidi"/>
          <w:lang w:val="en-GB"/>
        </w:rPr>
        <w:t xml:space="preserve"> </w:t>
      </w:r>
      <w:r w:rsidR="00F67059" w:rsidRPr="00F67059">
        <w:rPr>
          <w:rFonts w:asciiTheme="minorBidi" w:hAnsiTheme="minorBidi" w:cstheme="minorBidi"/>
          <w:b/>
          <w:bCs/>
          <w:lang w:val="en-GB"/>
        </w:rPr>
        <w:t>Rotimi Amos</w:t>
      </w:r>
    </w:p>
    <w:p w14:paraId="56C96E23" w14:textId="5A255F5C" w:rsidR="00F67059" w:rsidRPr="00F67059" w:rsidRDefault="00F67059" w:rsidP="00DA7E0B">
      <w:pPr>
        <w:pStyle w:val="NormalWeb"/>
        <w:spacing w:line="360" w:lineRule="auto"/>
        <w:jc w:val="center"/>
        <w:rPr>
          <w:rFonts w:asciiTheme="minorBidi" w:hAnsiTheme="minorBidi" w:cstheme="minorBidi"/>
          <w:lang w:val="fr-FR"/>
        </w:rPr>
      </w:pPr>
      <w:r w:rsidRPr="00F67059">
        <w:rPr>
          <w:rFonts w:asciiTheme="minorBidi" w:hAnsiTheme="minorBidi" w:cstheme="minorBidi"/>
          <w:lang w:val="fr-FR"/>
        </w:rPr>
        <w:t xml:space="preserve">Course code: </w:t>
      </w:r>
      <w:r w:rsidRPr="00F67059">
        <w:rPr>
          <w:rFonts w:asciiTheme="minorBidi" w:hAnsiTheme="minorBidi" w:cstheme="minorBidi"/>
          <w:b/>
          <w:bCs/>
          <w:lang w:val="fr-FR"/>
        </w:rPr>
        <w:t>BMHP6009</w:t>
      </w:r>
    </w:p>
    <w:p w14:paraId="1005EA6B" w14:textId="333CC068" w:rsidR="00F67059" w:rsidRPr="00F67059" w:rsidRDefault="00F67059" w:rsidP="00DA7E0B">
      <w:pPr>
        <w:pStyle w:val="NormalWeb"/>
        <w:spacing w:line="360" w:lineRule="auto"/>
        <w:jc w:val="center"/>
        <w:rPr>
          <w:rFonts w:asciiTheme="minorBidi" w:hAnsiTheme="minorBidi" w:cstheme="minorBidi"/>
          <w:lang w:val="fr-FR"/>
        </w:rPr>
      </w:pPr>
      <w:proofErr w:type="spellStart"/>
      <w:r w:rsidRPr="00F67059">
        <w:rPr>
          <w:rFonts w:asciiTheme="minorBidi" w:hAnsiTheme="minorBidi" w:cstheme="minorBidi"/>
          <w:lang w:val="fr-FR"/>
        </w:rPr>
        <w:t>Lectu</w:t>
      </w:r>
      <w:r>
        <w:rPr>
          <w:rFonts w:asciiTheme="minorBidi" w:hAnsiTheme="minorBidi" w:cstheme="minorBidi"/>
          <w:lang w:val="fr-FR"/>
        </w:rPr>
        <w:t>rer</w:t>
      </w:r>
      <w:proofErr w:type="spellEnd"/>
      <w:r>
        <w:rPr>
          <w:rFonts w:asciiTheme="minorBidi" w:hAnsiTheme="minorBidi" w:cstheme="minorBidi"/>
          <w:lang w:val="fr-FR"/>
        </w:rPr>
        <w:t> :</w:t>
      </w:r>
      <w:r w:rsidRPr="00F67059">
        <w:rPr>
          <w:rFonts w:asciiTheme="minorBidi" w:hAnsiTheme="minorBidi" w:cstheme="minorBidi"/>
          <w:lang w:val="fr-FR"/>
        </w:rPr>
        <w:t xml:space="preserve"> </w:t>
      </w:r>
      <w:r w:rsidRPr="00F67059">
        <w:rPr>
          <w:rFonts w:asciiTheme="minorBidi" w:hAnsiTheme="minorBidi" w:cstheme="minorBidi"/>
          <w:b/>
          <w:bCs/>
          <w:lang w:val="fr-FR"/>
        </w:rPr>
        <w:t>Amanda Owens</w:t>
      </w:r>
    </w:p>
    <w:p w14:paraId="015DB1E7" w14:textId="77777777" w:rsidR="00F67059" w:rsidRDefault="00F67059" w:rsidP="00DA7E0B">
      <w:pPr>
        <w:pStyle w:val="NormalWeb"/>
        <w:spacing w:line="360" w:lineRule="auto"/>
        <w:jc w:val="center"/>
        <w:rPr>
          <w:rFonts w:asciiTheme="minorBidi" w:hAnsiTheme="minorBidi" w:cstheme="minorBidi"/>
          <w:lang w:val="en-GB"/>
        </w:rPr>
      </w:pPr>
    </w:p>
    <w:p w14:paraId="4E363E5F" w14:textId="77777777" w:rsidR="00F67059" w:rsidRDefault="00F67059" w:rsidP="00DA7E0B">
      <w:pPr>
        <w:pStyle w:val="NormalWeb"/>
        <w:spacing w:line="360" w:lineRule="auto"/>
        <w:jc w:val="center"/>
        <w:rPr>
          <w:rFonts w:asciiTheme="minorBidi" w:hAnsiTheme="minorBidi" w:cstheme="minorBidi"/>
          <w:lang w:val="en-GB"/>
        </w:rPr>
      </w:pPr>
    </w:p>
    <w:p w14:paraId="331FAA79" w14:textId="77777777" w:rsidR="00F67059" w:rsidRDefault="00F67059" w:rsidP="00DA7E0B">
      <w:pPr>
        <w:pStyle w:val="NormalWeb"/>
        <w:spacing w:line="360" w:lineRule="auto"/>
        <w:jc w:val="center"/>
        <w:rPr>
          <w:rFonts w:asciiTheme="minorBidi" w:hAnsiTheme="minorBidi" w:cstheme="minorBidi"/>
          <w:lang w:val="en-GB"/>
        </w:rPr>
      </w:pPr>
    </w:p>
    <w:p w14:paraId="651EFA0B" w14:textId="77777777" w:rsidR="00F67059" w:rsidRDefault="00F67059" w:rsidP="00DA7E0B">
      <w:pPr>
        <w:pStyle w:val="NormalWeb"/>
        <w:spacing w:line="360" w:lineRule="auto"/>
        <w:jc w:val="center"/>
        <w:rPr>
          <w:rFonts w:asciiTheme="minorBidi" w:hAnsiTheme="minorBidi" w:cstheme="minorBidi"/>
          <w:lang w:val="en-GB"/>
        </w:rPr>
      </w:pPr>
    </w:p>
    <w:p w14:paraId="638DA99D" w14:textId="77777777" w:rsidR="00F67059" w:rsidRDefault="00F67059" w:rsidP="00DA7E0B">
      <w:pPr>
        <w:pStyle w:val="NormalWeb"/>
        <w:spacing w:line="360" w:lineRule="auto"/>
        <w:jc w:val="center"/>
        <w:rPr>
          <w:rFonts w:asciiTheme="minorBidi" w:hAnsiTheme="minorBidi" w:cstheme="minorBidi"/>
          <w:lang w:val="en-GB"/>
        </w:rPr>
      </w:pPr>
    </w:p>
    <w:p w14:paraId="390AC15A" w14:textId="77777777" w:rsidR="00F67059" w:rsidRDefault="00F67059" w:rsidP="00DA7E0B">
      <w:pPr>
        <w:pStyle w:val="NormalWeb"/>
        <w:spacing w:line="360" w:lineRule="auto"/>
        <w:jc w:val="center"/>
        <w:rPr>
          <w:rFonts w:asciiTheme="minorBidi" w:hAnsiTheme="minorBidi" w:cstheme="minorBidi"/>
          <w:lang w:val="en-GB"/>
        </w:rPr>
      </w:pPr>
    </w:p>
    <w:p w14:paraId="14B2E876" w14:textId="77777777" w:rsidR="00F67059" w:rsidRDefault="00F67059" w:rsidP="00DA7E0B">
      <w:pPr>
        <w:pStyle w:val="NormalWeb"/>
        <w:spacing w:line="360" w:lineRule="auto"/>
        <w:jc w:val="center"/>
        <w:rPr>
          <w:rFonts w:asciiTheme="minorBidi" w:hAnsiTheme="minorBidi" w:cstheme="minorBidi"/>
          <w:lang w:val="en-GB"/>
        </w:rPr>
      </w:pPr>
    </w:p>
    <w:p w14:paraId="692A18B4" w14:textId="77777777" w:rsidR="00F67059" w:rsidRDefault="00F67059" w:rsidP="00DA7E0B">
      <w:pPr>
        <w:pStyle w:val="NormalWeb"/>
        <w:spacing w:line="360" w:lineRule="auto"/>
        <w:jc w:val="center"/>
        <w:rPr>
          <w:rFonts w:asciiTheme="minorBidi" w:hAnsiTheme="minorBidi" w:cstheme="minorBidi"/>
          <w:lang w:val="en-GB"/>
        </w:rPr>
      </w:pPr>
    </w:p>
    <w:p w14:paraId="718152A2" w14:textId="77777777" w:rsidR="00F67059" w:rsidRDefault="00F67059" w:rsidP="00DA7E0B">
      <w:pPr>
        <w:pStyle w:val="NormalWeb"/>
        <w:spacing w:line="360" w:lineRule="auto"/>
        <w:jc w:val="center"/>
        <w:rPr>
          <w:rFonts w:asciiTheme="minorBidi" w:hAnsiTheme="minorBidi" w:cstheme="minorBidi"/>
          <w:lang w:val="en-GB"/>
        </w:rPr>
      </w:pPr>
    </w:p>
    <w:p w14:paraId="449A97F1" w14:textId="7E3314A1" w:rsidR="00D5234B" w:rsidRPr="00DA7E0B" w:rsidRDefault="00F67059" w:rsidP="00DA7E0B">
      <w:pPr>
        <w:pStyle w:val="NormalWeb"/>
        <w:spacing w:line="360" w:lineRule="auto"/>
        <w:jc w:val="center"/>
        <w:rPr>
          <w:rFonts w:asciiTheme="minorBidi" w:hAnsiTheme="minorBidi" w:cstheme="minorBidi"/>
          <w:lang w:val="en-GB"/>
        </w:rPr>
      </w:pPr>
      <w:r>
        <w:rPr>
          <w:rFonts w:asciiTheme="minorBidi" w:hAnsiTheme="minorBidi" w:cstheme="minorBidi"/>
          <w:lang w:val="en-GB"/>
        </w:rPr>
        <w:t xml:space="preserve">                                                                                                           </w:t>
      </w:r>
      <w:r w:rsidR="00D5234B">
        <w:rPr>
          <w:rFonts w:asciiTheme="minorBidi" w:hAnsiTheme="minorBidi" w:cstheme="minorBidi"/>
          <w:lang w:val="en-GB"/>
        </w:rPr>
        <w:t>Dated</w:t>
      </w:r>
      <w:r w:rsidR="00697B1B">
        <w:rPr>
          <w:rFonts w:asciiTheme="minorBidi" w:hAnsiTheme="minorBidi" w:cstheme="minorBidi"/>
          <w:lang w:val="en-GB"/>
        </w:rPr>
        <w:t>:</w:t>
      </w:r>
      <w:r w:rsidR="007600EA">
        <w:rPr>
          <w:rFonts w:asciiTheme="minorBidi" w:hAnsiTheme="minorBidi" w:cstheme="minorBidi"/>
          <w:lang w:val="en-GB"/>
        </w:rPr>
        <w:t xml:space="preserve"> 01/05/2024</w:t>
      </w:r>
    </w:p>
    <w:p w14:paraId="0A0ECBD0" w14:textId="77777777" w:rsidR="00697B1B" w:rsidRDefault="00697B1B" w:rsidP="00BD38D4">
      <w:pPr>
        <w:pStyle w:val="NormalWeb"/>
        <w:spacing w:line="360" w:lineRule="auto"/>
        <w:jc w:val="both"/>
        <w:rPr>
          <w:rFonts w:asciiTheme="minorBidi" w:hAnsiTheme="minorBidi" w:cstheme="minorBidi"/>
          <w:lang w:val="en-GB"/>
        </w:rPr>
      </w:pPr>
    </w:p>
    <w:p w14:paraId="383F4F77" w14:textId="2835409F" w:rsidR="007600EA" w:rsidRDefault="007600EA" w:rsidP="00BD38D4">
      <w:pPr>
        <w:pStyle w:val="NormalWeb"/>
        <w:spacing w:line="360" w:lineRule="auto"/>
        <w:jc w:val="both"/>
        <w:rPr>
          <w:rFonts w:asciiTheme="minorBidi" w:hAnsiTheme="minorBidi" w:cstheme="minorBidi"/>
          <w:lang w:val="en-GB"/>
        </w:rPr>
        <w:sectPr w:rsidR="007600EA" w:rsidSect="00CF02BE">
          <w:pgSz w:w="12240" w:h="15840"/>
          <w:pgMar w:top="1440" w:right="1440" w:bottom="1440" w:left="1440" w:header="720" w:footer="720" w:gutter="0"/>
          <w:cols w:space="720"/>
          <w:docGrid w:linePitch="360"/>
        </w:sectPr>
      </w:pPr>
    </w:p>
    <w:p w14:paraId="45B25D95" w14:textId="7D3B1118" w:rsidR="00366EEC" w:rsidRPr="00744ADF" w:rsidRDefault="00744ADF" w:rsidP="00744ADF">
      <w:pPr>
        <w:pStyle w:val="Heading1"/>
        <w:spacing w:before="0"/>
        <w:jc w:val="center"/>
        <w:rPr>
          <w:rtl/>
        </w:rPr>
      </w:pPr>
      <w:r>
        <w:lastRenderedPageBreak/>
        <w:t>TABLE OF CONTENTS</w:t>
      </w:r>
    </w:p>
    <w:sdt>
      <w:sdtPr>
        <w:rPr>
          <w:rFonts w:asciiTheme="minorBidi" w:eastAsiaTheme="minorHAnsi" w:hAnsiTheme="minorBidi" w:cstheme="minorBidi"/>
          <w:b w:val="0"/>
          <w:bCs w:val="0"/>
          <w:color w:val="auto"/>
          <w:sz w:val="24"/>
          <w:szCs w:val="24"/>
          <w:lang w:val="en-GB" w:eastAsia="en-US"/>
        </w:rPr>
        <w:id w:val="-454566323"/>
        <w:docPartObj>
          <w:docPartGallery w:val="Table of Contents"/>
          <w:docPartUnique/>
        </w:docPartObj>
      </w:sdtPr>
      <w:sdtEndPr>
        <w:rPr>
          <w:rFonts w:asciiTheme="minorHAnsi" w:hAnsiTheme="minorHAnsi"/>
          <w:noProof/>
          <w:sz w:val="22"/>
          <w:szCs w:val="22"/>
        </w:rPr>
      </w:sdtEndPr>
      <w:sdtContent>
        <w:p w14:paraId="66BD04C1" w14:textId="1D6D17E9" w:rsidR="00516EE9" w:rsidRPr="00516EE9" w:rsidRDefault="00516EE9" w:rsidP="007600EA">
          <w:pPr>
            <w:pStyle w:val="TOCHeading"/>
            <w:spacing w:before="0" w:line="480" w:lineRule="auto"/>
            <w:jc w:val="center"/>
            <w:rPr>
              <w:rFonts w:asciiTheme="minorBidi" w:hAnsiTheme="minorBidi" w:cstheme="minorBidi"/>
              <w:color w:val="auto"/>
              <w:sz w:val="24"/>
              <w:szCs w:val="24"/>
            </w:rPr>
          </w:pPr>
        </w:p>
        <w:p w14:paraId="7C6C41F7" w14:textId="26BDCEE3" w:rsidR="00516EE9" w:rsidRPr="00516EE9" w:rsidRDefault="00516EE9" w:rsidP="00516EE9">
          <w:pPr>
            <w:pStyle w:val="TOC1"/>
            <w:tabs>
              <w:tab w:val="right" w:leader="dot" w:pos="9350"/>
            </w:tabs>
            <w:spacing w:line="480" w:lineRule="auto"/>
            <w:jc w:val="both"/>
            <w:rPr>
              <w:rFonts w:asciiTheme="minorBidi" w:hAnsiTheme="minorBidi"/>
              <w:noProof/>
              <w:sz w:val="24"/>
              <w:szCs w:val="24"/>
            </w:rPr>
          </w:pPr>
          <w:r w:rsidRPr="00516EE9">
            <w:rPr>
              <w:rFonts w:asciiTheme="minorBidi" w:hAnsiTheme="minorBidi"/>
              <w:sz w:val="24"/>
              <w:szCs w:val="24"/>
            </w:rPr>
            <w:fldChar w:fldCharType="begin"/>
          </w:r>
          <w:r w:rsidRPr="00516EE9">
            <w:rPr>
              <w:rFonts w:asciiTheme="minorBidi" w:hAnsiTheme="minorBidi"/>
              <w:sz w:val="24"/>
              <w:szCs w:val="24"/>
            </w:rPr>
            <w:instrText xml:space="preserve"> TOC \o "1-3" \h \z \u </w:instrText>
          </w:r>
          <w:r w:rsidRPr="00516EE9">
            <w:rPr>
              <w:rFonts w:asciiTheme="minorBidi" w:hAnsiTheme="minorBidi"/>
              <w:sz w:val="24"/>
              <w:szCs w:val="24"/>
            </w:rPr>
            <w:fldChar w:fldCharType="separate"/>
          </w:r>
          <w:hyperlink w:anchor="_Toc165360693" w:history="1">
            <w:r w:rsidR="00C00FFB">
              <w:rPr>
                <w:rStyle w:val="Hyperlink"/>
                <w:rFonts w:asciiTheme="minorBidi" w:hAnsiTheme="minorBidi"/>
                <w:noProof/>
                <w:sz w:val="24"/>
                <w:szCs w:val="24"/>
              </w:rPr>
              <w:t>AB</w:t>
            </w:r>
            <w:r w:rsidR="00C261D6">
              <w:rPr>
                <w:rStyle w:val="Hyperlink"/>
                <w:rFonts w:asciiTheme="minorBidi" w:hAnsiTheme="minorBidi"/>
                <w:noProof/>
                <w:sz w:val="24"/>
                <w:szCs w:val="24"/>
              </w:rPr>
              <w:t>STRACT</w:t>
            </w:r>
            <w:r w:rsidRPr="00516EE9">
              <w:rPr>
                <w:rFonts w:asciiTheme="minorBidi" w:hAnsiTheme="minorBidi"/>
                <w:noProof/>
                <w:webHidden/>
                <w:sz w:val="24"/>
                <w:szCs w:val="24"/>
              </w:rPr>
              <w:tab/>
            </w:r>
            <w:r w:rsidRPr="00516EE9">
              <w:rPr>
                <w:rFonts w:asciiTheme="minorBidi" w:hAnsiTheme="minorBidi"/>
                <w:noProof/>
                <w:webHidden/>
                <w:sz w:val="24"/>
                <w:szCs w:val="24"/>
              </w:rPr>
              <w:fldChar w:fldCharType="begin"/>
            </w:r>
            <w:r w:rsidRPr="00516EE9">
              <w:rPr>
                <w:rFonts w:asciiTheme="minorBidi" w:hAnsiTheme="minorBidi"/>
                <w:noProof/>
                <w:webHidden/>
                <w:sz w:val="24"/>
                <w:szCs w:val="24"/>
              </w:rPr>
              <w:instrText xml:space="preserve"> PAGEREF _Toc165360693 \h </w:instrText>
            </w:r>
            <w:r w:rsidRPr="00516EE9">
              <w:rPr>
                <w:rFonts w:asciiTheme="minorBidi" w:hAnsiTheme="minorBidi"/>
                <w:noProof/>
                <w:webHidden/>
                <w:sz w:val="24"/>
                <w:szCs w:val="24"/>
              </w:rPr>
            </w:r>
            <w:r w:rsidRPr="00516EE9">
              <w:rPr>
                <w:rFonts w:asciiTheme="minorBidi" w:hAnsiTheme="minorBidi"/>
                <w:noProof/>
                <w:webHidden/>
                <w:sz w:val="24"/>
                <w:szCs w:val="24"/>
              </w:rPr>
              <w:fldChar w:fldCharType="separate"/>
            </w:r>
            <w:r w:rsidR="007600EA">
              <w:rPr>
                <w:rFonts w:asciiTheme="minorBidi" w:hAnsiTheme="minorBidi"/>
                <w:noProof/>
                <w:webHidden/>
                <w:sz w:val="24"/>
                <w:szCs w:val="24"/>
              </w:rPr>
              <w:t>iii</w:t>
            </w:r>
            <w:r w:rsidRPr="00516EE9">
              <w:rPr>
                <w:rFonts w:asciiTheme="minorBidi" w:hAnsiTheme="minorBidi"/>
                <w:noProof/>
                <w:webHidden/>
                <w:sz w:val="24"/>
                <w:szCs w:val="24"/>
              </w:rPr>
              <w:fldChar w:fldCharType="end"/>
            </w:r>
          </w:hyperlink>
        </w:p>
        <w:p w14:paraId="602BA979" w14:textId="2D60EF52" w:rsidR="00516EE9" w:rsidRPr="00516EE9" w:rsidRDefault="00F67059" w:rsidP="00516EE9">
          <w:pPr>
            <w:pStyle w:val="TOC1"/>
            <w:tabs>
              <w:tab w:val="right" w:leader="dot" w:pos="9350"/>
            </w:tabs>
            <w:spacing w:line="480" w:lineRule="auto"/>
            <w:jc w:val="both"/>
            <w:rPr>
              <w:rFonts w:asciiTheme="minorBidi" w:hAnsiTheme="minorBidi"/>
              <w:noProof/>
              <w:sz w:val="24"/>
              <w:szCs w:val="24"/>
            </w:rPr>
          </w:pPr>
          <w:hyperlink w:anchor="_Toc165360694" w:history="1">
            <w:r w:rsidR="00516EE9" w:rsidRPr="00516EE9">
              <w:rPr>
                <w:rStyle w:val="Hyperlink"/>
                <w:rFonts w:asciiTheme="minorBidi" w:hAnsiTheme="minorBidi"/>
                <w:noProof/>
                <w:sz w:val="24"/>
                <w:szCs w:val="24"/>
              </w:rPr>
              <w:t>INTRODUCTION</w:t>
            </w:r>
            <w:r w:rsidR="00516EE9" w:rsidRPr="00516EE9">
              <w:rPr>
                <w:rFonts w:asciiTheme="minorBidi" w:hAnsiTheme="minorBidi"/>
                <w:noProof/>
                <w:webHidden/>
                <w:sz w:val="24"/>
                <w:szCs w:val="24"/>
              </w:rPr>
              <w:tab/>
            </w:r>
            <w:r w:rsidR="00516EE9" w:rsidRPr="00516EE9">
              <w:rPr>
                <w:rFonts w:asciiTheme="minorBidi" w:hAnsiTheme="minorBidi"/>
                <w:noProof/>
                <w:webHidden/>
                <w:sz w:val="24"/>
                <w:szCs w:val="24"/>
              </w:rPr>
              <w:fldChar w:fldCharType="begin"/>
            </w:r>
            <w:r w:rsidR="00516EE9" w:rsidRPr="00516EE9">
              <w:rPr>
                <w:rFonts w:asciiTheme="minorBidi" w:hAnsiTheme="minorBidi"/>
                <w:noProof/>
                <w:webHidden/>
                <w:sz w:val="24"/>
                <w:szCs w:val="24"/>
              </w:rPr>
              <w:instrText xml:space="preserve"> PAGEREF _Toc165360694 \h </w:instrText>
            </w:r>
            <w:r w:rsidR="00516EE9" w:rsidRPr="00516EE9">
              <w:rPr>
                <w:rFonts w:asciiTheme="minorBidi" w:hAnsiTheme="minorBidi"/>
                <w:noProof/>
                <w:webHidden/>
                <w:sz w:val="24"/>
                <w:szCs w:val="24"/>
              </w:rPr>
            </w:r>
            <w:r w:rsidR="00516EE9" w:rsidRPr="00516EE9">
              <w:rPr>
                <w:rFonts w:asciiTheme="minorBidi" w:hAnsiTheme="minorBidi"/>
                <w:noProof/>
                <w:webHidden/>
                <w:sz w:val="24"/>
                <w:szCs w:val="24"/>
              </w:rPr>
              <w:fldChar w:fldCharType="separate"/>
            </w:r>
            <w:r w:rsidR="007600EA">
              <w:rPr>
                <w:rFonts w:asciiTheme="minorBidi" w:hAnsiTheme="minorBidi"/>
                <w:noProof/>
                <w:webHidden/>
                <w:sz w:val="24"/>
                <w:szCs w:val="24"/>
              </w:rPr>
              <w:t>1</w:t>
            </w:r>
            <w:r w:rsidR="00516EE9" w:rsidRPr="00516EE9">
              <w:rPr>
                <w:rFonts w:asciiTheme="minorBidi" w:hAnsiTheme="minorBidi"/>
                <w:noProof/>
                <w:webHidden/>
                <w:sz w:val="24"/>
                <w:szCs w:val="24"/>
              </w:rPr>
              <w:fldChar w:fldCharType="end"/>
            </w:r>
          </w:hyperlink>
        </w:p>
        <w:p w14:paraId="061173D5" w14:textId="2F6F2287" w:rsidR="00516EE9" w:rsidRPr="00516EE9" w:rsidRDefault="00F67059" w:rsidP="00516EE9">
          <w:pPr>
            <w:pStyle w:val="TOC1"/>
            <w:tabs>
              <w:tab w:val="right" w:leader="dot" w:pos="9350"/>
            </w:tabs>
            <w:spacing w:line="480" w:lineRule="auto"/>
            <w:jc w:val="both"/>
            <w:rPr>
              <w:rFonts w:asciiTheme="minorBidi" w:hAnsiTheme="minorBidi"/>
              <w:noProof/>
              <w:sz w:val="24"/>
              <w:szCs w:val="24"/>
            </w:rPr>
          </w:pPr>
          <w:hyperlink w:anchor="_Toc165360695" w:history="1">
            <w:r w:rsidR="00516EE9" w:rsidRPr="00516EE9">
              <w:rPr>
                <w:rStyle w:val="Hyperlink"/>
                <w:rFonts w:asciiTheme="minorBidi" w:hAnsiTheme="minorBidi"/>
                <w:noProof/>
                <w:sz w:val="24"/>
                <w:szCs w:val="24"/>
              </w:rPr>
              <w:t>EVALUATION OF THE CURRENT STRATEGIES FOR OLDER CARE</w:t>
            </w:r>
            <w:r w:rsidR="00516EE9" w:rsidRPr="00516EE9">
              <w:rPr>
                <w:rFonts w:asciiTheme="minorBidi" w:hAnsiTheme="minorBidi"/>
                <w:noProof/>
                <w:webHidden/>
                <w:sz w:val="24"/>
                <w:szCs w:val="24"/>
              </w:rPr>
              <w:tab/>
            </w:r>
            <w:r w:rsidR="00516EE9" w:rsidRPr="00516EE9">
              <w:rPr>
                <w:rFonts w:asciiTheme="minorBidi" w:hAnsiTheme="minorBidi"/>
                <w:noProof/>
                <w:webHidden/>
                <w:sz w:val="24"/>
                <w:szCs w:val="24"/>
              </w:rPr>
              <w:fldChar w:fldCharType="begin"/>
            </w:r>
            <w:r w:rsidR="00516EE9" w:rsidRPr="00516EE9">
              <w:rPr>
                <w:rFonts w:asciiTheme="minorBidi" w:hAnsiTheme="minorBidi"/>
                <w:noProof/>
                <w:webHidden/>
                <w:sz w:val="24"/>
                <w:szCs w:val="24"/>
              </w:rPr>
              <w:instrText xml:space="preserve"> PAGEREF _Toc165360695 \h </w:instrText>
            </w:r>
            <w:r w:rsidR="00516EE9" w:rsidRPr="00516EE9">
              <w:rPr>
                <w:rFonts w:asciiTheme="minorBidi" w:hAnsiTheme="minorBidi"/>
                <w:noProof/>
                <w:webHidden/>
                <w:sz w:val="24"/>
                <w:szCs w:val="24"/>
              </w:rPr>
            </w:r>
            <w:r w:rsidR="00516EE9" w:rsidRPr="00516EE9">
              <w:rPr>
                <w:rFonts w:asciiTheme="minorBidi" w:hAnsiTheme="minorBidi"/>
                <w:noProof/>
                <w:webHidden/>
                <w:sz w:val="24"/>
                <w:szCs w:val="24"/>
              </w:rPr>
              <w:fldChar w:fldCharType="separate"/>
            </w:r>
            <w:r w:rsidR="007600EA">
              <w:rPr>
                <w:rFonts w:asciiTheme="minorBidi" w:hAnsiTheme="minorBidi"/>
                <w:noProof/>
                <w:webHidden/>
                <w:sz w:val="24"/>
                <w:szCs w:val="24"/>
              </w:rPr>
              <w:t>2</w:t>
            </w:r>
            <w:r w:rsidR="00516EE9" w:rsidRPr="00516EE9">
              <w:rPr>
                <w:rFonts w:asciiTheme="minorBidi" w:hAnsiTheme="minorBidi"/>
                <w:noProof/>
                <w:webHidden/>
                <w:sz w:val="24"/>
                <w:szCs w:val="24"/>
              </w:rPr>
              <w:fldChar w:fldCharType="end"/>
            </w:r>
          </w:hyperlink>
        </w:p>
        <w:p w14:paraId="669562EE" w14:textId="032B57F5" w:rsidR="00516EE9" w:rsidRPr="00516EE9" w:rsidRDefault="00F67059" w:rsidP="00516EE9">
          <w:pPr>
            <w:pStyle w:val="TOC2"/>
            <w:tabs>
              <w:tab w:val="right" w:leader="dot" w:pos="9350"/>
            </w:tabs>
            <w:spacing w:line="480" w:lineRule="auto"/>
            <w:jc w:val="both"/>
            <w:rPr>
              <w:rFonts w:asciiTheme="minorBidi" w:hAnsiTheme="minorBidi"/>
              <w:noProof/>
              <w:sz w:val="24"/>
              <w:szCs w:val="24"/>
            </w:rPr>
          </w:pPr>
          <w:hyperlink w:anchor="_Toc165360696" w:history="1">
            <w:r w:rsidR="00516EE9" w:rsidRPr="00516EE9">
              <w:rPr>
                <w:rStyle w:val="Hyperlink"/>
                <w:rFonts w:asciiTheme="minorBidi" w:hAnsiTheme="minorBidi"/>
                <w:noProof/>
                <w:sz w:val="24"/>
                <w:szCs w:val="24"/>
              </w:rPr>
              <w:t>The Global Scenario</w:t>
            </w:r>
            <w:r w:rsidR="00516EE9" w:rsidRPr="00516EE9">
              <w:rPr>
                <w:rFonts w:asciiTheme="minorBidi" w:hAnsiTheme="minorBidi"/>
                <w:noProof/>
                <w:webHidden/>
                <w:sz w:val="24"/>
                <w:szCs w:val="24"/>
              </w:rPr>
              <w:tab/>
            </w:r>
            <w:r w:rsidR="00516EE9" w:rsidRPr="00516EE9">
              <w:rPr>
                <w:rFonts w:asciiTheme="minorBidi" w:hAnsiTheme="minorBidi"/>
                <w:noProof/>
                <w:webHidden/>
                <w:sz w:val="24"/>
                <w:szCs w:val="24"/>
              </w:rPr>
              <w:fldChar w:fldCharType="begin"/>
            </w:r>
            <w:r w:rsidR="00516EE9" w:rsidRPr="00516EE9">
              <w:rPr>
                <w:rFonts w:asciiTheme="minorBidi" w:hAnsiTheme="minorBidi"/>
                <w:noProof/>
                <w:webHidden/>
                <w:sz w:val="24"/>
                <w:szCs w:val="24"/>
              </w:rPr>
              <w:instrText xml:space="preserve"> PAGEREF _Toc165360696 \h </w:instrText>
            </w:r>
            <w:r w:rsidR="00516EE9" w:rsidRPr="00516EE9">
              <w:rPr>
                <w:rFonts w:asciiTheme="minorBidi" w:hAnsiTheme="minorBidi"/>
                <w:noProof/>
                <w:webHidden/>
                <w:sz w:val="24"/>
                <w:szCs w:val="24"/>
              </w:rPr>
            </w:r>
            <w:r w:rsidR="00516EE9" w:rsidRPr="00516EE9">
              <w:rPr>
                <w:rFonts w:asciiTheme="minorBidi" w:hAnsiTheme="minorBidi"/>
                <w:noProof/>
                <w:webHidden/>
                <w:sz w:val="24"/>
                <w:szCs w:val="24"/>
              </w:rPr>
              <w:fldChar w:fldCharType="separate"/>
            </w:r>
            <w:r w:rsidR="007600EA">
              <w:rPr>
                <w:rFonts w:asciiTheme="minorBidi" w:hAnsiTheme="minorBidi"/>
                <w:noProof/>
                <w:webHidden/>
                <w:sz w:val="24"/>
                <w:szCs w:val="24"/>
              </w:rPr>
              <w:t>2</w:t>
            </w:r>
            <w:r w:rsidR="00516EE9" w:rsidRPr="00516EE9">
              <w:rPr>
                <w:rFonts w:asciiTheme="minorBidi" w:hAnsiTheme="minorBidi"/>
                <w:noProof/>
                <w:webHidden/>
                <w:sz w:val="24"/>
                <w:szCs w:val="24"/>
              </w:rPr>
              <w:fldChar w:fldCharType="end"/>
            </w:r>
          </w:hyperlink>
        </w:p>
        <w:p w14:paraId="0C013947" w14:textId="35286758" w:rsidR="00516EE9" w:rsidRPr="00516EE9" w:rsidRDefault="00F67059" w:rsidP="00516EE9">
          <w:pPr>
            <w:pStyle w:val="TOC2"/>
            <w:tabs>
              <w:tab w:val="right" w:leader="dot" w:pos="9350"/>
            </w:tabs>
            <w:spacing w:line="480" w:lineRule="auto"/>
            <w:jc w:val="both"/>
            <w:rPr>
              <w:rFonts w:asciiTheme="minorBidi" w:hAnsiTheme="minorBidi"/>
              <w:noProof/>
              <w:sz w:val="24"/>
              <w:szCs w:val="24"/>
            </w:rPr>
          </w:pPr>
          <w:hyperlink w:anchor="_Toc165360697" w:history="1">
            <w:r w:rsidR="00516EE9" w:rsidRPr="00516EE9">
              <w:rPr>
                <w:rStyle w:val="Hyperlink"/>
                <w:rFonts w:asciiTheme="minorBidi" w:hAnsiTheme="minorBidi"/>
                <w:noProof/>
                <w:sz w:val="24"/>
                <w:szCs w:val="24"/>
              </w:rPr>
              <w:t>The National Scenario of the United Kingdom</w:t>
            </w:r>
            <w:r w:rsidR="00516EE9" w:rsidRPr="00516EE9">
              <w:rPr>
                <w:rFonts w:asciiTheme="minorBidi" w:hAnsiTheme="minorBidi"/>
                <w:noProof/>
                <w:webHidden/>
                <w:sz w:val="24"/>
                <w:szCs w:val="24"/>
              </w:rPr>
              <w:tab/>
            </w:r>
            <w:r w:rsidR="00516EE9" w:rsidRPr="00516EE9">
              <w:rPr>
                <w:rFonts w:asciiTheme="minorBidi" w:hAnsiTheme="minorBidi"/>
                <w:noProof/>
                <w:webHidden/>
                <w:sz w:val="24"/>
                <w:szCs w:val="24"/>
              </w:rPr>
              <w:fldChar w:fldCharType="begin"/>
            </w:r>
            <w:r w:rsidR="00516EE9" w:rsidRPr="00516EE9">
              <w:rPr>
                <w:rFonts w:asciiTheme="minorBidi" w:hAnsiTheme="minorBidi"/>
                <w:noProof/>
                <w:webHidden/>
                <w:sz w:val="24"/>
                <w:szCs w:val="24"/>
              </w:rPr>
              <w:instrText xml:space="preserve"> PAGEREF _Toc165360697 \h </w:instrText>
            </w:r>
            <w:r w:rsidR="00516EE9" w:rsidRPr="00516EE9">
              <w:rPr>
                <w:rFonts w:asciiTheme="minorBidi" w:hAnsiTheme="minorBidi"/>
                <w:noProof/>
                <w:webHidden/>
                <w:sz w:val="24"/>
                <w:szCs w:val="24"/>
              </w:rPr>
            </w:r>
            <w:r w:rsidR="00516EE9" w:rsidRPr="00516EE9">
              <w:rPr>
                <w:rFonts w:asciiTheme="minorBidi" w:hAnsiTheme="minorBidi"/>
                <w:noProof/>
                <w:webHidden/>
                <w:sz w:val="24"/>
                <w:szCs w:val="24"/>
              </w:rPr>
              <w:fldChar w:fldCharType="separate"/>
            </w:r>
            <w:r w:rsidR="007600EA">
              <w:rPr>
                <w:rFonts w:asciiTheme="minorBidi" w:hAnsiTheme="minorBidi"/>
                <w:noProof/>
                <w:webHidden/>
                <w:sz w:val="24"/>
                <w:szCs w:val="24"/>
              </w:rPr>
              <w:t>3</w:t>
            </w:r>
            <w:r w:rsidR="00516EE9" w:rsidRPr="00516EE9">
              <w:rPr>
                <w:rFonts w:asciiTheme="minorBidi" w:hAnsiTheme="minorBidi"/>
                <w:noProof/>
                <w:webHidden/>
                <w:sz w:val="24"/>
                <w:szCs w:val="24"/>
              </w:rPr>
              <w:fldChar w:fldCharType="end"/>
            </w:r>
          </w:hyperlink>
        </w:p>
        <w:p w14:paraId="25FF1317" w14:textId="39DDA4D4" w:rsidR="00516EE9" w:rsidRPr="00516EE9" w:rsidRDefault="00F67059" w:rsidP="00516EE9">
          <w:pPr>
            <w:pStyle w:val="TOC2"/>
            <w:tabs>
              <w:tab w:val="right" w:leader="dot" w:pos="9350"/>
            </w:tabs>
            <w:spacing w:line="480" w:lineRule="auto"/>
            <w:jc w:val="both"/>
            <w:rPr>
              <w:rFonts w:asciiTheme="minorBidi" w:hAnsiTheme="minorBidi"/>
              <w:noProof/>
              <w:sz w:val="24"/>
              <w:szCs w:val="24"/>
            </w:rPr>
          </w:pPr>
          <w:hyperlink w:anchor="_Toc165360698" w:history="1">
            <w:r w:rsidR="00516EE9" w:rsidRPr="00516EE9">
              <w:rPr>
                <w:rStyle w:val="Hyperlink"/>
                <w:rFonts w:asciiTheme="minorBidi" w:hAnsiTheme="minorBidi"/>
                <w:noProof/>
                <w:sz w:val="24"/>
                <w:szCs w:val="24"/>
              </w:rPr>
              <w:t>The Local Context</w:t>
            </w:r>
            <w:r w:rsidR="00516EE9" w:rsidRPr="00516EE9">
              <w:rPr>
                <w:rFonts w:asciiTheme="minorBidi" w:hAnsiTheme="minorBidi"/>
                <w:noProof/>
                <w:webHidden/>
                <w:sz w:val="24"/>
                <w:szCs w:val="24"/>
              </w:rPr>
              <w:tab/>
            </w:r>
            <w:r w:rsidR="00516EE9" w:rsidRPr="00516EE9">
              <w:rPr>
                <w:rFonts w:asciiTheme="minorBidi" w:hAnsiTheme="minorBidi"/>
                <w:noProof/>
                <w:webHidden/>
                <w:sz w:val="24"/>
                <w:szCs w:val="24"/>
              </w:rPr>
              <w:fldChar w:fldCharType="begin"/>
            </w:r>
            <w:r w:rsidR="00516EE9" w:rsidRPr="00516EE9">
              <w:rPr>
                <w:rFonts w:asciiTheme="minorBidi" w:hAnsiTheme="minorBidi"/>
                <w:noProof/>
                <w:webHidden/>
                <w:sz w:val="24"/>
                <w:szCs w:val="24"/>
              </w:rPr>
              <w:instrText xml:space="preserve"> PAGEREF _Toc165360698 \h </w:instrText>
            </w:r>
            <w:r w:rsidR="00516EE9" w:rsidRPr="00516EE9">
              <w:rPr>
                <w:rFonts w:asciiTheme="minorBidi" w:hAnsiTheme="minorBidi"/>
                <w:noProof/>
                <w:webHidden/>
                <w:sz w:val="24"/>
                <w:szCs w:val="24"/>
              </w:rPr>
            </w:r>
            <w:r w:rsidR="00516EE9" w:rsidRPr="00516EE9">
              <w:rPr>
                <w:rFonts w:asciiTheme="minorBidi" w:hAnsiTheme="minorBidi"/>
                <w:noProof/>
                <w:webHidden/>
                <w:sz w:val="24"/>
                <w:szCs w:val="24"/>
              </w:rPr>
              <w:fldChar w:fldCharType="separate"/>
            </w:r>
            <w:r w:rsidR="007600EA">
              <w:rPr>
                <w:rFonts w:asciiTheme="minorBidi" w:hAnsiTheme="minorBidi"/>
                <w:noProof/>
                <w:webHidden/>
                <w:sz w:val="24"/>
                <w:szCs w:val="24"/>
              </w:rPr>
              <w:t>4</w:t>
            </w:r>
            <w:r w:rsidR="00516EE9" w:rsidRPr="00516EE9">
              <w:rPr>
                <w:rFonts w:asciiTheme="minorBidi" w:hAnsiTheme="minorBidi"/>
                <w:noProof/>
                <w:webHidden/>
                <w:sz w:val="24"/>
                <w:szCs w:val="24"/>
              </w:rPr>
              <w:fldChar w:fldCharType="end"/>
            </w:r>
          </w:hyperlink>
        </w:p>
        <w:p w14:paraId="458C18F8" w14:textId="086F1C09" w:rsidR="00516EE9" w:rsidRPr="00516EE9" w:rsidRDefault="00F67059" w:rsidP="00516EE9">
          <w:pPr>
            <w:pStyle w:val="TOC1"/>
            <w:tabs>
              <w:tab w:val="right" w:leader="dot" w:pos="9350"/>
            </w:tabs>
            <w:spacing w:line="480" w:lineRule="auto"/>
            <w:jc w:val="both"/>
            <w:rPr>
              <w:rFonts w:asciiTheme="minorBidi" w:hAnsiTheme="minorBidi"/>
              <w:noProof/>
              <w:sz w:val="24"/>
              <w:szCs w:val="24"/>
            </w:rPr>
          </w:pPr>
          <w:hyperlink w:anchor="_Toc165360699" w:history="1">
            <w:r w:rsidR="00516EE9" w:rsidRPr="00516EE9">
              <w:rPr>
                <w:rStyle w:val="Hyperlink"/>
                <w:rFonts w:asciiTheme="minorBidi" w:hAnsiTheme="minorBidi"/>
                <w:noProof/>
                <w:sz w:val="24"/>
                <w:szCs w:val="24"/>
              </w:rPr>
              <w:t>THE FUTURE PROSPECTS FOR ICT AND AI IN OLDER CARE</w:t>
            </w:r>
            <w:r w:rsidR="00516EE9" w:rsidRPr="00516EE9">
              <w:rPr>
                <w:rFonts w:asciiTheme="minorBidi" w:hAnsiTheme="minorBidi"/>
                <w:noProof/>
                <w:webHidden/>
                <w:sz w:val="24"/>
                <w:szCs w:val="24"/>
              </w:rPr>
              <w:tab/>
            </w:r>
            <w:r w:rsidR="00516EE9" w:rsidRPr="00516EE9">
              <w:rPr>
                <w:rFonts w:asciiTheme="minorBidi" w:hAnsiTheme="minorBidi"/>
                <w:noProof/>
                <w:webHidden/>
                <w:sz w:val="24"/>
                <w:szCs w:val="24"/>
              </w:rPr>
              <w:fldChar w:fldCharType="begin"/>
            </w:r>
            <w:r w:rsidR="00516EE9" w:rsidRPr="00516EE9">
              <w:rPr>
                <w:rFonts w:asciiTheme="minorBidi" w:hAnsiTheme="minorBidi"/>
                <w:noProof/>
                <w:webHidden/>
                <w:sz w:val="24"/>
                <w:szCs w:val="24"/>
              </w:rPr>
              <w:instrText xml:space="preserve"> PAGEREF _Toc165360699 \h </w:instrText>
            </w:r>
            <w:r w:rsidR="00516EE9" w:rsidRPr="00516EE9">
              <w:rPr>
                <w:rFonts w:asciiTheme="minorBidi" w:hAnsiTheme="minorBidi"/>
                <w:noProof/>
                <w:webHidden/>
                <w:sz w:val="24"/>
                <w:szCs w:val="24"/>
              </w:rPr>
            </w:r>
            <w:r w:rsidR="00516EE9" w:rsidRPr="00516EE9">
              <w:rPr>
                <w:rFonts w:asciiTheme="minorBidi" w:hAnsiTheme="minorBidi"/>
                <w:noProof/>
                <w:webHidden/>
                <w:sz w:val="24"/>
                <w:szCs w:val="24"/>
              </w:rPr>
              <w:fldChar w:fldCharType="separate"/>
            </w:r>
            <w:r w:rsidR="007600EA">
              <w:rPr>
                <w:rFonts w:asciiTheme="minorBidi" w:hAnsiTheme="minorBidi"/>
                <w:noProof/>
                <w:webHidden/>
                <w:sz w:val="24"/>
                <w:szCs w:val="24"/>
              </w:rPr>
              <w:t>5</w:t>
            </w:r>
            <w:r w:rsidR="00516EE9" w:rsidRPr="00516EE9">
              <w:rPr>
                <w:rFonts w:asciiTheme="minorBidi" w:hAnsiTheme="minorBidi"/>
                <w:noProof/>
                <w:webHidden/>
                <w:sz w:val="24"/>
                <w:szCs w:val="24"/>
              </w:rPr>
              <w:fldChar w:fldCharType="end"/>
            </w:r>
          </w:hyperlink>
        </w:p>
        <w:p w14:paraId="2AA6C41A" w14:textId="0E3CFCD9" w:rsidR="00516EE9" w:rsidRPr="00516EE9" w:rsidRDefault="00F67059" w:rsidP="00516EE9">
          <w:pPr>
            <w:pStyle w:val="TOC1"/>
            <w:tabs>
              <w:tab w:val="right" w:leader="dot" w:pos="9350"/>
            </w:tabs>
            <w:spacing w:line="480" w:lineRule="auto"/>
            <w:jc w:val="both"/>
            <w:rPr>
              <w:rFonts w:asciiTheme="minorBidi" w:hAnsiTheme="minorBidi"/>
              <w:noProof/>
              <w:sz w:val="24"/>
              <w:szCs w:val="24"/>
            </w:rPr>
          </w:pPr>
          <w:hyperlink w:anchor="_Toc165360700" w:history="1">
            <w:r w:rsidR="00516EE9" w:rsidRPr="00516EE9">
              <w:rPr>
                <w:rStyle w:val="Hyperlink"/>
                <w:rFonts w:asciiTheme="minorBidi" w:hAnsiTheme="minorBidi"/>
                <w:noProof/>
                <w:sz w:val="24"/>
                <w:szCs w:val="24"/>
              </w:rPr>
              <w:t>CONCLUSION AND RECOMMENDATIONS</w:t>
            </w:r>
            <w:r w:rsidR="00516EE9" w:rsidRPr="00516EE9">
              <w:rPr>
                <w:rFonts w:asciiTheme="minorBidi" w:hAnsiTheme="minorBidi"/>
                <w:noProof/>
                <w:webHidden/>
                <w:sz w:val="24"/>
                <w:szCs w:val="24"/>
              </w:rPr>
              <w:tab/>
            </w:r>
            <w:r w:rsidR="00516EE9" w:rsidRPr="00516EE9">
              <w:rPr>
                <w:rFonts w:asciiTheme="minorBidi" w:hAnsiTheme="minorBidi"/>
                <w:noProof/>
                <w:webHidden/>
                <w:sz w:val="24"/>
                <w:szCs w:val="24"/>
              </w:rPr>
              <w:fldChar w:fldCharType="begin"/>
            </w:r>
            <w:r w:rsidR="00516EE9" w:rsidRPr="00516EE9">
              <w:rPr>
                <w:rFonts w:asciiTheme="minorBidi" w:hAnsiTheme="minorBidi"/>
                <w:noProof/>
                <w:webHidden/>
                <w:sz w:val="24"/>
                <w:szCs w:val="24"/>
              </w:rPr>
              <w:instrText xml:space="preserve"> PAGEREF _Toc165360700 \h </w:instrText>
            </w:r>
            <w:r w:rsidR="00516EE9" w:rsidRPr="00516EE9">
              <w:rPr>
                <w:rFonts w:asciiTheme="minorBidi" w:hAnsiTheme="minorBidi"/>
                <w:noProof/>
                <w:webHidden/>
                <w:sz w:val="24"/>
                <w:szCs w:val="24"/>
              </w:rPr>
            </w:r>
            <w:r w:rsidR="00516EE9" w:rsidRPr="00516EE9">
              <w:rPr>
                <w:rFonts w:asciiTheme="minorBidi" w:hAnsiTheme="minorBidi"/>
                <w:noProof/>
                <w:webHidden/>
                <w:sz w:val="24"/>
                <w:szCs w:val="24"/>
              </w:rPr>
              <w:fldChar w:fldCharType="separate"/>
            </w:r>
            <w:r w:rsidR="007600EA">
              <w:rPr>
                <w:rFonts w:asciiTheme="minorBidi" w:hAnsiTheme="minorBidi"/>
                <w:noProof/>
                <w:webHidden/>
                <w:sz w:val="24"/>
                <w:szCs w:val="24"/>
              </w:rPr>
              <w:t>7</w:t>
            </w:r>
            <w:r w:rsidR="00516EE9" w:rsidRPr="00516EE9">
              <w:rPr>
                <w:rFonts w:asciiTheme="minorBidi" w:hAnsiTheme="minorBidi"/>
                <w:noProof/>
                <w:webHidden/>
                <w:sz w:val="24"/>
                <w:szCs w:val="24"/>
              </w:rPr>
              <w:fldChar w:fldCharType="end"/>
            </w:r>
          </w:hyperlink>
        </w:p>
        <w:p w14:paraId="5ABDE366" w14:textId="6B33A04E" w:rsidR="00516EE9" w:rsidRPr="00516EE9" w:rsidRDefault="00F67059" w:rsidP="00516EE9">
          <w:pPr>
            <w:pStyle w:val="TOC1"/>
            <w:tabs>
              <w:tab w:val="right" w:leader="dot" w:pos="9350"/>
            </w:tabs>
            <w:spacing w:line="480" w:lineRule="auto"/>
            <w:jc w:val="both"/>
            <w:rPr>
              <w:rFonts w:asciiTheme="minorBidi" w:hAnsiTheme="minorBidi"/>
              <w:noProof/>
              <w:sz w:val="24"/>
              <w:szCs w:val="24"/>
            </w:rPr>
          </w:pPr>
          <w:hyperlink w:anchor="_Toc165360701" w:history="1">
            <w:r w:rsidR="00516EE9" w:rsidRPr="00516EE9">
              <w:rPr>
                <w:rStyle w:val="Hyperlink"/>
                <w:rFonts w:asciiTheme="minorBidi" w:hAnsiTheme="minorBidi"/>
                <w:noProof/>
                <w:sz w:val="24"/>
                <w:szCs w:val="24"/>
                <w:lang w:bidi="ur-PK"/>
              </w:rPr>
              <w:t>REFERENCES</w:t>
            </w:r>
            <w:r w:rsidR="00516EE9" w:rsidRPr="00516EE9">
              <w:rPr>
                <w:rFonts w:asciiTheme="minorBidi" w:hAnsiTheme="minorBidi"/>
                <w:noProof/>
                <w:webHidden/>
                <w:sz w:val="24"/>
                <w:szCs w:val="24"/>
              </w:rPr>
              <w:tab/>
            </w:r>
            <w:r w:rsidR="00516EE9" w:rsidRPr="00516EE9">
              <w:rPr>
                <w:rFonts w:asciiTheme="minorBidi" w:hAnsiTheme="minorBidi"/>
                <w:noProof/>
                <w:webHidden/>
                <w:sz w:val="24"/>
                <w:szCs w:val="24"/>
              </w:rPr>
              <w:fldChar w:fldCharType="begin"/>
            </w:r>
            <w:r w:rsidR="00516EE9" w:rsidRPr="00516EE9">
              <w:rPr>
                <w:rFonts w:asciiTheme="minorBidi" w:hAnsiTheme="minorBidi"/>
                <w:noProof/>
                <w:webHidden/>
                <w:sz w:val="24"/>
                <w:szCs w:val="24"/>
              </w:rPr>
              <w:instrText xml:space="preserve"> PAGEREF _Toc165360701 \h </w:instrText>
            </w:r>
            <w:r w:rsidR="00516EE9" w:rsidRPr="00516EE9">
              <w:rPr>
                <w:rFonts w:asciiTheme="minorBidi" w:hAnsiTheme="minorBidi"/>
                <w:noProof/>
                <w:webHidden/>
                <w:sz w:val="24"/>
                <w:szCs w:val="24"/>
              </w:rPr>
            </w:r>
            <w:r w:rsidR="00516EE9" w:rsidRPr="00516EE9">
              <w:rPr>
                <w:rFonts w:asciiTheme="minorBidi" w:hAnsiTheme="minorBidi"/>
                <w:noProof/>
                <w:webHidden/>
                <w:sz w:val="24"/>
                <w:szCs w:val="24"/>
              </w:rPr>
              <w:fldChar w:fldCharType="separate"/>
            </w:r>
            <w:r w:rsidR="007600EA">
              <w:rPr>
                <w:rFonts w:asciiTheme="minorBidi" w:hAnsiTheme="minorBidi"/>
                <w:noProof/>
                <w:webHidden/>
                <w:sz w:val="24"/>
                <w:szCs w:val="24"/>
              </w:rPr>
              <w:t>8</w:t>
            </w:r>
            <w:r w:rsidR="00516EE9" w:rsidRPr="00516EE9">
              <w:rPr>
                <w:rFonts w:asciiTheme="minorBidi" w:hAnsiTheme="minorBidi"/>
                <w:noProof/>
                <w:webHidden/>
                <w:sz w:val="24"/>
                <w:szCs w:val="24"/>
              </w:rPr>
              <w:fldChar w:fldCharType="end"/>
            </w:r>
          </w:hyperlink>
        </w:p>
        <w:p w14:paraId="41C9A49C" w14:textId="77777777" w:rsidR="00516EE9" w:rsidRDefault="00516EE9" w:rsidP="00516EE9">
          <w:pPr>
            <w:spacing w:line="480" w:lineRule="auto"/>
            <w:jc w:val="both"/>
          </w:pPr>
          <w:r w:rsidRPr="00516EE9">
            <w:rPr>
              <w:rFonts w:asciiTheme="minorBidi" w:hAnsiTheme="minorBidi"/>
              <w:b/>
              <w:bCs/>
              <w:noProof/>
              <w:sz w:val="24"/>
              <w:szCs w:val="24"/>
            </w:rPr>
            <w:fldChar w:fldCharType="end"/>
          </w:r>
        </w:p>
      </w:sdtContent>
    </w:sdt>
    <w:p w14:paraId="6FBCC55E" w14:textId="5F5E8BF7" w:rsidR="00697B1B" w:rsidRDefault="00697B1B" w:rsidP="00BD38D4">
      <w:pPr>
        <w:pStyle w:val="NormalWeb"/>
        <w:spacing w:line="360" w:lineRule="auto"/>
        <w:jc w:val="both"/>
        <w:rPr>
          <w:rFonts w:asciiTheme="minorBidi" w:hAnsiTheme="minorBidi" w:cstheme="minorBidi"/>
          <w:lang w:val="en-GB"/>
        </w:rPr>
      </w:pPr>
      <w:r>
        <w:rPr>
          <w:rFonts w:asciiTheme="minorBidi" w:hAnsiTheme="minorBidi" w:cstheme="minorBidi"/>
          <w:lang w:val="en-GB"/>
        </w:rPr>
        <w:br w:type="page"/>
      </w:r>
    </w:p>
    <w:p w14:paraId="4DCE636C" w14:textId="77777777" w:rsidR="00962496" w:rsidRPr="009807F3" w:rsidRDefault="00962496" w:rsidP="00962496">
      <w:pPr>
        <w:pStyle w:val="Heading1"/>
        <w:jc w:val="center"/>
      </w:pPr>
      <w:bookmarkStart w:id="0" w:name="_Toc165360693"/>
      <w:r w:rsidRPr="009807F3">
        <w:lastRenderedPageBreak/>
        <w:t>A</w:t>
      </w:r>
      <w:bookmarkEnd w:id="0"/>
      <w:r>
        <w:t>BSTRACT</w:t>
      </w:r>
    </w:p>
    <w:p w14:paraId="01C8F9A2" w14:textId="77777777" w:rsidR="00962496" w:rsidRPr="009807F3" w:rsidRDefault="00962496" w:rsidP="00962496">
      <w:pPr>
        <w:pStyle w:val="NormalWeb"/>
        <w:spacing w:line="360" w:lineRule="auto"/>
        <w:jc w:val="both"/>
        <w:rPr>
          <w:rFonts w:asciiTheme="minorBidi" w:hAnsiTheme="minorBidi" w:cstheme="minorBidi"/>
          <w:rtl/>
          <w:lang w:val="en-GB"/>
        </w:rPr>
      </w:pPr>
      <w:r w:rsidRPr="009807F3">
        <w:rPr>
          <w:rFonts w:asciiTheme="minorBidi" w:hAnsiTheme="minorBidi" w:cstheme="minorBidi"/>
          <w:lang w:val="en-GB"/>
        </w:rPr>
        <w:t xml:space="preserve">Ageing population is not only a (local or national) problem in the United Kingdom. The World Health Organisation has recognised ageing as a global challenge. This report critically evaluated current health and social care among adults at global, national, and local levels. It also examined the use of information communication technology and artificial intelligence for future care strategies. The report concludes that the current provision of health and social care is experiencing a burden due to the complete reliance on the human workforce. Despite continuous efforts, the UK and its countries are facing problems in implementing the global older care strategy, along with the strategies devised at the national and local levels. The findings emphasised increasing ICT and AI in future strategies. Some recommendations include training, investment in research, learning digital skills among older adults, and reducing the digital divide. </w:t>
      </w:r>
    </w:p>
    <w:p w14:paraId="483E03D0" w14:textId="77777777" w:rsidR="00697B1B" w:rsidRDefault="00697B1B" w:rsidP="00BD38D4">
      <w:pPr>
        <w:pStyle w:val="NormalWeb"/>
        <w:spacing w:line="360" w:lineRule="auto"/>
        <w:jc w:val="both"/>
        <w:rPr>
          <w:rFonts w:asciiTheme="minorBidi" w:hAnsiTheme="minorBidi" w:cstheme="minorBidi"/>
          <w:lang w:val="en-GB"/>
        </w:rPr>
        <w:sectPr w:rsidR="00697B1B" w:rsidSect="00CF02BE">
          <w:footerReference w:type="default" r:id="rId7"/>
          <w:pgSz w:w="12240" w:h="15840"/>
          <w:pgMar w:top="1440" w:right="1440" w:bottom="1440" w:left="1440" w:header="720" w:footer="720" w:gutter="0"/>
          <w:pgNumType w:fmt="lowerRoman"/>
          <w:cols w:space="720"/>
          <w:docGrid w:linePitch="360"/>
        </w:sectPr>
      </w:pPr>
    </w:p>
    <w:p w14:paraId="136CD615" w14:textId="77777777" w:rsidR="00BD38D4" w:rsidRPr="00C00FFB" w:rsidRDefault="00366EEC" w:rsidP="00C00FFB">
      <w:pPr>
        <w:pStyle w:val="Heading1"/>
        <w:rPr>
          <w:rFonts w:cstheme="minorBidi"/>
        </w:rPr>
      </w:pPr>
      <w:bookmarkStart w:id="1" w:name="_Toc165360694"/>
      <w:r w:rsidRPr="009807F3">
        <w:lastRenderedPageBreak/>
        <w:t>INTRODUCTION</w:t>
      </w:r>
      <w:bookmarkEnd w:id="1"/>
    </w:p>
    <w:p w14:paraId="515D98AD" w14:textId="77777777" w:rsidR="00BD38D4" w:rsidRPr="009807F3" w:rsidRDefault="00BD38D4" w:rsidP="003F314A">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Ageing population is not only a (local or national) problem in the United Kingdom</w:t>
      </w:r>
      <w:r w:rsidR="004A589A">
        <w:rPr>
          <w:rFonts w:asciiTheme="minorBidi" w:hAnsiTheme="minorBidi" w:cstheme="minorBidi"/>
          <w:lang w:val="en-GB"/>
        </w:rPr>
        <w:t xml:space="preserve"> (</w:t>
      </w:r>
      <w:proofErr w:type="spellStart"/>
      <w:r w:rsidR="004A589A">
        <w:rPr>
          <w:rFonts w:asciiTheme="minorBidi" w:hAnsiTheme="minorBidi" w:cstheme="minorBidi"/>
          <w:lang w:val="en-GB"/>
        </w:rPr>
        <w:t>S</w:t>
      </w:r>
      <w:r w:rsidR="00E62A1E">
        <w:rPr>
          <w:rFonts w:asciiTheme="minorBidi" w:hAnsiTheme="minorBidi" w:cstheme="minorBidi"/>
          <w:lang w:val="en-GB"/>
        </w:rPr>
        <w:t>z</w:t>
      </w:r>
      <w:r w:rsidR="004A589A">
        <w:rPr>
          <w:rFonts w:asciiTheme="minorBidi" w:hAnsiTheme="minorBidi" w:cstheme="minorBidi"/>
          <w:lang w:val="en-GB"/>
        </w:rPr>
        <w:t>czepura</w:t>
      </w:r>
      <w:proofErr w:type="spellEnd"/>
      <w:r w:rsidR="004A589A">
        <w:rPr>
          <w:rFonts w:asciiTheme="minorBidi" w:hAnsiTheme="minorBidi" w:cstheme="minorBidi"/>
          <w:lang w:val="en-GB"/>
        </w:rPr>
        <w:t xml:space="preserve"> et al., 2023)</w:t>
      </w:r>
      <w:r w:rsidRPr="009807F3">
        <w:rPr>
          <w:rFonts w:asciiTheme="minorBidi" w:hAnsiTheme="minorBidi" w:cstheme="minorBidi"/>
          <w:lang w:val="en-GB"/>
        </w:rPr>
        <w:t>. The World Health Organisation has recognised ageing as a global challenge. The increase in non-communicable diseases, such as heart attacks, diabetes, vascular diseases, and psychological diseases has put a global burden on the health system</w:t>
      </w:r>
      <w:r w:rsidR="003F314A">
        <w:rPr>
          <w:rFonts w:asciiTheme="minorBidi" w:hAnsiTheme="minorBidi" w:cstheme="minorBidi"/>
          <w:lang w:val="en-GB"/>
        </w:rPr>
        <w:t xml:space="preserve"> (</w:t>
      </w:r>
      <w:proofErr w:type="spellStart"/>
      <w:r w:rsidR="003F314A">
        <w:rPr>
          <w:rFonts w:asciiTheme="minorBidi" w:hAnsiTheme="minorBidi" w:cstheme="minorBidi"/>
          <w:lang w:val="en-GB"/>
        </w:rPr>
        <w:t>Szczepura</w:t>
      </w:r>
      <w:proofErr w:type="spellEnd"/>
      <w:r w:rsidR="003F314A">
        <w:rPr>
          <w:rFonts w:asciiTheme="minorBidi" w:hAnsiTheme="minorBidi" w:cstheme="minorBidi"/>
          <w:lang w:val="en-GB"/>
        </w:rPr>
        <w:t xml:space="preserve"> et al., 2023)</w:t>
      </w:r>
      <w:r w:rsidRPr="009807F3">
        <w:rPr>
          <w:rFonts w:asciiTheme="minorBidi" w:hAnsiTheme="minorBidi" w:cstheme="minorBidi"/>
          <w:lang w:val="en-GB"/>
        </w:rPr>
        <w:t xml:space="preserve">. </w:t>
      </w:r>
    </w:p>
    <w:p w14:paraId="0EB715C5" w14:textId="77777777" w:rsidR="00BD38D4" w:rsidRPr="009807F3" w:rsidRDefault="00BD38D4" w:rsidP="007B26DE">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Furthermore, the burden on the health system is expected to increase in the coming years. According to the United Nations</w:t>
      </w:r>
      <w:r w:rsidR="00E93DE6">
        <w:rPr>
          <w:rFonts w:asciiTheme="minorBidi" w:hAnsiTheme="minorBidi" w:cstheme="minorBidi"/>
          <w:lang w:val="en-GB"/>
        </w:rPr>
        <w:t xml:space="preserve"> (2023)</w:t>
      </w:r>
      <w:r w:rsidRPr="009807F3">
        <w:rPr>
          <w:rFonts w:asciiTheme="minorBidi" w:hAnsiTheme="minorBidi" w:cstheme="minorBidi"/>
          <w:lang w:val="en-GB"/>
        </w:rPr>
        <w:t>, the 761 million older populations in 2021 are expected to grow by 1 billion by 2030 and 1.6 billion by 2050.  The UK has also been showing similar growth trends. The Office for National Statistics</w:t>
      </w:r>
      <w:r w:rsidR="007B26DE">
        <w:rPr>
          <w:rFonts w:asciiTheme="minorBidi" w:hAnsiTheme="minorBidi" w:cstheme="minorBidi"/>
          <w:lang w:val="en-GB"/>
        </w:rPr>
        <w:t xml:space="preserve"> (2024)</w:t>
      </w:r>
      <w:r w:rsidRPr="009807F3">
        <w:rPr>
          <w:rFonts w:asciiTheme="minorBidi" w:hAnsiTheme="minorBidi" w:cstheme="minorBidi"/>
          <w:lang w:val="en-GB"/>
        </w:rPr>
        <w:t xml:space="preserve"> reveals that the older population will increase up to 2.6 million within 15 years, escalating the contribution to the total populace by 3.5%.  Thus, the global, national, and local figures are not only increasing the burden, but also emphasising the need to improve the current initiatives and policies for older care, along with acknowledging the prospects for technological integration to ensure quality care and decreased burden. </w:t>
      </w:r>
    </w:p>
    <w:p w14:paraId="20CACFC7" w14:textId="77777777" w:rsidR="00BD38D4"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This report critically evaluated and compared the current local, national, and global provision of older care services. The report also intends to link the evaluation of current policies with the examination of prospects for older care, specifically focusing on the intervention of information communication technology and artificial intelligence in care practises. </w:t>
      </w:r>
    </w:p>
    <w:p w14:paraId="098811A5" w14:textId="26E3B9EC" w:rsidR="00697B1B" w:rsidRDefault="00697B1B" w:rsidP="00BD38D4">
      <w:pPr>
        <w:pStyle w:val="NormalWeb"/>
        <w:spacing w:line="360" w:lineRule="auto"/>
        <w:jc w:val="both"/>
        <w:rPr>
          <w:rFonts w:asciiTheme="minorBidi" w:hAnsiTheme="minorBidi" w:cstheme="minorBidi"/>
          <w:lang w:val="en-GB"/>
        </w:rPr>
      </w:pPr>
      <w:r>
        <w:rPr>
          <w:rFonts w:asciiTheme="minorBidi" w:hAnsiTheme="minorBidi" w:cstheme="minorBidi"/>
          <w:lang w:val="en-GB"/>
        </w:rPr>
        <w:br w:type="page"/>
      </w:r>
    </w:p>
    <w:p w14:paraId="1F91DB63" w14:textId="77777777" w:rsidR="00BD38D4" w:rsidRPr="009807F3" w:rsidRDefault="00BD38D4" w:rsidP="00F2716A">
      <w:pPr>
        <w:pStyle w:val="Heading1"/>
      </w:pPr>
      <w:bookmarkStart w:id="2" w:name="_Toc165360695"/>
      <w:r w:rsidRPr="009807F3">
        <w:lastRenderedPageBreak/>
        <w:t>E</w:t>
      </w:r>
      <w:r w:rsidR="00F2716A">
        <w:t>VALUATION OF THE CURRENT STRATEGIES FOR OLDER CARE</w:t>
      </w:r>
      <w:bookmarkEnd w:id="2"/>
    </w:p>
    <w:p w14:paraId="399A337E" w14:textId="77777777" w:rsidR="00BD38D4" w:rsidRPr="009807F3" w:rsidRDefault="00BD38D4" w:rsidP="00F2716A">
      <w:pPr>
        <w:pStyle w:val="Heading2"/>
      </w:pPr>
      <w:bookmarkStart w:id="3" w:name="_Toc165360696"/>
      <w:r w:rsidRPr="009807F3">
        <w:t>The Global Scenario</w:t>
      </w:r>
      <w:bookmarkEnd w:id="3"/>
    </w:p>
    <w:p w14:paraId="6BB62A09" w14:textId="77777777" w:rsidR="00BD38D4" w:rsidRPr="009807F3" w:rsidRDefault="00BD38D4" w:rsidP="00B2197B">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The broader scenario in the worldwide context helps paint a comparative picture by discussing national and local scenarios in the next sections. The World Health Organisation has termed the current decade as “</w:t>
      </w:r>
      <w:r w:rsidR="00E57ABF">
        <w:rPr>
          <w:rFonts w:asciiTheme="minorBidi" w:hAnsiTheme="minorBidi" w:cstheme="minorBidi"/>
          <w:lang w:val="en-GB"/>
        </w:rPr>
        <w:t xml:space="preserve">the Decade of </w:t>
      </w:r>
      <w:r w:rsidRPr="009807F3">
        <w:rPr>
          <w:rFonts w:asciiTheme="minorBidi" w:hAnsiTheme="minorBidi" w:cstheme="minorBidi"/>
          <w:lang w:val="en-GB"/>
        </w:rPr>
        <w:t>healthy ageing</w:t>
      </w:r>
      <w:r w:rsidR="008F315D">
        <w:rPr>
          <w:rFonts w:asciiTheme="minorBidi" w:hAnsiTheme="minorBidi" w:cstheme="minorBidi"/>
          <w:lang w:val="en-GB"/>
        </w:rPr>
        <w:t xml:space="preserve"> (World Health Organisation, 2020)</w:t>
      </w:r>
      <w:r w:rsidRPr="009807F3">
        <w:rPr>
          <w:rFonts w:asciiTheme="minorBidi" w:hAnsiTheme="minorBidi" w:cstheme="minorBidi"/>
          <w:lang w:val="en-GB"/>
        </w:rPr>
        <w:t>.” The institution and its member states developed a global strategy for healthy ageing that aligns with sustainable development goals (SDGs). It means that the WHO emphasises member nations to align older care with the targets of SDGs, such as SDG8 (decent work and economic growth), SDG5 (gender equality), SDG3 (good health and well-being), SDG10 (decreased inequalities), and SDG2 (zero hunger)</w:t>
      </w:r>
      <w:r w:rsidR="00C826E0">
        <w:rPr>
          <w:rFonts w:asciiTheme="minorBidi" w:hAnsiTheme="minorBidi" w:cstheme="minorBidi"/>
          <w:lang w:val="en-GB"/>
        </w:rPr>
        <w:t xml:space="preserve"> (Rudnicka et al., 2020)</w:t>
      </w:r>
      <w:r w:rsidRPr="009807F3">
        <w:rPr>
          <w:rFonts w:asciiTheme="minorBidi" w:hAnsiTheme="minorBidi" w:cstheme="minorBidi"/>
          <w:lang w:val="en-GB"/>
        </w:rPr>
        <w:t>. All of these SDGs were covered in the global strategy for older healthcare, emphasising the countries to improve them through coordination with national and local settings</w:t>
      </w:r>
      <w:r w:rsidR="00D26395">
        <w:rPr>
          <w:rFonts w:asciiTheme="minorBidi" w:hAnsiTheme="minorBidi" w:cstheme="minorBidi"/>
          <w:lang w:val="en-GB"/>
        </w:rPr>
        <w:t xml:space="preserve"> (Rudnicka et al., 2020)</w:t>
      </w:r>
      <w:r w:rsidRPr="009807F3">
        <w:rPr>
          <w:rFonts w:asciiTheme="minorBidi" w:hAnsiTheme="minorBidi" w:cstheme="minorBidi"/>
          <w:lang w:val="en-GB"/>
        </w:rPr>
        <w:t>. However, the growing number of inequalities and lack of healthcare inequalities highlight the failure in the successful implementation</w:t>
      </w:r>
      <w:r w:rsidR="00B2197B">
        <w:rPr>
          <w:rFonts w:asciiTheme="minorBidi" w:hAnsiTheme="minorBidi" w:cstheme="minorBidi"/>
          <w:lang w:val="en-GB"/>
        </w:rPr>
        <w:t xml:space="preserve"> (</w:t>
      </w:r>
      <w:proofErr w:type="spellStart"/>
      <w:r w:rsidR="00B2197B">
        <w:rPr>
          <w:rFonts w:asciiTheme="minorBidi" w:hAnsiTheme="minorBidi" w:cstheme="minorBidi"/>
          <w:lang w:val="en-GB"/>
        </w:rPr>
        <w:t>Shevelkova</w:t>
      </w:r>
      <w:proofErr w:type="spellEnd"/>
      <w:r w:rsidR="00B2197B">
        <w:rPr>
          <w:rFonts w:asciiTheme="minorBidi" w:hAnsiTheme="minorBidi" w:cstheme="minorBidi"/>
          <w:lang w:val="en-GB"/>
        </w:rPr>
        <w:t xml:space="preserve">, </w:t>
      </w:r>
      <w:r w:rsidR="00F1343D">
        <w:rPr>
          <w:rFonts w:asciiTheme="minorBidi" w:hAnsiTheme="minorBidi" w:cstheme="minorBidi"/>
          <w:lang w:val="en-GB"/>
        </w:rPr>
        <w:t xml:space="preserve">Mattocks, and </w:t>
      </w:r>
      <w:proofErr w:type="spellStart"/>
      <w:r w:rsidR="00A1536A">
        <w:rPr>
          <w:rFonts w:asciiTheme="minorBidi" w:hAnsiTheme="minorBidi" w:cstheme="minorBidi"/>
          <w:lang w:val="en-GB"/>
        </w:rPr>
        <w:t>Lafortune</w:t>
      </w:r>
      <w:proofErr w:type="spellEnd"/>
      <w:r w:rsidR="00A1536A">
        <w:rPr>
          <w:rFonts w:asciiTheme="minorBidi" w:hAnsiTheme="minorBidi" w:cstheme="minorBidi"/>
          <w:lang w:val="en-GB"/>
        </w:rPr>
        <w:t>, 2023)</w:t>
      </w:r>
      <w:r w:rsidRPr="009807F3">
        <w:rPr>
          <w:rFonts w:asciiTheme="minorBidi" w:hAnsiTheme="minorBidi" w:cstheme="minorBidi"/>
          <w:lang w:val="en-GB"/>
        </w:rPr>
        <w:t>. In addition, there has been no extension of the global strategy after 2020, as the focus seems to have shifted to COVID-19. The latter does not include technologies in older health and social care, which is a big lagging. </w:t>
      </w:r>
    </w:p>
    <w:p w14:paraId="46777D20" w14:textId="590D22EF" w:rsidR="00BD38D4" w:rsidRPr="009807F3"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The United States has developed a strategy for ageing 2020-25. It is a broad strategy, which covers different areas, such as research, interventions, and improved understanding. These strategies are related to early diagnosis, preventing, treating, and mitigating ageing challenges, decreasing stress among patients and families, and increasing the involvement of elders in the healthcare system</w:t>
      </w:r>
      <w:r w:rsidR="00B00643">
        <w:rPr>
          <w:rFonts w:asciiTheme="minorBidi" w:hAnsiTheme="minorBidi" w:cstheme="minorBidi"/>
          <w:lang w:val="en-GB"/>
        </w:rPr>
        <w:t xml:space="preserve"> (National Institute for Ageing, 2020)</w:t>
      </w:r>
      <w:r w:rsidRPr="009807F3">
        <w:rPr>
          <w:rFonts w:asciiTheme="minorBidi" w:hAnsiTheme="minorBidi" w:cstheme="minorBidi"/>
          <w:lang w:val="en-GB"/>
        </w:rPr>
        <w:t>. Nonetheless, lack of funding creates obstacles to implementation. Another U.S.-based strategy is known as the “Program for all-inclusive care for the elderly.” Berry et al. (2023) find the latter as more inclined toward person-</w:t>
      </w:r>
      <w:proofErr w:type="spellStart"/>
      <w:r w:rsidRPr="009807F3">
        <w:rPr>
          <w:rFonts w:asciiTheme="minorBidi" w:hAnsiTheme="minorBidi" w:cstheme="minorBidi"/>
          <w:lang w:val="en-GB"/>
        </w:rPr>
        <w:t>centered</w:t>
      </w:r>
      <w:proofErr w:type="spellEnd"/>
      <w:r w:rsidRPr="009807F3">
        <w:rPr>
          <w:rFonts w:asciiTheme="minorBidi" w:hAnsiTheme="minorBidi" w:cstheme="minorBidi"/>
          <w:lang w:val="en-GB"/>
        </w:rPr>
        <w:t xml:space="preserve"> care, which is customised for individuals. Thus, it is acknowledged as more humane because it offers health and social care at the same time. However, the use of information technology and artificial intelligence has not been identified in the U.S.</w:t>
      </w:r>
    </w:p>
    <w:p w14:paraId="71081727" w14:textId="77777777" w:rsidR="00BD38D4" w:rsidRPr="009807F3" w:rsidRDefault="00BD38D4" w:rsidP="00F2716A">
      <w:pPr>
        <w:pStyle w:val="Heading2"/>
      </w:pPr>
      <w:bookmarkStart w:id="4" w:name="_Toc165360697"/>
      <w:r w:rsidRPr="009807F3">
        <w:lastRenderedPageBreak/>
        <w:t>The National Scenario of the United Kingdom</w:t>
      </w:r>
      <w:bookmarkEnd w:id="4"/>
    </w:p>
    <w:p w14:paraId="5E6D2DE6" w14:textId="77777777" w:rsidR="00BD38D4" w:rsidRPr="009807F3" w:rsidRDefault="00BD38D4" w:rsidP="00D4314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The current strategies in the national and local context are based on the National Service Framework, which was introduced in 2001</w:t>
      </w:r>
      <w:r w:rsidR="00020B98">
        <w:rPr>
          <w:rFonts w:asciiTheme="minorBidi" w:hAnsiTheme="minorBidi" w:cstheme="minorBidi"/>
          <w:lang w:val="en-GB"/>
        </w:rPr>
        <w:t xml:space="preserve"> (Department of Health, 2001)</w:t>
      </w:r>
      <w:r w:rsidRPr="009807F3">
        <w:rPr>
          <w:rFonts w:asciiTheme="minorBidi" w:hAnsiTheme="minorBidi" w:cstheme="minorBidi"/>
          <w:lang w:val="en-GB"/>
        </w:rPr>
        <w:t>. Acting as the foundation for the current strategies and initiative, it is focused on integration between local and national bodies. This framework revolves around a person-centred care model, which focuses on tailoring individual needs with respect, equality, and dignity</w:t>
      </w:r>
      <w:r w:rsidR="00E323EA">
        <w:rPr>
          <w:rFonts w:asciiTheme="minorBidi" w:hAnsiTheme="minorBidi" w:cstheme="minorBidi"/>
          <w:lang w:val="en-GB"/>
        </w:rPr>
        <w:t xml:space="preserve"> (</w:t>
      </w:r>
      <w:proofErr w:type="spellStart"/>
      <w:r w:rsidR="00E323EA">
        <w:rPr>
          <w:rFonts w:asciiTheme="minorBidi" w:hAnsiTheme="minorBidi" w:cstheme="minorBidi"/>
          <w:lang w:val="en-GB"/>
        </w:rPr>
        <w:t>Banarjee</w:t>
      </w:r>
      <w:proofErr w:type="spellEnd"/>
      <w:r w:rsidR="00E323EA">
        <w:rPr>
          <w:rFonts w:asciiTheme="minorBidi" w:hAnsiTheme="minorBidi" w:cstheme="minorBidi"/>
          <w:lang w:val="en-GB"/>
        </w:rPr>
        <w:t xml:space="preserve"> et al., 2021)</w:t>
      </w:r>
      <w:r w:rsidRPr="009807F3">
        <w:rPr>
          <w:rFonts w:asciiTheme="minorBidi" w:hAnsiTheme="minorBidi" w:cstheme="minorBidi"/>
          <w:lang w:val="en-GB"/>
        </w:rPr>
        <w:t>. However, the framework accentuates local and national bodies to focus on implementing evidence-based strategies. In addition, this framework does not only help statuary bodies, but also the non-statuary and non-profit organisations for older care. It also aligns with the U.S based strategy of PACE, which ensures </w:t>
      </w:r>
    </w:p>
    <w:p w14:paraId="1D86BEC7" w14:textId="6802221C" w:rsidR="00BD38D4" w:rsidRPr="009807F3"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Nevertheless, the growth in an older population with a higher number of diseases resulted in the Equality Act of 2010, which transformed into the Health and Social Care Act of 2022. The evaluation of this act reveals that it consists of several strategies, that focus on improving older care on a national level. The areas covered by the strategies under the Health and Social Care Act (2022) incorporate effective communication for increased involvement of the older population in care, and end-of-life and palliative care. It also emphasises collaborative strategies between the National Health Service (NHS), other statuary organisations, non-statuary organisations, and volunteer settings. According to the King's Fund (2022), the Health and Social Care Act of 2022 discourages competition and supports integrated care systems that appreciate the collaboration between organisations, regardless of their geographic location within the UK.</w:t>
      </w:r>
    </w:p>
    <w:p w14:paraId="55519330" w14:textId="77777777" w:rsidR="00BD38D4" w:rsidRPr="009807F3"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 xml:space="preserve">The critical evaluation also indicates some cons of health and social care. One of them is the strategy of decreased public funding, which leads to inequality and discrimination in the accessibility to services (Schlepper and Dodsworth, 2023). The findings by Dudley and Mutebi (2022) reveal that the Health and Social Care Act consists of a range of strategies for effective and collaborative older care. However, cuts in funding decline the effective implementation of strategies. 10% of older adults are unable </w:t>
      </w:r>
      <w:r w:rsidRPr="009807F3">
        <w:rPr>
          <w:rFonts w:asciiTheme="minorBidi" w:hAnsiTheme="minorBidi" w:cstheme="minorBidi"/>
          <w:lang w:val="en-GB"/>
        </w:rPr>
        <w:lastRenderedPageBreak/>
        <w:t>to access care facilities at national and local levels, demonstrating the ineffective of implementing strategies</w:t>
      </w:r>
      <w:r w:rsidR="00E321CD">
        <w:rPr>
          <w:rFonts w:asciiTheme="minorBidi" w:hAnsiTheme="minorBidi" w:cstheme="minorBidi"/>
          <w:lang w:val="en-GB"/>
        </w:rPr>
        <w:t xml:space="preserve"> (Abdi et al., 2019)</w:t>
      </w:r>
      <w:r w:rsidRPr="009807F3">
        <w:rPr>
          <w:rFonts w:asciiTheme="minorBidi" w:hAnsiTheme="minorBidi" w:cstheme="minorBidi"/>
          <w:lang w:val="en-GB"/>
        </w:rPr>
        <w:t>. It also does not align with the global strategy of WHO, along with contrasting the sustainable development goals. </w:t>
      </w:r>
    </w:p>
    <w:p w14:paraId="35886970" w14:textId="7EC1E69D" w:rsidR="00BD38D4" w:rsidRPr="009807F3" w:rsidRDefault="00BD38D4" w:rsidP="00AB00C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 xml:space="preserve">Additionally, more than 0.1 million elders die without befitting from palliative services. The lack of funding for implementing strategies of the Health and Social Care Act has also increased financial strains for older adults. Not only palliative care, but also dementia care has declined on a national level, despite implementation of “living </w:t>
      </w:r>
      <w:r w:rsidR="00AC2E48">
        <w:rPr>
          <w:rFonts w:asciiTheme="minorBidi" w:hAnsiTheme="minorBidi" w:cstheme="minorBidi"/>
          <w:lang w:val="en-GB"/>
        </w:rPr>
        <w:t xml:space="preserve">well </w:t>
      </w:r>
      <w:r w:rsidRPr="009807F3">
        <w:rPr>
          <w:rFonts w:asciiTheme="minorBidi" w:hAnsiTheme="minorBidi" w:cstheme="minorBidi"/>
          <w:lang w:val="en-GB"/>
        </w:rPr>
        <w:t>with dementia: a national strategy</w:t>
      </w:r>
      <w:r w:rsidR="009D370D">
        <w:rPr>
          <w:rFonts w:asciiTheme="minorBidi" w:hAnsiTheme="minorBidi" w:cstheme="minorBidi"/>
          <w:lang w:val="en-GB"/>
        </w:rPr>
        <w:t xml:space="preserve"> (Department of Health, 2023)</w:t>
      </w:r>
      <w:r w:rsidRPr="009807F3">
        <w:rPr>
          <w:rFonts w:asciiTheme="minorBidi" w:hAnsiTheme="minorBidi" w:cstheme="minorBidi"/>
          <w:lang w:val="en-GB"/>
        </w:rPr>
        <w:t>.” According to </w:t>
      </w:r>
      <w:r w:rsidR="00120B1C">
        <w:rPr>
          <w:rFonts w:asciiTheme="minorBidi" w:hAnsiTheme="minorBidi" w:cstheme="minorBidi"/>
          <w:lang w:val="en-GB"/>
        </w:rPr>
        <w:t>Benham-</w:t>
      </w:r>
      <w:proofErr w:type="spellStart"/>
      <w:r w:rsidR="00120B1C">
        <w:rPr>
          <w:rFonts w:asciiTheme="minorBidi" w:hAnsiTheme="minorBidi" w:cstheme="minorBidi"/>
          <w:lang w:val="en-GB"/>
        </w:rPr>
        <w:t>Hermatz</w:t>
      </w:r>
      <w:proofErr w:type="spellEnd"/>
      <w:r w:rsidRPr="009807F3">
        <w:rPr>
          <w:rFonts w:asciiTheme="minorBidi" w:hAnsiTheme="minorBidi" w:cstheme="minorBidi"/>
          <w:lang w:val="en-GB"/>
        </w:rPr>
        <w:t xml:space="preserve"> (2023), more than 30 thousand people, annually wait to get an appointment with a doctor widening the health gaps and inequalities within older care strategy. This strategy has been followed by a broader healthcare strategy, which is termed a “major healthcare strategy.” As a national strategy, it expands the focus from dementia and includes cancer, vascular diseases, end-of-life care, and pain management</w:t>
      </w:r>
      <w:r w:rsidR="00F608B7">
        <w:rPr>
          <w:rFonts w:asciiTheme="minorBidi" w:hAnsiTheme="minorBidi" w:cstheme="minorBidi"/>
          <w:lang w:val="en-GB"/>
        </w:rPr>
        <w:t xml:space="preserve"> (Dep</w:t>
      </w:r>
      <w:r w:rsidR="00CD08BB">
        <w:rPr>
          <w:rFonts w:asciiTheme="minorBidi" w:hAnsiTheme="minorBidi" w:cstheme="minorBidi"/>
          <w:lang w:val="en-GB"/>
        </w:rPr>
        <w:t>a</w:t>
      </w:r>
      <w:r w:rsidR="00F608B7">
        <w:rPr>
          <w:rFonts w:asciiTheme="minorBidi" w:hAnsiTheme="minorBidi" w:cstheme="minorBidi"/>
          <w:lang w:val="en-GB"/>
        </w:rPr>
        <w:t xml:space="preserve">rtment of Health </w:t>
      </w:r>
      <w:r w:rsidR="00744ADF">
        <w:rPr>
          <w:rFonts w:asciiTheme="minorBidi" w:hAnsiTheme="minorBidi" w:cstheme="minorBidi"/>
          <w:lang w:val="en-GB"/>
        </w:rPr>
        <w:t>and</w:t>
      </w:r>
      <w:r w:rsidR="00F608B7">
        <w:rPr>
          <w:rFonts w:asciiTheme="minorBidi" w:hAnsiTheme="minorBidi" w:cstheme="minorBidi"/>
          <w:lang w:val="en-GB"/>
        </w:rPr>
        <w:t xml:space="preserve"> Social Care, 2023)</w:t>
      </w:r>
      <w:r w:rsidRPr="009807F3">
        <w:rPr>
          <w:rFonts w:asciiTheme="minorBidi" w:hAnsiTheme="minorBidi" w:cstheme="minorBidi"/>
          <w:lang w:val="en-GB"/>
        </w:rPr>
        <w:t>. It also includes goals for disease prevention to ensure improved health care at national and local levels. However, Watson</w:t>
      </w:r>
      <w:r w:rsidR="00C54CC6">
        <w:rPr>
          <w:rFonts w:asciiTheme="minorBidi" w:hAnsiTheme="minorBidi" w:cstheme="minorBidi"/>
          <w:lang w:val="en-GB"/>
        </w:rPr>
        <w:t>, Neil, and Lansman</w:t>
      </w:r>
      <w:r w:rsidRPr="009807F3">
        <w:rPr>
          <w:rFonts w:asciiTheme="minorBidi" w:hAnsiTheme="minorBidi" w:cstheme="minorBidi"/>
          <w:lang w:val="en-GB"/>
        </w:rPr>
        <w:t xml:space="preserve"> (2023) and </w:t>
      </w:r>
      <w:r w:rsidR="00CD08BB">
        <w:rPr>
          <w:rFonts w:asciiTheme="minorBidi" w:hAnsiTheme="minorBidi" w:cstheme="minorBidi"/>
          <w:lang w:val="en-GB"/>
        </w:rPr>
        <w:t>Nig</w:t>
      </w:r>
      <w:r w:rsidR="00972BEF">
        <w:rPr>
          <w:rFonts w:asciiTheme="minorBidi" w:hAnsiTheme="minorBidi" w:cstheme="minorBidi"/>
          <w:lang w:val="en-GB"/>
        </w:rPr>
        <w:t>h</w:t>
      </w:r>
      <w:r w:rsidR="005C2A4B">
        <w:rPr>
          <w:rFonts w:asciiTheme="minorBidi" w:hAnsiTheme="minorBidi" w:cstheme="minorBidi"/>
          <w:lang w:val="en-GB"/>
        </w:rPr>
        <w:t>tinga</w:t>
      </w:r>
      <w:r w:rsidR="00CD08BB">
        <w:rPr>
          <w:rFonts w:asciiTheme="minorBidi" w:hAnsiTheme="minorBidi" w:cstheme="minorBidi"/>
          <w:lang w:val="en-GB"/>
        </w:rPr>
        <w:t>le and</w:t>
      </w:r>
      <w:r w:rsidR="00082378">
        <w:rPr>
          <w:rFonts w:asciiTheme="minorBidi" w:hAnsiTheme="minorBidi" w:cstheme="minorBidi"/>
          <w:lang w:val="en-GB"/>
        </w:rPr>
        <w:t xml:space="preserve"> Merri</w:t>
      </w:r>
      <w:r w:rsidR="005C2A4B">
        <w:rPr>
          <w:rFonts w:asciiTheme="minorBidi" w:hAnsiTheme="minorBidi" w:cstheme="minorBidi"/>
          <w:lang w:val="en-GB"/>
        </w:rPr>
        <w:t>field</w:t>
      </w:r>
      <w:r w:rsidR="00C54CC6">
        <w:rPr>
          <w:rFonts w:asciiTheme="minorBidi" w:hAnsiTheme="minorBidi" w:cstheme="minorBidi"/>
          <w:lang w:val="en-GB"/>
        </w:rPr>
        <w:t xml:space="preserve"> </w:t>
      </w:r>
      <w:r w:rsidRPr="009807F3">
        <w:rPr>
          <w:rFonts w:asciiTheme="minorBidi" w:hAnsiTheme="minorBidi" w:cstheme="minorBidi"/>
          <w:lang w:val="en-GB"/>
        </w:rPr>
        <w:t xml:space="preserve">(2023) find it inadequate because </w:t>
      </w:r>
      <w:r w:rsidR="00AB00C4">
        <w:rPr>
          <w:rFonts w:asciiTheme="minorBidi" w:hAnsiTheme="minorBidi" w:cstheme="minorBidi"/>
          <w:lang w:val="en-GB"/>
        </w:rPr>
        <w:t>it does not narrow</w:t>
      </w:r>
      <w:r w:rsidRPr="009807F3">
        <w:rPr>
          <w:rFonts w:asciiTheme="minorBidi" w:hAnsiTheme="minorBidi" w:cstheme="minorBidi"/>
          <w:lang w:val="en-GB"/>
        </w:rPr>
        <w:t xml:space="preserve"> the widened gap in accessibility to health and social care. </w:t>
      </w:r>
      <w:r w:rsidR="00CD08BB">
        <w:rPr>
          <w:rFonts w:asciiTheme="minorBidi" w:hAnsiTheme="minorBidi" w:cstheme="minorBidi"/>
          <w:lang w:val="en-GB"/>
        </w:rPr>
        <w:t>S</w:t>
      </w:r>
      <w:r w:rsidRPr="009807F3">
        <w:rPr>
          <w:rFonts w:asciiTheme="minorBidi" w:hAnsiTheme="minorBidi" w:cstheme="minorBidi"/>
          <w:lang w:val="en-GB"/>
        </w:rPr>
        <w:t>trategies such as inserting governmental guidelines to quit tobacco and prevent diseases are insufficient because of the long-term habits of</w:t>
      </w:r>
      <w:r w:rsidR="00CD08BB">
        <w:rPr>
          <w:rFonts w:asciiTheme="minorBidi" w:hAnsiTheme="minorBidi" w:cstheme="minorBidi"/>
          <w:lang w:val="en-GB"/>
        </w:rPr>
        <w:t xml:space="preserve"> older adults. S</w:t>
      </w:r>
      <w:r w:rsidRPr="009807F3">
        <w:rPr>
          <w:rFonts w:asciiTheme="minorBidi" w:hAnsiTheme="minorBidi" w:cstheme="minorBidi"/>
          <w:lang w:val="en-GB"/>
        </w:rPr>
        <w:t>uch strategies would have no positive impact on reducing the consumption of smoking, which is the root cause of dementia and other diseases</w:t>
      </w:r>
      <w:r w:rsidR="00D75352">
        <w:rPr>
          <w:rFonts w:asciiTheme="minorBidi" w:hAnsiTheme="minorBidi" w:cstheme="minorBidi"/>
          <w:lang w:val="en-GB"/>
        </w:rPr>
        <w:t xml:space="preserve"> (Zhong et al., 2015)</w:t>
      </w:r>
      <w:r w:rsidRPr="009807F3">
        <w:rPr>
          <w:rFonts w:asciiTheme="minorBidi" w:hAnsiTheme="minorBidi" w:cstheme="minorBidi"/>
          <w:lang w:val="en-GB"/>
        </w:rPr>
        <w:t>.</w:t>
      </w:r>
      <w:r w:rsidR="00CD08BB">
        <w:rPr>
          <w:rFonts w:asciiTheme="minorBidi" w:hAnsiTheme="minorBidi" w:cstheme="minorBidi"/>
          <w:lang w:val="en-GB"/>
        </w:rPr>
        <w:t xml:space="preserve"> Additionally, it also applies to the England (Department of Health </w:t>
      </w:r>
      <w:r w:rsidR="00744ADF">
        <w:rPr>
          <w:rFonts w:asciiTheme="minorBidi" w:hAnsiTheme="minorBidi" w:cstheme="minorBidi"/>
          <w:lang w:val="en-GB"/>
        </w:rPr>
        <w:t>and</w:t>
      </w:r>
      <w:r w:rsidR="00CD08BB">
        <w:rPr>
          <w:rFonts w:asciiTheme="minorBidi" w:hAnsiTheme="minorBidi" w:cstheme="minorBidi"/>
          <w:lang w:val="en-GB"/>
        </w:rPr>
        <w:t xml:space="preserve"> Social Care, 2023).</w:t>
      </w:r>
    </w:p>
    <w:p w14:paraId="4D41AEBA" w14:textId="77777777" w:rsidR="00BD38D4" w:rsidRPr="009807F3" w:rsidRDefault="00BD38D4" w:rsidP="00F2716A">
      <w:pPr>
        <w:pStyle w:val="Heading2"/>
      </w:pPr>
      <w:bookmarkStart w:id="5" w:name="_Toc165360698"/>
      <w:r w:rsidRPr="009807F3">
        <w:t>The Local Context</w:t>
      </w:r>
      <w:bookmarkEnd w:id="5"/>
    </w:p>
    <w:p w14:paraId="6BD8E285" w14:textId="77777777" w:rsidR="00352B65" w:rsidRDefault="00BD38D4" w:rsidP="00352B65">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In the local context, the Welsh government has implemented different strategies for older care. One of them is improving quality care for people with frailty and dementia, which is a common problem in Wales. The strategy focuses on improving communication between patients and staff and creating an integrated system of care through effective housing and leisure</w:t>
      </w:r>
      <w:r w:rsidR="00C95D88">
        <w:rPr>
          <w:rFonts w:asciiTheme="minorBidi" w:hAnsiTheme="minorBidi" w:cstheme="minorBidi"/>
          <w:lang w:val="en-GB"/>
        </w:rPr>
        <w:t xml:space="preserve"> (Welsh Government, 2024)</w:t>
      </w:r>
      <w:r w:rsidRPr="009807F3">
        <w:rPr>
          <w:rFonts w:asciiTheme="minorBidi" w:hAnsiTheme="minorBidi" w:cstheme="minorBidi"/>
          <w:lang w:val="en-GB"/>
        </w:rPr>
        <w:t xml:space="preserve">. Wales has also </w:t>
      </w:r>
      <w:r w:rsidRPr="009807F3">
        <w:rPr>
          <w:rFonts w:asciiTheme="minorBidi" w:hAnsiTheme="minorBidi" w:cstheme="minorBidi"/>
          <w:lang w:val="en-GB"/>
        </w:rPr>
        <w:lastRenderedPageBreak/>
        <w:t>appointed a commissioner for older people, which has not been found</w:t>
      </w:r>
      <w:r w:rsidR="00553105">
        <w:rPr>
          <w:rFonts w:asciiTheme="minorBidi" w:hAnsiTheme="minorBidi" w:cstheme="minorBidi"/>
          <w:lang w:val="en-GB"/>
        </w:rPr>
        <w:t> in England and other locations (Centre for better ageing, 2022).</w:t>
      </w:r>
      <w:r w:rsidRPr="009807F3">
        <w:rPr>
          <w:rFonts w:asciiTheme="minorBidi" w:hAnsiTheme="minorBidi" w:cstheme="minorBidi"/>
          <w:lang w:val="en-GB"/>
        </w:rPr>
        <w:t xml:space="preserve"> Due to the lack of a commissioner in the other regions, effective implementation has been questioned due to weaker communication and more inequalities</w:t>
      </w:r>
      <w:r w:rsidR="00515CA6">
        <w:rPr>
          <w:rFonts w:asciiTheme="minorBidi" w:hAnsiTheme="minorBidi" w:cstheme="minorBidi"/>
          <w:lang w:val="en-GB"/>
        </w:rPr>
        <w:t xml:space="preserve"> (Heydari, Sharifi, and Moghaddam, 2019)</w:t>
      </w:r>
      <w:r w:rsidRPr="009807F3">
        <w:rPr>
          <w:rFonts w:asciiTheme="minorBidi" w:hAnsiTheme="minorBidi" w:cstheme="minorBidi"/>
          <w:lang w:val="en-GB"/>
        </w:rPr>
        <w:t xml:space="preserve">. </w:t>
      </w:r>
    </w:p>
    <w:p w14:paraId="7A76F70F" w14:textId="77777777" w:rsidR="00BD38D4" w:rsidRPr="009807F3" w:rsidRDefault="00BD38D4" w:rsidP="00352B65">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Another strategy of Wales is related to promoting an ageism-friendly Wales with the help of statuary and non-statuary organisations. On the other hand, England’s strategies focus on using data to improve healthcare outcomes for older adults</w:t>
      </w:r>
      <w:r w:rsidR="00F5517A">
        <w:rPr>
          <w:rFonts w:asciiTheme="minorBidi" w:hAnsiTheme="minorBidi" w:cstheme="minorBidi"/>
          <w:lang w:val="en-GB"/>
        </w:rPr>
        <w:t xml:space="preserve"> (Aujla et al., 2023</w:t>
      </w:r>
      <w:r w:rsidR="00CC3251">
        <w:rPr>
          <w:rFonts w:asciiTheme="minorBidi" w:hAnsiTheme="minorBidi" w:cstheme="minorBidi"/>
          <w:lang w:val="en-GB"/>
        </w:rPr>
        <w:t xml:space="preserve">; </w:t>
      </w:r>
      <w:proofErr w:type="spellStart"/>
      <w:r w:rsidR="00CC3251">
        <w:rPr>
          <w:rFonts w:asciiTheme="minorBidi" w:hAnsiTheme="minorBidi" w:cstheme="minorBidi"/>
          <w:lang w:val="en-GB"/>
        </w:rPr>
        <w:t>Sz</w:t>
      </w:r>
      <w:r w:rsidR="00E62A1E">
        <w:rPr>
          <w:rFonts w:asciiTheme="minorBidi" w:hAnsiTheme="minorBidi" w:cstheme="minorBidi"/>
          <w:lang w:val="en-GB"/>
        </w:rPr>
        <w:t>cz</w:t>
      </w:r>
      <w:r w:rsidR="00CC3251">
        <w:rPr>
          <w:rFonts w:asciiTheme="minorBidi" w:hAnsiTheme="minorBidi" w:cstheme="minorBidi"/>
          <w:lang w:val="en-GB"/>
        </w:rPr>
        <w:t>epura</w:t>
      </w:r>
      <w:proofErr w:type="spellEnd"/>
      <w:r w:rsidR="00CC3251">
        <w:rPr>
          <w:rFonts w:asciiTheme="minorBidi" w:hAnsiTheme="minorBidi" w:cstheme="minorBidi"/>
          <w:lang w:val="en-GB"/>
        </w:rPr>
        <w:t xml:space="preserve"> et al., 2023</w:t>
      </w:r>
      <w:r w:rsidR="00F5517A">
        <w:rPr>
          <w:rFonts w:asciiTheme="minorBidi" w:hAnsiTheme="minorBidi" w:cstheme="minorBidi"/>
          <w:lang w:val="en-GB"/>
        </w:rPr>
        <w:t>)</w:t>
      </w:r>
      <w:r w:rsidRPr="009807F3">
        <w:rPr>
          <w:rFonts w:asciiTheme="minorBidi" w:hAnsiTheme="minorBidi" w:cstheme="minorBidi"/>
          <w:lang w:val="en-GB"/>
        </w:rPr>
        <w:t>. Scotland has also initiated strategies for data integration, which focuses on collecting, gathering, and accessing data to ensure better decision-making and health outcomes</w:t>
      </w:r>
      <w:r w:rsidR="00F5517A">
        <w:rPr>
          <w:rFonts w:asciiTheme="minorBidi" w:hAnsiTheme="minorBidi" w:cstheme="minorBidi"/>
          <w:lang w:val="en-GB"/>
        </w:rPr>
        <w:t xml:space="preserve"> (Aujla et al., 2023)</w:t>
      </w:r>
      <w:r w:rsidRPr="009807F3">
        <w:rPr>
          <w:rFonts w:asciiTheme="minorBidi" w:hAnsiTheme="minorBidi" w:cstheme="minorBidi"/>
          <w:lang w:val="en-GB"/>
        </w:rPr>
        <w:t>.</w:t>
      </w:r>
      <w:r w:rsidR="004D2AC7">
        <w:rPr>
          <w:rFonts w:asciiTheme="minorBidi" w:hAnsiTheme="minorBidi" w:cstheme="minorBidi"/>
          <w:lang w:val="en-GB"/>
        </w:rPr>
        <w:t xml:space="preserve"> However, challenges of accessibility and poor treatments prevail due to the limited use of digital technologies. </w:t>
      </w:r>
      <w:r w:rsidRPr="009807F3">
        <w:rPr>
          <w:rFonts w:asciiTheme="minorBidi" w:hAnsiTheme="minorBidi" w:cstheme="minorBidi"/>
          <w:lang w:val="en-GB"/>
        </w:rPr>
        <w:t> </w:t>
      </w:r>
    </w:p>
    <w:p w14:paraId="40F0E645" w14:textId="77777777" w:rsidR="00BD38D4" w:rsidRPr="009807F3" w:rsidRDefault="00BD38D4" w:rsidP="00F2716A">
      <w:pPr>
        <w:pStyle w:val="Heading1"/>
      </w:pPr>
      <w:bookmarkStart w:id="6" w:name="_Toc165360699"/>
      <w:r w:rsidRPr="009807F3">
        <w:t>T</w:t>
      </w:r>
      <w:r w:rsidR="00F2716A">
        <w:t>HE FUTURE PROSPECTS FOR ICT AND AI IN OLDER CARE</w:t>
      </w:r>
      <w:bookmarkEnd w:id="6"/>
      <w:r w:rsidR="00F2716A">
        <w:t xml:space="preserve"> </w:t>
      </w:r>
    </w:p>
    <w:p w14:paraId="74BECD97" w14:textId="77777777" w:rsidR="00BD38D4" w:rsidRPr="009807F3"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The alignment between sustainable development goals and older care has brightened the prospects for utilising information communication technology and artificial intelligence for healthy ageing in the UK. However, being a vulnerable group instead of being the holder of rights, opportunities for ICT and AI come with challenges. The national and local authorities have also begun the inclusion of digitalisation in their strategies, which are currently limited to data gathering and accessibility. However, it is expected that ICT and AI will be soon used in the future care for older persons.</w:t>
      </w:r>
    </w:p>
    <w:p w14:paraId="56E2029B" w14:textId="77777777" w:rsidR="00BD38D4" w:rsidRPr="009807F3" w:rsidRDefault="00047C74" w:rsidP="00BD38D4">
      <w:pPr>
        <w:pStyle w:val="NormalWeb"/>
        <w:spacing w:line="360" w:lineRule="auto"/>
        <w:jc w:val="both"/>
        <w:rPr>
          <w:rFonts w:asciiTheme="minorBidi" w:hAnsiTheme="minorBidi" w:cstheme="minorBidi"/>
          <w:lang w:val="en-GB"/>
        </w:rPr>
      </w:pPr>
      <w:r>
        <w:rPr>
          <w:rFonts w:asciiTheme="minorBidi" w:hAnsiTheme="minorBidi" w:cstheme="minorBidi"/>
          <w:lang w:val="en-GB"/>
        </w:rPr>
        <w:t>Jentoft (2023)</w:t>
      </w:r>
      <w:r w:rsidR="00BD38D4" w:rsidRPr="009807F3">
        <w:rPr>
          <w:rFonts w:asciiTheme="minorBidi" w:hAnsiTheme="minorBidi" w:cstheme="minorBidi"/>
          <w:lang w:val="en-GB"/>
        </w:rPr>
        <w:t xml:space="preserve"> assert</w:t>
      </w:r>
      <w:r>
        <w:rPr>
          <w:rFonts w:asciiTheme="minorBidi" w:hAnsiTheme="minorBidi" w:cstheme="minorBidi"/>
          <w:lang w:val="en-GB"/>
        </w:rPr>
        <w:t>s</w:t>
      </w:r>
      <w:r w:rsidR="00BD38D4" w:rsidRPr="009807F3">
        <w:rPr>
          <w:rFonts w:asciiTheme="minorBidi" w:hAnsiTheme="minorBidi" w:cstheme="minorBidi"/>
          <w:lang w:val="en-GB"/>
        </w:rPr>
        <w:t xml:space="preserve"> that changes in the social system of the UK result in loneliness among older Britons and require changes. It is an area, where artificially intelligent robots can be used for reducing the loneliness of older adults. For instance, a robot pepper was used in an experiment to interact with older adults belonging to different cultures. Most of the elders enjoyed their time with the robot</w:t>
      </w:r>
      <w:r w:rsidR="00AC2A58">
        <w:rPr>
          <w:rFonts w:asciiTheme="minorBidi" w:hAnsiTheme="minorBidi" w:cstheme="minorBidi"/>
          <w:lang w:val="en-GB"/>
        </w:rPr>
        <w:t xml:space="preserve"> (European Parliament Technology Assessment, 2019)</w:t>
      </w:r>
      <w:r w:rsidR="00BD38D4" w:rsidRPr="009807F3">
        <w:rPr>
          <w:rFonts w:asciiTheme="minorBidi" w:hAnsiTheme="minorBidi" w:cstheme="minorBidi"/>
          <w:lang w:val="en-GB"/>
        </w:rPr>
        <w:t>. Similarly, AI robots can be used for storing information about individual adults and making effective decisions about their health care</w:t>
      </w:r>
      <w:r w:rsidR="00C776F5">
        <w:rPr>
          <w:rFonts w:asciiTheme="minorBidi" w:hAnsiTheme="minorBidi" w:cstheme="minorBidi"/>
          <w:lang w:val="en-GB"/>
        </w:rPr>
        <w:t xml:space="preserve"> (Shivani et al., 2023)</w:t>
      </w:r>
      <w:r w:rsidR="00BD38D4" w:rsidRPr="009807F3">
        <w:rPr>
          <w:rFonts w:asciiTheme="minorBidi" w:hAnsiTheme="minorBidi" w:cstheme="minorBidi"/>
          <w:lang w:val="en-GB"/>
        </w:rPr>
        <w:t xml:space="preserve">. In addition, the shortage of healthcare staff with the rising demands of </w:t>
      </w:r>
      <w:r w:rsidR="00BD38D4" w:rsidRPr="009807F3">
        <w:rPr>
          <w:rFonts w:asciiTheme="minorBidi" w:hAnsiTheme="minorBidi" w:cstheme="minorBidi"/>
          <w:lang w:val="en-GB"/>
        </w:rPr>
        <w:lastRenderedPageBreak/>
        <w:t>ageing emphasises on bringing tech-based changes. For instance, robots will help involve fragile patients in physical activities, such as physiotherapy, laughing therapy, walking, and exercises. Medication reminders and wearable sensors will assist older adults in managing their condition with respect and dignity</w:t>
      </w:r>
      <w:r w:rsidR="00960674">
        <w:rPr>
          <w:rFonts w:asciiTheme="minorBidi" w:hAnsiTheme="minorBidi" w:cstheme="minorBidi"/>
          <w:lang w:val="en-GB"/>
        </w:rPr>
        <w:t xml:space="preserve"> (European Parliament Technology Assessment, 2019)</w:t>
      </w:r>
      <w:r w:rsidR="00BD38D4" w:rsidRPr="009807F3">
        <w:rPr>
          <w:rFonts w:asciiTheme="minorBidi" w:hAnsiTheme="minorBidi" w:cstheme="minorBidi"/>
          <w:lang w:val="en-GB"/>
        </w:rPr>
        <w:t>.</w:t>
      </w:r>
    </w:p>
    <w:p w14:paraId="378ACBC0" w14:textId="77777777" w:rsidR="00BD38D4" w:rsidRPr="009807F3" w:rsidRDefault="00BD38D4" w:rsidP="00C16C5B">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 xml:space="preserve">The use of </w:t>
      </w:r>
      <w:r w:rsidR="00C16C5B">
        <w:rPr>
          <w:rFonts w:asciiTheme="minorBidi" w:hAnsiTheme="minorBidi" w:cstheme="minorBidi"/>
          <w:lang w:val="en-GB"/>
        </w:rPr>
        <w:t>ICT</w:t>
      </w:r>
      <w:r w:rsidRPr="009807F3">
        <w:rPr>
          <w:rFonts w:asciiTheme="minorBidi" w:hAnsiTheme="minorBidi" w:cstheme="minorBidi"/>
          <w:lang w:val="en-GB"/>
        </w:rPr>
        <w:t> is also expected to increase in the health and social care of adults. The first is related to the provision of healthcare facilities, such as telemedicine, along with engagement between the care provider and patients</w:t>
      </w:r>
      <w:r w:rsidR="00735BA3">
        <w:rPr>
          <w:rFonts w:asciiTheme="minorBidi" w:hAnsiTheme="minorBidi" w:cstheme="minorBidi"/>
          <w:lang w:val="en-GB"/>
        </w:rPr>
        <w:t xml:space="preserve"> (Mao, Mohan, and Normand, 2023)</w:t>
      </w:r>
      <w:r w:rsidRPr="009807F3">
        <w:rPr>
          <w:rFonts w:asciiTheme="minorBidi" w:hAnsiTheme="minorBidi" w:cstheme="minorBidi"/>
          <w:lang w:val="en-GB"/>
        </w:rPr>
        <w:t>. ICT will increase the effectiveness of the PCC approach. For patients, ICT use will help them use smartphones, the internet, and social media according to their interests. </w:t>
      </w:r>
    </w:p>
    <w:p w14:paraId="62B75D9D" w14:textId="5069C7A9" w:rsidR="007600EA"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However, there are some barriers to the implementation of ICT and AI in the future. One of them is a lack of digital skills and limited access to technology</w:t>
      </w:r>
      <w:r w:rsidR="00145F2B">
        <w:rPr>
          <w:rFonts w:asciiTheme="minorBidi" w:hAnsiTheme="minorBidi" w:cstheme="minorBidi"/>
          <w:lang w:val="en-GB"/>
        </w:rPr>
        <w:t>, especially identified by Welsh Government (2024b)</w:t>
      </w:r>
      <w:r w:rsidRPr="009807F3">
        <w:rPr>
          <w:rFonts w:asciiTheme="minorBidi" w:hAnsiTheme="minorBidi" w:cstheme="minorBidi"/>
          <w:lang w:val="en-GB"/>
        </w:rPr>
        <w:t>. It is because of the lack of training and readiness of the staff</w:t>
      </w:r>
      <w:r w:rsidR="00BB5760">
        <w:rPr>
          <w:rFonts w:asciiTheme="minorBidi" w:hAnsiTheme="minorBidi" w:cstheme="minorBidi"/>
          <w:lang w:val="en-GB"/>
        </w:rPr>
        <w:t xml:space="preserve"> (Welsh Government, 2024b)</w:t>
      </w:r>
      <w:r w:rsidRPr="009807F3">
        <w:rPr>
          <w:rFonts w:asciiTheme="minorBidi" w:hAnsiTheme="minorBidi" w:cstheme="minorBidi"/>
          <w:lang w:val="en-GB"/>
        </w:rPr>
        <w:t xml:space="preserve">. Another challenge is the limitation of funds, which undermines the efforts for integrating all strategies with ICT and AI. In addition, the digital divide, especially </w:t>
      </w:r>
      <w:proofErr w:type="spellStart"/>
      <w:r w:rsidRPr="009807F3">
        <w:rPr>
          <w:rFonts w:asciiTheme="minorBidi" w:hAnsiTheme="minorBidi" w:cstheme="minorBidi"/>
          <w:lang w:val="en-GB"/>
        </w:rPr>
        <w:t>amo</w:t>
      </w:r>
      <w:proofErr w:type="spellEnd"/>
      <w:r w:rsidR="007600EA">
        <w:rPr>
          <w:rFonts w:asciiTheme="minorBidi" w:hAnsiTheme="minorBidi" w:cstheme="minorBidi"/>
          <w:lang w:val="en-GB"/>
        </w:rPr>
        <w:br w:type="page"/>
      </w:r>
    </w:p>
    <w:p w14:paraId="2F8F3A36" w14:textId="77777777" w:rsidR="00BD38D4" w:rsidRPr="009807F3" w:rsidRDefault="00BD38D4" w:rsidP="00F2716A">
      <w:pPr>
        <w:pStyle w:val="Heading1"/>
      </w:pPr>
      <w:bookmarkStart w:id="7" w:name="_Toc165360700"/>
      <w:r w:rsidRPr="009807F3">
        <w:lastRenderedPageBreak/>
        <w:t>CONCLUSION AND RECOMMENDATIONS</w:t>
      </w:r>
      <w:bookmarkEnd w:id="7"/>
    </w:p>
    <w:p w14:paraId="24B8EBDB" w14:textId="77777777" w:rsidR="00BD38D4" w:rsidRPr="009807F3"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The current provision of health and social care for adults is facing numerous challenges and burdens due to the complete reliance on the human workforce. Despite continuous efforts, the UK and its countries are facing problems in implementing the global older scare strategy, along with the strategies devised at the national and local levels. The findings emphasised increasing ICT and AI in future strategies. Some recommendations will be helpful in the future provision of care. </w:t>
      </w:r>
    </w:p>
    <w:p w14:paraId="653CF9E9" w14:textId="77777777" w:rsidR="00BD38D4" w:rsidRPr="009807F3"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1. Increased funding for integrating ICT and AI to a higher extent.</w:t>
      </w:r>
    </w:p>
    <w:p w14:paraId="6F4C592D" w14:textId="77777777" w:rsidR="00BD38D4" w:rsidRPr="009807F3"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2. Increased training of workforce related to digital skills, use of AI for robots, and other ICT platforms.</w:t>
      </w:r>
    </w:p>
    <w:p w14:paraId="5F060503" w14:textId="77777777" w:rsidR="00BD38D4" w:rsidRPr="009807F3"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3. Funding in research for more opportunities in using ICT and AI in reality.</w:t>
      </w:r>
    </w:p>
    <w:p w14:paraId="04FB3310" w14:textId="77777777" w:rsidR="00BD38D4" w:rsidRPr="009807F3"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4. Supporting and motivating older adults to learn ICT and AI for better interactions</w:t>
      </w:r>
      <w:r w:rsidR="003B4039">
        <w:rPr>
          <w:rFonts w:asciiTheme="minorBidi" w:hAnsiTheme="minorBidi" w:cstheme="minorBidi"/>
          <w:lang w:val="en-GB"/>
        </w:rPr>
        <w:t xml:space="preserve"> and mobility (</w:t>
      </w:r>
      <w:r w:rsidR="00DA5AB7">
        <w:rPr>
          <w:rFonts w:asciiTheme="minorBidi" w:hAnsiTheme="minorBidi" w:cstheme="minorBidi"/>
          <w:lang w:val="en-GB"/>
        </w:rPr>
        <w:t xml:space="preserve">Dambha-Miller et al., 2021; </w:t>
      </w:r>
      <w:r w:rsidR="003B4039">
        <w:rPr>
          <w:rFonts w:asciiTheme="minorBidi" w:hAnsiTheme="minorBidi" w:cstheme="minorBidi"/>
          <w:lang w:val="en-GB"/>
        </w:rPr>
        <w:t>Nagarajan and Sixsmith, 2021)</w:t>
      </w:r>
      <w:r w:rsidRPr="009807F3">
        <w:rPr>
          <w:rFonts w:asciiTheme="minorBidi" w:hAnsiTheme="minorBidi" w:cstheme="minorBidi"/>
          <w:lang w:val="en-GB"/>
        </w:rPr>
        <w:t>.</w:t>
      </w:r>
    </w:p>
    <w:p w14:paraId="33E2A0AA" w14:textId="77777777" w:rsidR="00BD38D4" w:rsidRPr="009807F3"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5. Engagement of older adults in decision-making for ICT and AI integration</w:t>
      </w:r>
      <w:r w:rsidR="00BE60C9">
        <w:rPr>
          <w:rFonts w:asciiTheme="minorBidi" w:hAnsiTheme="minorBidi" w:cstheme="minorBidi"/>
          <w:lang w:val="en-GB"/>
        </w:rPr>
        <w:t xml:space="preserve"> for reducing inequalities (</w:t>
      </w:r>
      <w:r w:rsidR="00377881">
        <w:rPr>
          <w:rFonts w:asciiTheme="minorBidi" w:hAnsiTheme="minorBidi" w:cstheme="minorBidi"/>
          <w:lang w:val="en-GB"/>
        </w:rPr>
        <w:t>MacGuire, 2020)</w:t>
      </w:r>
      <w:r w:rsidRPr="009807F3">
        <w:rPr>
          <w:rFonts w:asciiTheme="minorBidi" w:hAnsiTheme="minorBidi" w:cstheme="minorBidi"/>
          <w:lang w:val="en-GB"/>
        </w:rPr>
        <w:t>.</w:t>
      </w:r>
    </w:p>
    <w:p w14:paraId="183A67E9" w14:textId="77777777" w:rsidR="00BD38D4" w:rsidRPr="009807F3"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6. Minimising the digital divide by incorporating SDGs in the future health care for all adults of the UK</w:t>
      </w:r>
      <w:r w:rsidR="00E56D40">
        <w:rPr>
          <w:rFonts w:asciiTheme="minorBidi" w:hAnsiTheme="minorBidi" w:cstheme="minorBidi"/>
          <w:lang w:val="en-GB"/>
        </w:rPr>
        <w:t xml:space="preserve"> (Centre for Ageing, 2024)</w:t>
      </w:r>
      <w:r w:rsidRPr="009807F3">
        <w:rPr>
          <w:rFonts w:asciiTheme="minorBidi" w:hAnsiTheme="minorBidi" w:cstheme="minorBidi"/>
          <w:lang w:val="en-GB"/>
        </w:rPr>
        <w:t>. </w:t>
      </w:r>
    </w:p>
    <w:p w14:paraId="13B11A6F" w14:textId="70F7CA7E" w:rsidR="007600EA" w:rsidRDefault="00BD38D4" w:rsidP="00BD38D4">
      <w:pPr>
        <w:pStyle w:val="NormalWeb"/>
        <w:spacing w:line="360" w:lineRule="auto"/>
        <w:jc w:val="both"/>
        <w:rPr>
          <w:rFonts w:asciiTheme="minorBidi" w:hAnsiTheme="minorBidi" w:cstheme="minorBidi"/>
          <w:lang w:val="en-GB"/>
        </w:rPr>
      </w:pPr>
      <w:r w:rsidRPr="009807F3">
        <w:rPr>
          <w:rFonts w:asciiTheme="minorBidi" w:hAnsiTheme="minorBidi" w:cstheme="minorBidi"/>
          <w:lang w:val="en-GB"/>
        </w:rPr>
        <w:t>  </w:t>
      </w:r>
      <w:r w:rsidR="007600EA">
        <w:rPr>
          <w:rFonts w:asciiTheme="minorBidi" w:hAnsiTheme="minorBidi" w:cstheme="minorBidi"/>
          <w:lang w:val="en-GB"/>
        </w:rPr>
        <w:br w:type="page"/>
      </w:r>
    </w:p>
    <w:p w14:paraId="41041E66" w14:textId="77777777" w:rsidR="00982401" w:rsidRDefault="00F2716A" w:rsidP="004E79F5">
      <w:pPr>
        <w:pStyle w:val="Heading1"/>
        <w:rPr>
          <w:lang w:bidi="ur-PK"/>
        </w:rPr>
      </w:pPr>
      <w:bookmarkStart w:id="8" w:name="_Toc165360701"/>
      <w:r>
        <w:rPr>
          <w:lang w:bidi="ur-PK"/>
        </w:rPr>
        <w:lastRenderedPageBreak/>
        <w:t>REFERENCES</w:t>
      </w:r>
      <w:bookmarkEnd w:id="8"/>
    </w:p>
    <w:p w14:paraId="560F0752" w14:textId="77777777" w:rsidR="004E79F5" w:rsidRDefault="004E79F5" w:rsidP="00982401">
      <w:pPr>
        <w:spacing w:line="360" w:lineRule="auto"/>
        <w:jc w:val="both"/>
        <w:rPr>
          <w:rFonts w:asciiTheme="minorBidi" w:hAnsiTheme="minorBidi"/>
          <w:sz w:val="24"/>
          <w:szCs w:val="24"/>
          <w:shd w:val="clear" w:color="auto" w:fill="FFFFFF"/>
        </w:rPr>
      </w:pPr>
    </w:p>
    <w:p w14:paraId="1998B90C"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 xml:space="preserve">Abdi, S., Spann, A., </w:t>
      </w:r>
      <w:proofErr w:type="spellStart"/>
      <w:r w:rsidRPr="00F52D68">
        <w:rPr>
          <w:rFonts w:asciiTheme="minorBidi" w:hAnsiTheme="minorBidi"/>
          <w:sz w:val="24"/>
          <w:szCs w:val="24"/>
          <w:shd w:val="clear" w:color="auto" w:fill="FFFFFF"/>
        </w:rPr>
        <w:t>Borilovic</w:t>
      </w:r>
      <w:proofErr w:type="spellEnd"/>
      <w:r w:rsidRPr="00F52D68">
        <w:rPr>
          <w:rFonts w:asciiTheme="minorBidi" w:hAnsiTheme="minorBidi"/>
          <w:sz w:val="24"/>
          <w:szCs w:val="24"/>
          <w:shd w:val="clear" w:color="auto" w:fill="FFFFFF"/>
        </w:rPr>
        <w:t>, J</w:t>
      </w:r>
      <w:r>
        <w:rPr>
          <w:rFonts w:asciiTheme="minorBidi" w:hAnsiTheme="minorBidi"/>
          <w:sz w:val="24"/>
          <w:szCs w:val="24"/>
          <w:shd w:val="clear" w:color="auto" w:fill="FFFFFF"/>
        </w:rPr>
        <w:t>., de Witte, L. and Hawley, M. (</w:t>
      </w:r>
      <w:r w:rsidRPr="00F52D68">
        <w:rPr>
          <w:rFonts w:asciiTheme="minorBidi" w:hAnsiTheme="minorBidi"/>
          <w:sz w:val="24"/>
          <w:szCs w:val="24"/>
          <w:shd w:val="clear" w:color="auto" w:fill="FFFFFF"/>
        </w:rPr>
        <w:t>2019</w:t>
      </w:r>
      <w:r>
        <w:rPr>
          <w:rFonts w:asciiTheme="minorBidi" w:hAnsiTheme="minorBidi"/>
          <w:sz w:val="24"/>
          <w:szCs w:val="24"/>
          <w:shd w:val="clear" w:color="auto" w:fill="FFFFFF"/>
        </w:rPr>
        <w:t>)</w:t>
      </w:r>
      <w:r w:rsidRPr="00F52D68">
        <w:rPr>
          <w:rFonts w:asciiTheme="minorBidi" w:hAnsiTheme="minorBidi"/>
          <w:sz w:val="24"/>
          <w:szCs w:val="24"/>
          <w:shd w:val="clear" w:color="auto" w:fill="FFFFFF"/>
        </w:rPr>
        <w:t>. Understanding the care and support needs of older people: a scoping review and categorisation using the WHO international classification of functioning, disability and health framework (ICF). </w:t>
      </w:r>
      <w:r w:rsidRPr="00F52D68">
        <w:rPr>
          <w:rFonts w:asciiTheme="minorBidi" w:hAnsiTheme="minorBidi"/>
          <w:i/>
          <w:iCs/>
          <w:sz w:val="24"/>
          <w:szCs w:val="24"/>
          <w:shd w:val="clear" w:color="auto" w:fill="FFFFFF"/>
        </w:rPr>
        <w:t>BMC geriatrics</w:t>
      </w:r>
      <w:r w:rsidRPr="00F52D68">
        <w:rPr>
          <w:rFonts w:asciiTheme="minorBidi" w:hAnsiTheme="minorBidi"/>
          <w:sz w:val="24"/>
          <w:szCs w:val="24"/>
          <w:shd w:val="clear" w:color="auto" w:fill="FFFFFF"/>
        </w:rPr>
        <w:t>, </w:t>
      </w:r>
      <w:r w:rsidRPr="0039107C">
        <w:rPr>
          <w:rFonts w:asciiTheme="minorBidi" w:hAnsiTheme="minorBidi"/>
          <w:sz w:val="24"/>
          <w:szCs w:val="24"/>
          <w:shd w:val="clear" w:color="auto" w:fill="FFFFFF"/>
        </w:rPr>
        <w:t>19</w:t>
      </w:r>
      <w:r w:rsidRPr="00F52D68">
        <w:rPr>
          <w:rFonts w:asciiTheme="minorBidi" w:hAnsiTheme="minorBidi"/>
          <w:sz w:val="24"/>
          <w:szCs w:val="24"/>
          <w:shd w:val="clear" w:color="auto" w:fill="FFFFFF"/>
        </w:rPr>
        <w:t>, pp.1-15.</w:t>
      </w:r>
    </w:p>
    <w:p w14:paraId="12FFB630"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 xml:space="preserve">Aujla, N., Frost, H., Guthrie, B., Hanratty, B., Kaner, E., O'Donnell, A., Ogden, M.E., Pain, H.G., </w:t>
      </w:r>
      <w:proofErr w:type="spellStart"/>
      <w:r>
        <w:rPr>
          <w:rFonts w:asciiTheme="minorBidi" w:hAnsiTheme="minorBidi"/>
          <w:sz w:val="24"/>
          <w:szCs w:val="24"/>
          <w:shd w:val="clear" w:color="auto" w:fill="FFFFFF"/>
        </w:rPr>
        <w:t>Shenkin</w:t>
      </w:r>
      <w:proofErr w:type="spellEnd"/>
      <w:r>
        <w:rPr>
          <w:rFonts w:asciiTheme="minorBidi" w:hAnsiTheme="minorBidi"/>
          <w:sz w:val="24"/>
          <w:szCs w:val="24"/>
          <w:shd w:val="clear" w:color="auto" w:fill="FFFFFF"/>
        </w:rPr>
        <w:t>, S.D. and Mercer, S.W. (</w:t>
      </w:r>
      <w:r w:rsidRPr="00F52D68">
        <w:rPr>
          <w:rFonts w:asciiTheme="minorBidi" w:hAnsiTheme="minorBidi"/>
          <w:sz w:val="24"/>
          <w:szCs w:val="24"/>
          <w:shd w:val="clear" w:color="auto" w:fill="FFFFFF"/>
        </w:rPr>
        <w:t>2023</w:t>
      </w:r>
      <w:r>
        <w:rPr>
          <w:rFonts w:asciiTheme="minorBidi" w:hAnsiTheme="minorBidi"/>
          <w:sz w:val="24"/>
          <w:szCs w:val="24"/>
          <w:shd w:val="clear" w:color="auto" w:fill="FFFFFF"/>
        </w:rPr>
        <w:t>)</w:t>
      </w:r>
      <w:r w:rsidRPr="00F52D68">
        <w:rPr>
          <w:rFonts w:asciiTheme="minorBidi" w:hAnsiTheme="minorBidi"/>
          <w:sz w:val="24"/>
          <w:szCs w:val="24"/>
          <w:shd w:val="clear" w:color="auto" w:fill="FFFFFF"/>
        </w:rPr>
        <w:t>. A comparative overview of health and social care policy for older people in England and Scotland, United Kingdom (UK). </w:t>
      </w:r>
      <w:r w:rsidRPr="00F52D68">
        <w:rPr>
          <w:rFonts w:asciiTheme="minorBidi" w:hAnsiTheme="minorBidi"/>
          <w:i/>
          <w:iCs/>
          <w:sz w:val="24"/>
          <w:szCs w:val="24"/>
          <w:shd w:val="clear" w:color="auto" w:fill="FFFFFF"/>
        </w:rPr>
        <w:t>Health polic</w:t>
      </w:r>
      <w:r>
        <w:rPr>
          <w:rFonts w:asciiTheme="minorBidi" w:hAnsiTheme="minorBidi"/>
          <w:i/>
          <w:iCs/>
          <w:sz w:val="24"/>
          <w:szCs w:val="24"/>
          <w:shd w:val="clear" w:color="auto" w:fill="FFFFFF"/>
        </w:rPr>
        <w:t>y</w:t>
      </w:r>
      <w:r w:rsidRPr="00F52D68">
        <w:rPr>
          <w:rFonts w:asciiTheme="minorBidi" w:hAnsiTheme="minorBidi"/>
          <w:sz w:val="24"/>
          <w:szCs w:val="24"/>
          <w:shd w:val="clear" w:color="auto" w:fill="FFFFFF"/>
        </w:rPr>
        <w:t>.</w:t>
      </w:r>
    </w:p>
    <w:p w14:paraId="76FD0515"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 xml:space="preserve">Banerjee, D., </w:t>
      </w:r>
      <w:proofErr w:type="spellStart"/>
      <w:r w:rsidRPr="00F52D68">
        <w:rPr>
          <w:rFonts w:asciiTheme="minorBidi" w:hAnsiTheme="minorBidi"/>
          <w:sz w:val="24"/>
          <w:szCs w:val="24"/>
          <w:shd w:val="clear" w:color="auto" w:fill="FFFFFF"/>
        </w:rPr>
        <w:t>Rabheru</w:t>
      </w:r>
      <w:proofErr w:type="spellEnd"/>
      <w:r w:rsidRPr="00F52D68">
        <w:rPr>
          <w:rFonts w:asciiTheme="minorBidi" w:hAnsiTheme="minorBidi"/>
          <w:sz w:val="24"/>
          <w:szCs w:val="24"/>
          <w:shd w:val="clear" w:color="auto" w:fill="FFFFFF"/>
        </w:rPr>
        <w:t xml:space="preserve">, K., </w:t>
      </w:r>
      <w:proofErr w:type="spellStart"/>
      <w:r w:rsidRPr="00F52D68">
        <w:rPr>
          <w:rFonts w:asciiTheme="minorBidi" w:hAnsiTheme="minorBidi"/>
          <w:sz w:val="24"/>
          <w:szCs w:val="24"/>
          <w:shd w:val="clear" w:color="auto" w:fill="FFFFFF"/>
        </w:rPr>
        <w:t>Ivbijaro</w:t>
      </w:r>
      <w:proofErr w:type="spellEnd"/>
      <w:r>
        <w:rPr>
          <w:rFonts w:asciiTheme="minorBidi" w:hAnsiTheme="minorBidi"/>
          <w:sz w:val="24"/>
          <w:szCs w:val="24"/>
          <w:shd w:val="clear" w:color="auto" w:fill="FFFFFF"/>
        </w:rPr>
        <w:t>, G. and Mendonca Lima, C.A.D. (</w:t>
      </w:r>
      <w:r w:rsidRPr="00F52D68">
        <w:rPr>
          <w:rFonts w:asciiTheme="minorBidi" w:hAnsiTheme="minorBidi"/>
          <w:sz w:val="24"/>
          <w:szCs w:val="24"/>
          <w:shd w:val="clear" w:color="auto" w:fill="FFFFFF"/>
        </w:rPr>
        <w:t>2021</w:t>
      </w:r>
      <w:r>
        <w:rPr>
          <w:rFonts w:asciiTheme="minorBidi" w:hAnsiTheme="minorBidi"/>
          <w:sz w:val="24"/>
          <w:szCs w:val="24"/>
          <w:shd w:val="clear" w:color="auto" w:fill="FFFFFF"/>
        </w:rPr>
        <w:t>)</w:t>
      </w:r>
      <w:r w:rsidRPr="00F52D68">
        <w:rPr>
          <w:rFonts w:asciiTheme="minorBidi" w:hAnsiTheme="minorBidi"/>
          <w:sz w:val="24"/>
          <w:szCs w:val="24"/>
          <w:shd w:val="clear" w:color="auto" w:fill="FFFFFF"/>
        </w:rPr>
        <w:t>. Dignity of older persons with mental health conditions: Why should clinicians care?. </w:t>
      </w:r>
      <w:r w:rsidRPr="00F52D68">
        <w:rPr>
          <w:rFonts w:asciiTheme="minorBidi" w:hAnsiTheme="minorBidi"/>
          <w:i/>
          <w:iCs/>
          <w:sz w:val="24"/>
          <w:szCs w:val="24"/>
          <w:shd w:val="clear" w:color="auto" w:fill="FFFFFF"/>
        </w:rPr>
        <w:t>Frontiers in Psychiatry</w:t>
      </w:r>
      <w:r w:rsidRPr="00F52D68">
        <w:rPr>
          <w:rFonts w:asciiTheme="minorBidi" w:hAnsiTheme="minorBidi"/>
          <w:sz w:val="24"/>
          <w:szCs w:val="24"/>
          <w:shd w:val="clear" w:color="auto" w:fill="FFFFFF"/>
        </w:rPr>
        <w:t>, </w:t>
      </w:r>
      <w:r w:rsidRPr="00F52D68">
        <w:rPr>
          <w:rFonts w:asciiTheme="minorBidi" w:hAnsiTheme="minorBidi"/>
          <w:i/>
          <w:iCs/>
          <w:sz w:val="24"/>
          <w:szCs w:val="24"/>
          <w:shd w:val="clear" w:color="auto" w:fill="FFFFFF"/>
        </w:rPr>
        <w:t>12</w:t>
      </w:r>
      <w:r w:rsidRPr="00F52D68">
        <w:rPr>
          <w:rFonts w:asciiTheme="minorBidi" w:hAnsiTheme="minorBidi"/>
          <w:sz w:val="24"/>
          <w:szCs w:val="24"/>
          <w:shd w:val="clear" w:color="auto" w:fill="FFFFFF"/>
        </w:rPr>
        <w:t>, p.774533.</w:t>
      </w:r>
    </w:p>
    <w:p w14:paraId="63B8F8ED" w14:textId="77777777" w:rsidR="00982401" w:rsidRPr="00F52D68" w:rsidRDefault="00982401" w:rsidP="00B20155">
      <w:pPr>
        <w:spacing w:line="360" w:lineRule="auto"/>
        <w:jc w:val="both"/>
        <w:rPr>
          <w:rFonts w:asciiTheme="minorBidi" w:hAnsiTheme="minorBidi"/>
          <w:sz w:val="24"/>
          <w:szCs w:val="24"/>
        </w:rPr>
      </w:pPr>
      <w:r w:rsidRPr="00F52D68">
        <w:rPr>
          <w:rFonts w:asciiTheme="minorBidi" w:hAnsiTheme="minorBidi"/>
          <w:sz w:val="24"/>
          <w:szCs w:val="24"/>
        </w:rPr>
        <w:t>Benham-</w:t>
      </w:r>
      <w:proofErr w:type="spellStart"/>
      <w:r w:rsidRPr="00F52D68">
        <w:rPr>
          <w:rFonts w:asciiTheme="minorBidi" w:hAnsiTheme="minorBidi"/>
          <w:sz w:val="24"/>
          <w:szCs w:val="24"/>
        </w:rPr>
        <w:t>Hermatz</w:t>
      </w:r>
      <w:proofErr w:type="spellEnd"/>
      <w:r w:rsidRPr="00F52D68">
        <w:rPr>
          <w:rFonts w:asciiTheme="minorBidi" w:hAnsiTheme="minorBidi"/>
          <w:sz w:val="24"/>
          <w:szCs w:val="24"/>
        </w:rPr>
        <w:t xml:space="preserve">, S. (2023).  The government’s “Major Conditions Strategy” must deliver for people with dementia. Alzheimer’s Research UK. Available at: </w:t>
      </w:r>
      <w:hyperlink r:id="rId8" w:history="1">
        <w:r w:rsidRPr="00F52D68">
          <w:rPr>
            <w:rStyle w:val="Hyperlink"/>
            <w:rFonts w:asciiTheme="minorBidi" w:hAnsiTheme="minorBidi"/>
            <w:color w:val="auto"/>
            <w:sz w:val="24"/>
            <w:szCs w:val="24"/>
            <w:u w:val="none"/>
          </w:rPr>
          <w:t>https://www.alzheimersresearchuk.org/news/the-governments-major-conditions-strategy-must-deliver-for-people-with-dementia/</w:t>
        </w:r>
      </w:hyperlink>
      <w:r w:rsidRPr="00F52D68">
        <w:rPr>
          <w:rFonts w:asciiTheme="minorBidi" w:hAnsiTheme="minorBidi"/>
          <w:sz w:val="24"/>
          <w:szCs w:val="24"/>
        </w:rPr>
        <w:t xml:space="preserve"> (Accessed 27 April 2024). </w:t>
      </w:r>
    </w:p>
    <w:p w14:paraId="4A329781" w14:textId="77777777" w:rsidR="00982401" w:rsidRPr="00F52D68" w:rsidRDefault="00982401" w:rsidP="00B20155">
      <w:pPr>
        <w:spacing w:line="360" w:lineRule="auto"/>
        <w:ind w:left="720"/>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 xml:space="preserve">Berry, L., Naber, M., </w:t>
      </w:r>
      <w:proofErr w:type="spellStart"/>
      <w:r w:rsidRPr="00F52D68">
        <w:rPr>
          <w:rFonts w:asciiTheme="minorBidi" w:hAnsiTheme="minorBidi"/>
          <w:sz w:val="24"/>
          <w:szCs w:val="24"/>
          <w:shd w:val="clear" w:color="auto" w:fill="FFFFFF"/>
        </w:rPr>
        <w:t>Letchhuman</w:t>
      </w:r>
      <w:proofErr w:type="spellEnd"/>
      <w:r w:rsidRPr="00F52D68">
        <w:rPr>
          <w:rFonts w:asciiTheme="minorBidi" w:hAnsiTheme="minorBidi"/>
          <w:sz w:val="24"/>
          <w:szCs w:val="24"/>
          <w:shd w:val="clear" w:color="auto" w:fill="FFFFFF"/>
        </w:rPr>
        <w:t xml:space="preserve">, S., Fitzgerald, P. </w:t>
      </w:r>
      <w:r>
        <w:rPr>
          <w:rFonts w:asciiTheme="minorBidi" w:hAnsiTheme="minorBidi"/>
          <w:sz w:val="24"/>
          <w:szCs w:val="24"/>
          <w:shd w:val="clear" w:color="auto" w:fill="FFFFFF"/>
        </w:rPr>
        <w:t xml:space="preserve">(2023). A More Humane Model for </w:t>
      </w:r>
      <w:r w:rsidRPr="00F52D68">
        <w:rPr>
          <w:rFonts w:asciiTheme="minorBidi" w:hAnsiTheme="minorBidi"/>
          <w:sz w:val="24"/>
          <w:szCs w:val="24"/>
          <w:shd w:val="clear" w:color="auto" w:fill="FFFFFF"/>
        </w:rPr>
        <w:t>Eldercare in the U.S</w:t>
      </w:r>
      <w:r w:rsidRPr="00F52D68">
        <w:rPr>
          <w:rFonts w:asciiTheme="minorBidi" w:hAnsiTheme="minorBidi"/>
          <w:i/>
          <w:iCs/>
          <w:sz w:val="24"/>
          <w:szCs w:val="24"/>
          <w:shd w:val="clear" w:color="auto" w:fill="FFFFFF"/>
        </w:rPr>
        <w:t>.. Harvard Business Review.</w:t>
      </w:r>
      <w:r w:rsidRPr="00F52D68">
        <w:rPr>
          <w:rFonts w:asciiTheme="minorBidi" w:hAnsiTheme="minorBidi"/>
          <w:sz w:val="24"/>
          <w:szCs w:val="24"/>
          <w:shd w:val="clear" w:color="auto" w:fill="FFFFFF"/>
        </w:rPr>
        <w:t xml:space="preserve"> Available at: </w:t>
      </w:r>
      <w:hyperlink r:id="rId9" w:history="1">
        <w:r w:rsidRPr="00F52D68">
          <w:rPr>
            <w:rStyle w:val="Hyperlink"/>
            <w:rFonts w:asciiTheme="minorBidi" w:hAnsiTheme="minorBidi"/>
            <w:color w:val="auto"/>
            <w:sz w:val="24"/>
            <w:szCs w:val="24"/>
            <w:u w:val="none"/>
            <w:shd w:val="clear" w:color="auto" w:fill="FFFFFF"/>
          </w:rPr>
          <w:t>https://hbr.org/2023/06/a-more-humane-model-for-eldercare-in-the-u-s</w:t>
        </w:r>
      </w:hyperlink>
    </w:p>
    <w:p w14:paraId="11EB0FED" w14:textId="77777777" w:rsidR="00982401" w:rsidRPr="00F52D68" w:rsidRDefault="00982401" w:rsidP="00B20155">
      <w:pPr>
        <w:spacing w:line="360" w:lineRule="auto"/>
        <w:jc w:val="both"/>
        <w:rPr>
          <w:rFonts w:asciiTheme="minorBidi" w:hAnsiTheme="minorBidi"/>
          <w:sz w:val="24"/>
          <w:szCs w:val="24"/>
          <w:shd w:val="clear" w:color="auto" w:fill="FFFFFF"/>
          <w:lang w:val="en-US"/>
        </w:rPr>
      </w:pPr>
      <w:r w:rsidRPr="00F52D68">
        <w:rPr>
          <w:rFonts w:asciiTheme="minorBidi" w:hAnsiTheme="minorBidi"/>
          <w:sz w:val="24"/>
          <w:szCs w:val="24"/>
          <w:shd w:val="clear" w:color="auto" w:fill="FFFFFF"/>
        </w:rPr>
        <w:t xml:space="preserve">Centre for Ageing. (2022). The State of Ageing 2022. Available at: </w:t>
      </w:r>
      <w:hyperlink r:id="rId10" w:history="1">
        <w:r w:rsidRPr="00F52D68">
          <w:rPr>
            <w:rStyle w:val="Hyperlink"/>
            <w:rFonts w:asciiTheme="minorBidi" w:hAnsiTheme="minorBidi"/>
            <w:color w:val="auto"/>
            <w:sz w:val="24"/>
            <w:szCs w:val="24"/>
            <w:u w:val="none"/>
            <w:shd w:val="clear" w:color="auto" w:fill="FFFFFF"/>
          </w:rPr>
          <w:t>https://ageing-better.org.uk/state-of-ageing</w:t>
        </w:r>
      </w:hyperlink>
      <w:r w:rsidRPr="00F52D68">
        <w:rPr>
          <w:rFonts w:asciiTheme="minorBidi" w:hAnsiTheme="minorBidi"/>
          <w:sz w:val="24"/>
          <w:szCs w:val="24"/>
          <w:shd w:val="clear" w:color="auto" w:fill="FFFFFF"/>
        </w:rPr>
        <w:t xml:space="preserve"> (Accessed 27 April 2024). </w:t>
      </w:r>
    </w:p>
    <w:p w14:paraId="01CEA555"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 xml:space="preserve">Centre for Ageing. (2024). Society | The State of Ageing 2023-24. Available at: </w:t>
      </w:r>
      <w:hyperlink r:id="rId11" w:history="1">
        <w:r w:rsidRPr="00F52D68">
          <w:rPr>
            <w:rStyle w:val="Hyperlink"/>
            <w:rFonts w:asciiTheme="minorBidi" w:hAnsiTheme="minorBidi"/>
            <w:color w:val="auto"/>
            <w:sz w:val="24"/>
            <w:szCs w:val="24"/>
            <w:u w:val="none"/>
            <w:shd w:val="clear" w:color="auto" w:fill="FFFFFF"/>
          </w:rPr>
          <w:t>https://ageing-better.org.uk/society-state-ageing-2023-4</w:t>
        </w:r>
      </w:hyperlink>
      <w:r w:rsidRPr="00F52D68">
        <w:rPr>
          <w:rFonts w:asciiTheme="minorBidi" w:hAnsiTheme="minorBidi"/>
          <w:sz w:val="24"/>
          <w:szCs w:val="24"/>
          <w:shd w:val="clear" w:color="auto" w:fill="FFFFFF"/>
        </w:rPr>
        <w:t xml:space="preserve"> (Accessed 29 April 2024). </w:t>
      </w:r>
    </w:p>
    <w:p w14:paraId="6FA96420"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 xml:space="preserve">Dambha-Miller, H., Simpson, G., Hobson, L., Roderick, P., Little, </w:t>
      </w:r>
      <w:r>
        <w:rPr>
          <w:rFonts w:asciiTheme="minorBidi" w:hAnsiTheme="minorBidi"/>
          <w:sz w:val="24"/>
          <w:szCs w:val="24"/>
          <w:shd w:val="clear" w:color="auto" w:fill="FFFFFF"/>
        </w:rPr>
        <w:t>P., Everitt, H. and Santer, M. (</w:t>
      </w:r>
      <w:r w:rsidRPr="00F52D68">
        <w:rPr>
          <w:rFonts w:asciiTheme="minorBidi" w:hAnsiTheme="minorBidi"/>
          <w:sz w:val="24"/>
          <w:szCs w:val="24"/>
          <w:shd w:val="clear" w:color="auto" w:fill="FFFFFF"/>
        </w:rPr>
        <w:t>2021</w:t>
      </w:r>
      <w:r>
        <w:rPr>
          <w:rFonts w:asciiTheme="minorBidi" w:hAnsiTheme="minorBidi"/>
          <w:sz w:val="24"/>
          <w:szCs w:val="24"/>
          <w:shd w:val="clear" w:color="auto" w:fill="FFFFFF"/>
        </w:rPr>
        <w:t>)</w:t>
      </w:r>
      <w:r w:rsidRPr="00F52D68">
        <w:rPr>
          <w:rFonts w:asciiTheme="minorBidi" w:hAnsiTheme="minorBidi"/>
          <w:sz w:val="24"/>
          <w:szCs w:val="24"/>
          <w:shd w:val="clear" w:color="auto" w:fill="FFFFFF"/>
        </w:rPr>
        <w:t>. Integrated primary care and social services for older adults with multimorbidity in England: a scoping review. </w:t>
      </w:r>
      <w:r w:rsidRPr="00F52D68">
        <w:rPr>
          <w:rFonts w:asciiTheme="minorBidi" w:hAnsiTheme="minorBidi"/>
          <w:i/>
          <w:iCs/>
          <w:sz w:val="24"/>
          <w:szCs w:val="24"/>
          <w:shd w:val="clear" w:color="auto" w:fill="FFFFFF"/>
        </w:rPr>
        <w:t>BMC geriatrics</w:t>
      </w:r>
      <w:r w:rsidRPr="00DC550B">
        <w:rPr>
          <w:rFonts w:asciiTheme="minorBidi" w:hAnsiTheme="minorBidi"/>
          <w:sz w:val="24"/>
          <w:szCs w:val="24"/>
          <w:shd w:val="clear" w:color="auto" w:fill="FFFFFF"/>
        </w:rPr>
        <w:t>, 21,</w:t>
      </w:r>
      <w:r w:rsidRPr="00F52D68">
        <w:rPr>
          <w:rFonts w:asciiTheme="minorBidi" w:hAnsiTheme="minorBidi"/>
          <w:sz w:val="24"/>
          <w:szCs w:val="24"/>
          <w:shd w:val="clear" w:color="auto" w:fill="FFFFFF"/>
        </w:rPr>
        <w:t xml:space="preserve"> pp.1-24.</w:t>
      </w:r>
    </w:p>
    <w:p w14:paraId="50730CF2"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lastRenderedPageBreak/>
        <w:t xml:space="preserve">Department for Health. (2001). National Service Framework for older people. Available at: </w:t>
      </w:r>
      <w:hyperlink r:id="rId12" w:history="1">
        <w:r w:rsidRPr="00F52D68">
          <w:rPr>
            <w:rStyle w:val="Hyperlink"/>
            <w:rFonts w:asciiTheme="minorBidi" w:hAnsiTheme="minorBidi"/>
            <w:color w:val="auto"/>
            <w:sz w:val="24"/>
            <w:szCs w:val="24"/>
            <w:u w:val="none"/>
            <w:shd w:val="clear" w:color="auto" w:fill="FFFFFF"/>
          </w:rPr>
          <w:t>https://assets.publishing.service.gov.uk/media/5a7b4f16e5274a34770ead1c/National_Service_Framework_for_Older_People.pdf</w:t>
        </w:r>
      </w:hyperlink>
      <w:r w:rsidRPr="00F52D68">
        <w:rPr>
          <w:rFonts w:asciiTheme="minorBidi" w:hAnsiTheme="minorBidi"/>
          <w:sz w:val="24"/>
          <w:szCs w:val="24"/>
          <w:shd w:val="clear" w:color="auto" w:fill="FFFFFF"/>
        </w:rPr>
        <w:t xml:space="preserve"> (Accessed 29 April 2024). </w:t>
      </w:r>
    </w:p>
    <w:p w14:paraId="68C49147"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 xml:space="preserve">Department of Health. (2023). Living well with dementia: a national dementia strategy. Available at: </w:t>
      </w:r>
      <w:hyperlink r:id="rId13" w:history="1">
        <w:r w:rsidRPr="00F52D68">
          <w:rPr>
            <w:rStyle w:val="Hyperlink"/>
            <w:rFonts w:asciiTheme="minorBidi" w:hAnsiTheme="minorBidi"/>
            <w:color w:val="auto"/>
            <w:sz w:val="24"/>
            <w:szCs w:val="24"/>
            <w:u w:val="none"/>
            <w:shd w:val="clear" w:color="auto" w:fill="FFFFFF"/>
          </w:rPr>
          <w:t>https://assets.publishing.service.gov.uk/media/5a7b63e9e5274a34770eb5f4/dh_094052.pdf</w:t>
        </w:r>
      </w:hyperlink>
      <w:r w:rsidRPr="00F52D68">
        <w:rPr>
          <w:rFonts w:asciiTheme="minorBidi" w:hAnsiTheme="minorBidi"/>
          <w:sz w:val="24"/>
          <w:szCs w:val="24"/>
          <w:shd w:val="clear" w:color="auto" w:fill="FFFFFF"/>
        </w:rPr>
        <w:t xml:space="preserve"> (Accessed 26 April 2024). </w:t>
      </w:r>
    </w:p>
    <w:p w14:paraId="58064A2D" w14:textId="2C4DC171" w:rsidR="00982401" w:rsidRPr="00F52D68" w:rsidRDefault="00982401" w:rsidP="00B20155">
      <w:pPr>
        <w:spacing w:line="360" w:lineRule="auto"/>
        <w:jc w:val="both"/>
        <w:rPr>
          <w:rFonts w:asciiTheme="minorBidi" w:hAnsiTheme="minorBidi"/>
          <w:sz w:val="24"/>
          <w:szCs w:val="24"/>
          <w:shd w:val="clear" w:color="auto" w:fill="FFFFFF"/>
          <w:lang w:val="en-US"/>
        </w:rPr>
      </w:pPr>
      <w:r w:rsidRPr="00F52D68">
        <w:rPr>
          <w:rFonts w:asciiTheme="minorBidi" w:hAnsiTheme="minorBidi"/>
          <w:sz w:val="24"/>
          <w:szCs w:val="24"/>
        </w:rPr>
        <w:t xml:space="preserve">Department of Health </w:t>
      </w:r>
      <w:r w:rsidR="00744ADF">
        <w:rPr>
          <w:rFonts w:asciiTheme="minorBidi" w:hAnsiTheme="minorBidi"/>
          <w:sz w:val="24"/>
          <w:szCs w:val="24"/>
        </w:rPr>
        <w:t>and</w:t>
      </w:r>
      <w:r w:rsidRPr="00F52D68">
        <w:rPr>
          <w:rFonts w:asciiTheme="minorBidi" w:hAnsiTheme="minorBidi"/>
          <w:sz w:val="24"/>
          <w:szCs w:val="24"/>
        </w:rPr>
        <w:t xml:space="preserve"> Social Care. (2023). Major conditions strategy: case for change and our strategic framework. Available at: </w:t>
      </w:r>
      <w:hyperlink r:id="rId14" w:anchor="chapter-4-living-with-major-conditions" w:history="1">
        <w:r w:rsidRPr="00F52D68">
          <w:rPr>
            <w:rStyle w:val="Hyperlink"/>
            <w:rFonts w:asciiTheme="minorBidi" w:hAnsiTheme="minorBidi"/>
            <w:color w:val="auto"/>
            <w:sz w:val="24"/>
            <w:szCs w:val="24"/>
            <w:u w:val="none"/>
          </w:rPr>
          <w:t>https://www.gov.uk/government/publications/major-conditions-strategy-case-for-change-and-our-strategic-framework/major-conditions-strategy-case-for-change-and-our-strategic-framework--2#chapter-4-living-with-major-conditions</w:t>
        </w:r>
      </w:hyperlink>
      <w:r w:rsidRPr="00F52D68">
        <w:rPr>
          <w:rFonts w:asciiTheme="minorBidi" w:hAnsiTheme="minorBidi"/>
          <w:sz w:val="24"/>
          <w:szCs w:val="24"/>
        </w:rPr>
        <w:t xml:space="preserve"> (Accessed 26 April 2024). </w:t>
      </w:r>
    </w:p>
    <w:p w14:paraId="04588415" w14:textId="77777777" w:rsidR="00982401" w:rsidRPr="00F52D68" w:rsidRDefault="00982401" w:rsidP="00B20155">
      <w:pPr>
        <w:spacing w:line="360" w:lineRule="auto"/>
        <w:jc w:val="both"/>
        <w:rPr>
          <w:rFonts w:asciiTheme="minorBidi" w:hAnsiTheme="minorBidi"/>
          <w:sz w:val="24"/>
          <w:szCs w:val="24"/>
        </w:rPr>
      </w:pPr>
      <w:r w:rsidRPr="00F52D68">
        <w:rPr>
          <w:rFonts w:asciiTheme="minorBidi" w:hAnsiTheme="minorBidi"/>
          <w:sz w:val="24"/>
          <w:szCs w:val="24"/>
        </w:rPr>
        <w:t xml:space="preserve">European Parliament Technology Assessment (2019). Technologies in care for older people. Available at: </w:t>
      </w:r>
      <w:hyperlink r:id="rId15" w:history="1">
        <w:r w:rsidRPr="00F52D68">
          <w:rPr>
            <w:rStyle w:val="Hyperlink"/>
            <w:rFonts w:asciiTheme="minorBidi" w:hAnsiTheme="minorBidi"/>
            <w:color w:val="auto"/>
            <w:sz w:val="24"/>
            <w:szCs w:val="24"/>
            <w:u w:val="none"/>
          </w:rPr>
          <w:t>https://eptanetwork.org/images/documents/minutes/EPTA_report_2019.pdf</w:t>
        </w:r>
      </w:hyperlink>
      <w:r w:rsidRPr="00F52D68">
        <w:rPr>
          <w:rFonts w:asciiTheme="minorBidi" w:hAnsiTheme="minorBidi"/>
          <w:sz w:val="24"/>
          <w:szCs w:val="24"/>
        </w:rPr>
        <w:t xml:space="preserve"> (Accessed 28 April 2024).</w:t>
      </w:r>
    </w:p>
    <w:p w14:paraId="52CFC40A" w14:textId="77777777" w:rsidR="00982401" w:rsidRPr="00F52D68" w:rsidRDefault="00982401" w:rsidP="00B20155">
      <w:pPr>
        <w:spacing w:line="360" w:lineRule="auto"/>
        <w:jc w:val="both"/>
        <w:rPr>
          <w:rFonts w:asciiTheme="minorBidi" w:hAnsiTheme="minorBidi"/>
          <w:sz w:val="24"/>
          <w:szCs w:val="24"/>
        </w:rPr>
      </w:pPr>
      <w:r>
        <w:rPr>
          <w:rFonts w:asciiTheme="minorBidi" w:hAnsiTheme="minorBidi"/>
          <w:sz w:val="24"/>
          <w:szCs w:val="24"/>
          <w:shd w:val="clear" w:color="auto" w:fill="FFFFFF"/>
        </w:rPr>
        <w:t>Jentoft, E.E. (</w:t>
      </w:r>
      <w:r w:rsidRPr="00F52D68">
        <w:rPr>
          <w:rFonts w:asciiTheme="minorBidi" w:hAnsiTheme="minorBidi"/>
          <w:sz w:val="24"/>
          <w:szCs w:val="24"/>
          <w:shd w:val="clear" w:color="auto" w:fill="FFFFFF"/>
        </w:rPr>
        <w:t>2023</w:t>
      </w:r>
      <w:r>
        <w:rPr>
          <w:rFonts w:asciiTheme="minorBidi" w:hAnsiTheme="minorBidi"/>
          <w:sz w:val="24"/>
          <w:szCs w:val="24"/>
          <w:shd w:val="clear" w:color="auto" w:fill="FFFFFF"/>
        </w:rPr>
        <w:t>)</w:t>
      </w:r>
      <w:r w:rsidRPr="00F52D68">
        <w:rPr>
          <w:rFonts w:asciiTheme="minorBidi" w:hAnsiTheme="minorBidi"/>
          <w:sz w:val="24"/>
          <w:szCs w:val="24"/>
          <w:shd w:val="clear" w:color="auto" w:fill="FFFFFF"/>
        </w:rPr>
        <w:t>. Technology and older adults in British loneliness policy and political discourse. </w:t>
      </w:r>
      <w:r w:rsidRPr="00F52D68">
        <w:rPr>
          <w:rFonts w:asciiTheme="minorBidi" w:hAnsiTheme="minorBidi"/>
          <w:i/>
          <w:iCs/>
          <w:sz w:val="24"/>
          <w:szCs w:val="24"/>
          <w:shd w:val="clear" w:color="auto" w:fill="FFFFFF"/>
        </w:rPr>
        <w:t>Frontiers in Digital Health</w:t>
      </w:r>
      <w:r w:rsidRPr="00F52D68">
        <w:rPr>
          <w:rFonts w:asciiTheme="minorBidi" w:hAnsiTheme="minorBidi"/>
          <w:sz w:val="24"/>
          <w:szCs w:val="24"/>
          <w:shd w:val="clear" w:color="auto" w:fill="FFFFFF"/>
        </w:rPr>
        <w:t>, </w:t>
      </w:r>
      <w:r w:rsidRPr="00F52D68">
        <w:rPr>
          <w:rFonts w:asciiTheme="minorBidi" w:hAnsiTheme="minorBidi"/>
          <w:i/>
          <w:iCs/>
          <w:sz w:val="24"/>
          <w:szCs w:val="24"/>
          <w:shd w:val="clear" w:color="auto" w:fill="FFFFFF"/>
        </w:rPr>
        <w:t>5</w:t>
      </w:r>
      <w:r w:rsidRPr="00F52D68">
        <w:rPr>
          <w:rFonts w:asciiTheme="minorBidi" w:hAnsiTheme="minorBidi"/>
          <w:sz w:val="24"/>
          <w:szCs w:val="24"/>
          <w:shd w:val="clear" w:color="auto" w:fill="FFFFFF"/>
        </w:rPr>
        <w:t>.</w:t>
      </w:r>
    </w:p>
    <w:p w14:paraId="07A08622" w14:textId="77777777" w:rsidR="00982401" w:rsidRPr="00F52D68" w:rsidRDefault="00982401" w:rsidP="00B20155">
      <w:pPr>
        <w:spacing w:line="360" w:lineRule="auto"/>
        <w:jc w:val="both"/>
        <w:rPr>
          <w:rFonts w:asciiTheme="minorBidi" w:hAnsiTheme="minorBidi"/>
          <w:sz w:val="24"/>
          <w:szCs w:val="24"/>
          <w:lang w:val="en-US"/>
        </w:rPr>
      </w:pPr>
      <w:r w:rsidRPr="00F52D68">
        <w:rPr>
          <w:rFonts w:asciiTheme="minorBidi" w:hAnsiTheme="minorBidi"/>
          <w:sz w:val="24"/>
          <w:szCs w:val="24"/>
        </w:rPr>
        <w:t xml:space="preserve">King’s Fund. (2022). The Health and Care Act: six key questions. Available at: </w:t>
      </w:r>
      <w:hyperlink r:id="rId16" w:history="1">
        <w:r w:rsidRPr="00F52D68">
          <w:rPr>
            <w:rStyle w:val="Hyperlink"/>
            <w:rFonts w:asciiTheme="minorBidi" w:hAnsiTheme="minorBidi"/>
            <w:color w:val="auto"/>
            <w:sz w:val="24"/>
            <w:szCs w:val="24"/>
            <w:u w:val="none"/>
          </w:rPr>
          <w:t>https://www.kingsfund.org.uk/insight-and-analysis/long-reads/health-and-care-act-key-questions</w:t>
        </w:r>
      </w:hyperlink>
      <w:r w:rsidRPr="00F52D68">
        <w:rPr>
          <w:rFonts w:asciiTheme="minorBidi" w:hAnsiTheme="minorBidi"/>
          <w:sz w:val="24"/>
          <w:szCs w:val="24"/>
        </w:rPr>
        <w:t xml:space="preserve"> (Accessed 27 April 2024). </w:t>
      </w:r>
    </w:p>
    <w:p w14:paraId="3446794E" w14:textId="77777777" w:rsidR="00982401" w:rsidRPr="00F52D68" w:rsidRDefault="00982401" w:rsidP="00B20155">
      <w:pPr>
        <w:spacing w:line="360" w:lineRule="auto"/>
        <w:jc w:val="both"/>
        <w:rPr>
          <w:rFonts w:asciiTheme="minorBidi" w:hAnsiTheme="minorBidi"/>
          <w:sz w:val="24"/>
          <w:szCs w:val="24"/>
          <w:shd w:val="clear" w:color="auto" w:fill="FFFFFF"/>
        </w:rPr>
      </w:pPr>
      <w:r>
        <w:rPr>
          <w:rFonts w:asciiTheme="minorBidi" w:hAnsiTheme="minorBidi"/>
          <w:sz w:val="24"/>
          <w:szCs w:val="24"/>
          <w:shd w:val="clear" w:color="auto" w:fill="FFFFFF"/>
        </w:rPr>
        <w:t>MacGuire, F.A. (</w:t>
      </w:r>
      <w:r w:rsidRPr="00F52D68">
        <w:rPr>
          <w:rFonts w:asciiTheme="minorBidi" w:hAnsiTheme="minorBidi"/>
          <w:sz w:val="24"/>
          <w:szCs w:val="24"/>
          <w:shd w:val="clear" w:color="auto" w:fill="FFFFFF"/>
        </w:rPr>
        <w:t>2020</w:t>
      </w:r>
      <w:r>
        <w:rPr>
          <w:rFonts w:asciiTheme="minorBidi" w:hAnsiTheme="minorBidi"/>
          <w:sz w:val="24"/>
          <w:szCs w:val="24"/>
          <w:shd w:val="clear" w:color="auto" w:fill="FFFFFF"/>
        </w:rPr>
        <w:t>)</w:t>
      </w:r>
      <w:r w:rsidRPr="00F52D68">
        <w:rPr>
          <w:rFonts w:asciiTheme="minorBidi" w:hAnsiTheme="minorBidi"/>
          <w:sz w:val="24"/>
          <w:szCs w:val="24"/>
          <w:shd w:val="clear" w:color="auto" w:fill="FFFFFF"/>
        </w:rPr>
        <w:t>. Reducing health inequalities in aging through policy frameworks and interventions. </w:t>
      </w:r>
      <w:r w:rsidRPr="00F52D68">
        <w:rPr>
          <w:rFonts w:asciiTheme="minorBidi" w:hAnsiTheme="minorBidi"/>
          <w:i/>
          <w:iCs/>
          <w:sz w:val="24"/>
          <w:szCs w:val="24"/>
          <w:shd w:val="clear" w:color="auto" w:fill="FFFFFF"/>
        </w:rPr>
        <w:t>Frontiers in public health</w:t>
      </w:r>
      <w:r w:rsidRPr="00F52D68">
        <w:rPr>
          <w:rFonts w:asciiTheme="minorBidi" w:hAnsiTheme="minorBidi"/>
          <w:sz w:val="24"/>
          <w:szCs w:val="24"/>
          <w:shd w:val="clear" w:color="auto" w:fill="FFFFFF"/>
        </w:rPr>
        <w:t>, </w:t>
      </w:r>
      <w:r w:rsidRPr="00F52D68">
        <w:rPr>
          <w:rFonts w:asciiTheme="minorBidi" w:hAnsiTheme="minorBidi"/>
          <w:i/>
          <w:iCs/>
          <w:sz w:val="24"/>
          <w:szCs w:val="24"/>
          <w:shd w:val="clear" w:color="auto" w:fill="FFFFFF"/>
        </w:rPr>
        <w:t>8</w:t>
      </w:r>
      <w:r w:rsidRPr="00F52D68">
        <w:rPr>
          <w:rFonts w:asciiTheme="minorBidi" w:hAnsiTheme="minorBidi"/>
          <w:sz w:val="24"/>
          <w:szCs w:val="24"/>
          <w:shd w:val="clear" w:color="auto" w:fill="FFFFFF"/>
        </w:rPr>
        <w:t>, p.505385.</w:t>
      </w:r>
    </w:p>
    <w:p w14:paraId="0EA86C99" w14:textId="77777777" w:rsidR="00982401" w:rsidRPr="00F52D68" w:rsidRDefault="00982401" w:rsidP="00B20155">
      <w:pPr>
        <w:spacing w:line="360" w:lineRule="auto"/>
        <w:ind w:left="720"/>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Mao,</w:t>
      </w:r>
      <w:r>
        <w:rPr>
          <w:rFonts w:asciiTheme="minorBidi" w:hAnsiTheme="minorBidi"/>
          <w:sz w:val="24"/>
          <w:szCs w:val="24"/>
          <w:shd w:val="clear" w:color="auto" w:fill="FFFFFF"/>
        </w:rPr>
        <w:t xml:space="preserve"> L., Mohan, G. and Normand, C. (</w:t>
      </w:r>
      <w:r w:rsidRPr="00F52D68">
        <w:rPr>
          <w:rFonts w:asciiTheme="minorBidi" w:hAnsiTheme="minorBidi"/>
          <w:sz w:val="24"/>
          <w:szCs w:val="24"/>
          <w:shd w:val="clear" w:color="auto" w:fill="FFFFFF"/>
        </w:rPr>
        <w:t>2023</w:t>
      </w:r>
      <w:r>
        <w:rPr>
          <w:rFonts w:asciiTheme="minorBidi" w:hAnsiTheme="minorBidi"/>
          <w:sz w:val="24"/>
          <w:szCs w:val="24"/>
          <w:shd w:val="clear" w:color="auto" w:fill="FFFFFF"/>
        </w:rPr>
        <w:t>)</w:t>
      </w:r>
      <w:r w:rsidRPr="00F52D68">
        <w:rPr>
          <w:rFonts w:asciiTheme="minorBidi" w:hAnsiTheme="minorBidi"/>
          <w:sz w:val="24"/>
          <w:szCs w:val="24"/>
          <w:shd w:val="clear" w:color="auto" w:fill="FFFFFF"/>
        </w:rPr>
        <w:t>. Use of information communication technologies by older people and telemedicine adoption during COVID-19: a longitudinal study. </w:t>
      </w:r>
      <w:r w:rsidRPr="00F52D68">
        <w:rPr>
          <w:rFonts w:asciiTheme="minorBidi" w:hAnsiTheme="minorBidi"/>
          <w:i/>
          <w:iCs/>
          <w:sz w:val="24"/>
          <w:szCs w:val="24"/>
          <w:shd w:val="clear" w:color="auto" w:fill="FFFFFF"/>
        </w:rPr>
        <w:t>Journal of the American Medical Informatics Association</w:t>
      </w:r>
      <w:r w:rsidRPr="00F52D68">
        <w:rPr>
          <w:rFonts w:asciiTheme="minorBidi" w:hAnsiTheme="minorBidi"/>
          <w:sz w:val="24"/>
          <w:szCs w:val="24"/>
          <w:shd w:val="clear" w:color="auto" w:fill="FFFFFF"/>
        </w:rPr>
        <w:t>, </w:t>
      </w:r>
      <w:r w:rsidRPr="00F52D68">
        <w:rPr>
          <w:rFonts w:asciiTheme="minorBidi" w:hAnsiTheme="minorBidi"/>
          <w:i/>
          <w:iCs/>
          <w:sz w:val="24"/>
          <w:szCs w:val="24"/>
          <w:shd w:val="clear" w:color="auto" w:fill="FFFFFF"/>
        </w:rPr>
        <w:t>30</w:t>
      </w:r>
      <w:r w:rsidRPr="00F52D68">
        <w:rPr>
          <w:rFonts w:asciiTheme="minorBidi" w:hAnsiTheme="minorBidi"/>
          <w:sz w:val="24"/>
          <w:szCs w:val="24"/>
          <w:shd w:val="clear" w:color="auto" w:fill="FFFFFF"/>
        </w:rPr>
        <w:t>(12), pp.2012-2020.</w:t>
      </w:r>
    </w:p>
    <w:p w14:paraId="6E5AD317" w14:textId="77777777" w:rsidR="00982401" w:rsidRPr="00F52D68" w:rsidRDefault="00982401" w:rsidP="00B20155">
      <w:pPr>
        <w:spacing w:line="360" w:lineRule="auto"/>
        <w:jc w:val="both"/>
        <w:rPr>
          <w:rFonts w:asciiTheme="minorBidi" w:hAnsiTheme="minorBidi"/>
          <w:sz w:val="24"/>
          <w:szCs w:val="24"/>
          <w:shd w:val="clear" w:color="auto" w:fill="FFFFFF"/>
          <w:lang w:val="en-US"/>
        </w:rPr>
      </w:pPr>
    </w:p>
    <w:p w14:paraId="2D610B53"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Na</w:t>
      </w:r>
      <w:r>
        <w:rPr>
          <w:rFonts w:asciiTheme="minorBidi" w:hAnsiTheme="minorBidi"/>
          <w:sz w:val="24"/>
          <w:szCs w:val="24"/>
          <w:shd w:val="clear" w:color="auto" w:fill="FFFFFF"/>
        </w:rPr>
        <w:t>garajan, N.R. and Sixsmith, A. (</w:t>
      </w:r>
      <w:r w:rsidRPr="00F52D68">
        <w:rPr>
          <w:rFonts w:asciiTheme="minorBidi" w:hAnsiTheme="minorBidi"/>
          <w:sz w:val="24"/>
          <w:szCs w:val="24"/>
          <w:shd w:val="clear" w:color="auto" w:fill="FFFFFF"/>
        </w:rPr>
        <w:t>2023</w:t>
      </w:r>
      <w:r>
        <w:rPr>
          <w:rFonts w:asciiTheme="minorBidi" w:hAnsiTheme="minorBidi"/>
          <w:sz w:val="24"/>
          <w:szCs w:val="24"/>
          <w:shd w:val="clear" w:color="auto" w:fill="FFFFFF"/>
        </w:rPr>
        <w:t>)</w:t>
      </w:r>
      <w:r w:rsidRPr="00F52D68">
        <w:rPr>
          <w:rFonts w:asciiTheme="minorBidi" w:hAnsiTheme="minorBidi"/>
          <w:sz w:val="24"/>
          <w:szCs w:val="24"/>
          <w:shd w:val="clear" w:color="auto" w:fill="FFFFFF"/>
        </w:rPr>
        <w:t>. Policy initiatives to address the challenges of an older population in the workforce. </w:t>
      </w:r>
      <w:r w:rsidRPr="00F52D68">
        <w:rPr>
          <w:rFonts w:asciiTheme="minorBidi" w:hAnsiTheme="minorBidi"/>
          <w:i/>
          <w:iCs/>
          <w:sz w:val="24"/>
          <w:szCs w:val="24"/>
          <w:shd w:val="clear" w:color="auto" w:fill="FFFFFF"/>
        </w:rPr>
        <w:t>Ageing International</w:t>
      </w:r>
      <w:r w:rsidRPr="00F52D68">
        <w:rPr>
          <w:rFonts w:asciiTheme="minorBidi" w:hAnsiTheme="minorBidi"/>
          <w:sz w:val="24"/>
          <w:szCs w:val="24"/>
          <w:shd w:val="clear" w:color="auto" w:fill="FFFFFF"/>
        </w:rPr>
        <w:t>, </w:t>
      </w:r>
      <w:r w:rsidRPr="001A3212">
        <w:rPr>
          <w:rFonts w:asciiTheme="minorBidi" w:hAnsiTheme="minorBidi"/>
          <w:sz w:val="24"/>
          <w:szCs w:val="24"/>
          <w:shd w:val="clear" w:color="auto" w:fill="FFFFFF"/>
        </w:rPr>
        <w:t>48</w:t>
      </w:r>
      <w:r w:rsidRPr="00F52D68">
        <w:rPr>
          <w:rFonts w:asciiTheme="minorBidi" w:hAnsiTheme="minorBidi"/>
          <w:sz w:val="24"/>
          <w:szCs w:val="24"/>
          <w:shd w:val="clear" w:color="auto" w:fill="FFFFFF"/>
        </w:rPr>
        <w:t>(1), pp.41-77.</w:t>
      </w:r>
    </w:p>
    <w:p w14:paraId="7EFC2D44" w14:textId="77777777" w:rsidR="00982401" w:rsidRPr="00F52D68" w:rsidRDefault="00982401" w:rsidP="00B20155">
      <w:pPr>
        <w:spacing w:line="360" w:lineRule="auto"/>
        <w:ind w:left="720"/>
        <w:jc w:val="both"/>
        <w:rPr>
          <w:rFonts w:asciiTheme="minorBidi" w:hAnsiTheme="minorBidi"/>
          <w:sz w:val="24"/>
          <w:szCs w:val="24"/>
          <w:shd w:val="clear" w:color="auto" w:fill="FFFFFF"/>
          <w:lang w:val="en-US"/>
        </w:rPr>
      </w:pPr>
      <w:r w:rsidRPr="00F52D68">
        <w:rPr>
          <w:rFonts w:asciiTheme="minorBidi" w:hAnsiTheme="minorBidi"/>
          <w:sz w:val="24"/>
          <w:szCs w:val="24"/>
        </w:rPr>
        <w:t>National Institute for Ageing. (2020). Goal C: Develop effe</w:t>
      </w:r>
      <w:r>
        <w:rPr>
          <w:rFonts w:asciiTheme="minorBidi" w:hAnsiTheme="minorBidi"/>
          <w:sz w:val="24"/>
          <w:szCs w:val="24"/>
        </w:rPr>
        <w:t xml:space="preserve">ctive interventions to maintain </w:t>
      </w:r>
      <w:r w:rsidRPr="00F52D68">
        <w:rPr>
          <w:rFonts w:asciiTheme="minorBidi" w:hAnsiTheme="minorBidi"/>
          <w:sz w:val="24"/>
          <w:szCs w:val="24"/>
        </w:rPr>
        <w:t xml:space="preserve">health, well-being, and function and prevent or reduce the burden of age-related diseases, disorders, and disabilities. Available at: </w:t>
      </w:r>
      <w:hyperlink r:id="rId17" w:history="1">
        <w:r w:rsidRPr="00F52D68">
          <w:rPr>
            <w:rStyle w:val="Hyperlink"/>
            <w:rFonts w:asciiTheme="minorBidi" w:hAnsiTheme="minorBidi"/>
            <w:color w:val="auto"/>
            <w:sz w:val="24"/>
            <w:szCs w:val="24"/>
            <w:u w:val="none"/>
          </w:rPr>
          <w:t>https://www.nia.nih.gov/about/aging-strategic-directions-research/goal-health-interventions</w:t>
        </w:r>
      </w:hyperlink>
      <w:r w:rsidRPr="00F52D68">
        <w:rPr>
          <w:rFonts w:asciiTheme="minorBidi" w:hAnsiTheme="minorBidi"/>
          <w:sz w:val="24"/>
          <w:szCs w:val="24"/>
        </w:rPr>
        <w:t xml:space="preserve"> (Accessed 25 April 2024). </w:t>
      </w:r>
    </w:p>
    <w:p w14:paraId="2B6179CC" w14:textId="77777777" w:rsidR="00982401" w:rsidRPr="00F52D68" w:rsidRDefault="00982401" w:rsidP="00B20155">
      <w:pPr>
        <w:spacing w:line="360" w:lineRule="auto"/>
        <w:jc w:val="both"/>
        <w:rPr>
          <w:rFonts w:asciiTheme="minorBidi" w:hAnsiTheme="minorBidi"/>
          <w:sz w:val="24"/>
          <w:szCs w:val="24"/>
          <w:shd w:val="clear" w:color="auto" w:fill="FFFFFF"/>
          <w:lang w:val="en-US"/>
        </w:rPr>
      </w:pPr>
    </w:p>
    <w:p w14:paraId="558A56C2"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 xml:space="preserve">Nightingale, G., and Merrifield, K. (2023). Major conditions strategy: the case for change. The Health Foundation. Available at:  </w:t>
      </w:r>
      <w:hyperlink r:id="rId18" w:history="1">
        <w:r w:rsidRPr="00F52D68">
          <w:rPr>
            <w:rStyle w:val="Hyperlink"/>
            <w:rFonts w:asciiTheme="minorBidi" w:hAnsiTheme="minorBidi"/>
            <w:color w:val="auto"/>
            <w:sz w:val="24"/>
            <w:szCs w:val="24"/>
            <w:u w:val="none"/>
            <w:shd w:val="clear" w:color="auto" w:fill="FFFFFF"/>
          </w:rPr>
          <w:t>https://www.health.org.uk/news-and-comment/blogs/major-conditions-strategy-the-case-for-change</w:t>
        </w:r>
      </w:hyperlink>
      <w:r w:rsidRPr="00F52D68">
        <w:rPr>
          <w:rFonts w:asciiTheme="minorBidi" w:hAnsiTheme="minorBidi"/>
          <w:sz w:val="24"/>
          <w:szCs w:val="24"/>
          <w:shd w:val="clear" w:color="auto" w:fill="FFFFFF"/>
        </w:rPr>
        <w:t xml:space="preserve"> (Accessed 26 April 2024).</w:t>
      </w:r>
    </w:p>
    <w:p w14:paraId="372F2D8A" w14:textId="77777777" w:rsidR="00982401" w:rsidRPr="00F52D68" w:rsidRDefault="00982401" w:rsidP="00B20155">
      <w:pPr>
        <w:spacing w:line="360" w:lineRule="auto"/>
        <w:jc w:val="both"/>
        <w:rPr>
          <w:rFonts w:asciiTheme="minorBidi" w:hAnsiTheme="minorBidi"/>
          <w:sz w:val="24"/>
          <w:szCs w:val="24"/>
          <w:shd w:val="clear" w:color="auto" w:fill="FFFFFF"/>
          <w:lang w:val="en-US"/>
        </w:rPr>
      </w:pPr>
      <w:r w:rsidRPr="00F52D68">
        <w:rPr>
          <w:rFonts w:asciiTheme="minorBidi" w:hAnsiTheme="minorBidi"/>
          <w:sz w:val="24"/>
          <w:szCs w:val="24"/>
          <w:shd w:val="clear" w:color="auto" w:fill="FFFFFF"/>
        </w:rPr>
        <w:t xml:space="preserve">Office for National Statistics. (2024). National population projections: 2021-based interim. Available at: </w:t>
      </w:r>
      <w:hyperlink r:id="rId19" w:history="1">
        <w:r w:rsidRPr="00F52D68">
          <w:rPr>
            <w:rStyle w:val="Hyperlink"/>
            <w:rFonts w:asciiTheme="minorBidi" w:hAnsiTheme="minorBidi"/>
            <w:color w:val="auto"/>
            <w:sz w:val="24"/>
            <w:szCs w:val="24"/>
            <w:u w:val="none"/>
            <w:shd w:val="clear" w:color="auto" w:fill="FFFFFF"/>
          </w:rPr>
          <w:t>https://www.ons.gov.uk/peoplepopulationandcommunity/populationandmigration/populationprojections/bulletins/nationalpopulationprojections/2021basedinterim</w:t>
        </w:r>
      </w:hyperlink>
      <w:r w:rsidRPr="00F52D68">
        <w:rPr>
          <w:rFonts w:asciiTheme="minorBidi" w:hAnsiTheme="minorBidi"/>
          <w:sz w:val="24"/>
          <w:szCs w:val="24"/>
          <w:shd w:val="clear" w:color="auto" w:fill="FFFFFF"/>
        </w:rPr>
        <w:t xml:space="preserve"> (Accessed 28 April 2024). </w:t>
      </w:r>
    </w:p>
    <w:p w14:paraId="27F2D18A"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 xml:space="preserve">Rudnicka, E., </w:t>
      </w:r>
      <w:proofErr w:type="spellStart"/>
      <w:r w:rsidRPr="00F52D68">
        <w:rPr>
          <w:rFonts w:asciiTheme="minorBidi" w:hAnsiTheme="minorBidi"/>
          <w:sz w:val="24"/>
          <w:szCs w:val="24"/>
          <w:shd w:val="clear" w:color="auto" w:fill="FFFFFF"/>
        </w:rPr>
        <w:t>Napierała</w:t>
      </w:r>
      <w:proofErr w:type="spellEnd"/>
      <w:r w:rsidRPr="00F52D68">
        <w:rPr>
          <w:rFonts w:asciiTheme="minorBidi" w:hAnsiTheme="minorBidi"/>
          <w:sz w:val="24"/>
          <w:szCs w:val="24"/>
          <w:shd w:val="clear" w:color="auto" w:fill="FFFFFF"/>
        </w:rPr>
        <w:t xml:space="preserve">, P., </w:t>
      </w:r>
      <w:proofErr w:type="spellStart"/>
      <w:r w:rsidRPr="00F52D68">
        <w:rPr>
          <w:rFonts w:asciiTheme="minorBidi" w:hAnsiTheme="minorBidi"/>
          <w:sz w:val="24"/>
          <w:szCs w:val="24"/>
          <w:shd w:val="clear" w:color="auto" w:fill="FFFFFF"/>
        </w:rPr>
        <w:t>Podfigurna</w:t>
      </w:r>
      <w:proofErr w:type="spellEnd"/>
      <w:r w:rsidRPr="00F52D68">
        <w:rPr>
          <w:rFonts w:asciiTheme="minorBidi" w:hAnsiTheme="minorBidi"/>
          <w:sz w:val="24"/>
          <w:szCs w:val="24"/>
          <w:shd w:val="clear" w:color="auto" w:fill="FFFFFF"/>
        </w:rPr>
        <w:t xml:space="preserve">, A., </w:t>
      </w:r>
      <w:proofErr w:type="spellStart"/>
      <w:r w:rsidRPr="00F52D68">
        <w:rPr>
          <w:rFonts w:asciiTheme="minorBidi" w:hAnsiTheme="minorBidi"/>
          <w:sz w:val="24"/>
          <w:szCs w:val="24"/>
          <w:shd w:val="clear" w:color="auto" w:fill="FFFFFF"/>
        </w:rPr>
        <w:t>Męczekalski</w:t>
      </w:r>
      <w:proofErr w:type="spellEnd"/>
      <w:r w:rsidRPr="00F52D68">
        <w:rPr>
          <w:rFonts w:asciiTheme="minorBidi" w:hAnsiTheme="minorBidi"/>
          <w:sz w:val="24"/>
          <w:szCs w:val="24"/>
          <w:shd w:val="clear" w:color="auto" w:fill="FFFFFF"/>
        </w:rPr>
        <w:t xml:space="preserve">, B., </w:t>
      </w:r>
      <w:proofErr w:type="spellStart"/>
      <w:r w:rsidRPr="00F52D68">
        <w:rPr>
          <w:rFonts w:asciiTheme="minorBidi" w:hAnsiTheme="minorBidi"/>
          <w:sz w:val="24"/>
          <w:szCs w:val="24"/>
          <w:shd w:val="clear" w:color="auto" w:fill="FFFFFF"/>
        </w:rPr>
        <w:t>Smolarczyk</w:t>
      </w:r>
      <w:proofErr w:type="spellEnd"/>
      <w:r w:rsidRPr="00F52D68">
        <w:rPr>
          <w:rFonts w:asciiTheme="minorBidi" w:hAnsiTheme="minorBidi"/>
          <w:sz w:val="24"/>
          <w:szCs w:val="24"/>
          <w:shd w:val="clear" w:color="auto" w:fill="FFFFFF"/>
        </w:rPr>
        <w:t xml:space="preserve">, R. and </w:t>
      </w:r>
      <w:proofErr w:type="spellStart"/>
      <w:r w:rsidRPr="00F52D68">
        <w:rPr>
          <w:rFonts w:asciiTheme="minorBidi" w:hAnsiTheme="minorBidi"/>
          <w:sz w:val="24"/>
          <w:szCs w:val="24"/>
          <w:shd w:val="clear" w:color="auto" w:fill="FFFFFF"/>
        </w:rPr>
        <w:t>Grymowicz</w:t>
      </w:r>
      <w:proofErr w:type="spellEnd"/>
      <w:r w:rsidRPr="00F52D68">
        <w:rPr>
          <w:rFonts w:asciiTheme="minorBidi" w:hAnsiTheme="minorBidi"/>
          <w:sz w:val="24"/>
          <w:szCs w:val="24"/>
          <w:shd w:val="clear" w:color="auto" w:fill="FFFFFF"/>
        </w:rPr>
        <w:t>, M., 2020. The World Health Organization (WHO) approach to healthy ageing. </w:t>
      </w:r>
      <w:proofErr w:type="spellStart"/>
      <w:r w:rsidRPr="00F52D68">
        <w:rPr>
          <w:rFonts w:asciiTheme="minorBidi" w:hAnsiTheme="minorBidi"/>
          <w:i/>
          <w:iCs/>
          <w:sz w:val="24"/>
          <w:szCs w:val="24"/>
          <w:shd w:val="clear" w:color="auto" w:fill="FFFFFF"/>
        </w:rPr>
        <w:t>Maturitas</w:t>
      </w:r>
      <w:proofErr w:type="spellEnd"/>
      <w:r w:rsidRPr="00F52D68">
        <w:rPr>
          <w:rFonts w:asciiTheme="minorBidi" w:hAnsiTheme="minorBidi"/>
          <w:sz w:val="24"/>
          <w:szCs w:val="24"/>
          <w:shd w:val="clear" w:color="auto" w:fill="FFFFFF"/>
        </w:rPr>
        <w:t>, </w:t>
      </w:r>
      <w:r w:rsidRPr="001A3212">
        <w:rPr>
          <w:rFonts w:asciiTheme="minorBidi" w:hAnsiTheme="minorBidi"/>
          <w:sz w:val="24"/>
          <w:szCs w:val="24"/>
          <w:shd w:val="clear" w:color="auto" w:fill="FFFFFF"/>
        </w:rPr>
        <w:t>139,</w:t>
      </w:r>
      <w:r w:rsidRPr="00F52D68">
        <w:rPr>
          <w:rFonts w:asciiTheme="minorBidi" w:hAnsiTheme="minorBidi"/>
          <w:sz w:val="24"/>
          <w:szCs w:val="24"/>
          <w:shd w:val="clear" w:color="auto" w:fill="FFFFFF"/>
        </w:rPr>
        <w:t xml:space="preserve"> pp.6-11.</w:t>
      </w:r>
    </w:p>
    <w:p w14:paraId="295D5CC6" w14:textId="77777777" w:rsidR="00982401" w:rsidRPr="00F52D68" w:rsidRDefault="00982401" w:rsidP="00B20155">
      <w:pPr>
        <w:spacing w:line="360" w:lineRule="auto"/>
        <w:jc w:val="both"/>
        <w:rPr>
          <w:rFonts w:asciiTheme="minorBidi" w:hAnsiTheme="minorBidi"/>
          <w:sz w:val="24"/>
          <w:szCs w:val="24"/>
          <w:shd w:val="clear" w:color="auto" w:fill="FFFFFF"/>
        </w:rPr>
      </w:pPr>
      <w:proofErr w:type="spellStart"/>
      <w:r w:rsidRPr="00F52D68">
        <w:rPr>
          <w:rFonts w:asciiTheme="minorBidi" w:hAnsiTheme="minorBidi"/>
          <w:sz w:val="24"/>
          <w:szCs w:val="24"/>
          <w:shd w:val="clear" w:color="auto" w:fill="FFFFFF"/>
        </w:rPr>
        <w:t>Shevelkova</w:t>
      </w:r>
      <w:proofErr w:type="spellEnd"/>
      <w:r w:rsidRPr="00F52D68">
        <w:rPr>
          <w:rFonts w:asciiTheme="minorBidi" w:hAnsiTheme="minorBidi"/>
          <w:sz w:val="24"/>
          <w:szCs w:val="24"/>
          <w:shd w:val="clear" w:color="auto" w:fill="FFFFFF"/>
        </w:rPr>
        <w:t xml:space="preserve">, V., </w:t>
      </w:r>
      <w:r>
        <w:rPr>
          <w:rFonts w:asciiTheme="minorBidi" w:hAnsiTheme="minorBidi"/>
          <w:sz w:val="24"/>
          <w:szCs w:val="24"/>
          <w:shd w:val="clear" w:color="auto" w:fill="FFFFFF"/>
        </w:rPr>
        <w:t xml:space="preserve">Mattocks, C. and </w:t>
      </w:r>
      <w:proofErr w:type="spellStart"/>
      <w:r>
        <w:rPr>
          <w:rFonts w:asciiTheme="minorBidi" w:hAnsiTheme="minorBidi"/>
          <w:sz w:val="24"/>
          <w:szCs w:val="24"/>
          <w:shd w:val="clear" w:color="auto" w:fill="FFFFFF"/>
        </w:rPr>
        <w:t>Lafortune</w:t>
      </w:r>
      <w:proofErr w:type="spellEnd"/>
      <w:r>
        <w:rPr>
          <w:rFonts w:asciiTheme="minorBidi" w:hAnsiTheme="minorBidi"/>
          <w:sz w:val="24"/>
          <w:szCs w:val="24"/>
          <w:shd w:val="clear" w:color="auto" w:fill="FFFFFF"/>
        </w:rPr>
        <w:t>, L. (</w:t>
      </w:r>
      <w:r w:rsidRPr="00F52D68">
        <w:rPr>
          <w:rFonts w:asciiTheme="minorBidi" w:hAnsiTheme="minorBidi"/>
          <w:sz w:val="24"/>
          <w:szCs w:val="24"/>
          <w:shd w:val="clear" w:color="auto" w:fill="FFFFFF"/>
        </w:rPr>
        <w:t>2023</w:t>
      </w:r>
      <w:r>
        <w:rPr>
          <w:rFonts w:asciiTheme="minorBidi" w:hAnsiTheme="minorBidi"/>
          <w:sz w:val="24"/>
          <w:szCs w:val="24"/>
          <w:shd w:val="clear" w:color="auto" w:fill="FFFFFF"/>
        </w:rPr>
        <w:t>)</w:t>
      </w:r>
      <w:r w:rsidRPr="00F52D68">
        <w:rPr>
          <w:rFonts w:asciiTheme="minorBidi" w:hAnsiTheme="minorBidi"/>
          <w:sz w:val="24"/>
          <w:szCs w:val="24"/>
          <w:shd w:val="clear" w:color="auto" w:fill="FFFFFF"/>
        </w:rPr>
        <w:t>. Efforts to address the Sustainable Development Goals in older populations: A scoping review. </w:t>
      </w:r>
      <w:r w:rsidRPr="00F52D68">
        <w:rPr>
          <w:rFonts w:asciiTheme="minorBidi" w:hAnsiTheme="minorBidi"/>
          <w:i/>
          <w:iCs/>
          <w:sz w:val="24"/>
          <w:szCs w:val="24"/>
          <w:shd w:val="clear" w:color="auto" w:fill="FFFFFF"/>
        </w:rPr>
        <w:t>BMC Public Health</w:t>
      </w:r>
      <w:r w:rsidRPr="00F52D68">
        <w:rPr>
          <w:rFonts w:asciiTheme="minorBidi" w:hAnsiTheme="minorBidi"/>
          <w:sz w:val="24"/>
          <w:szCs w:val="24"/>
          <w:shd w:val="clear" w:color="auto" w:fill="FFFFFF"/>
        </w:rPr>
        <w:t>, </w:t>
      </w:r>
      <w:r w:rsidRPr="00F52D68">
        <w:rPr>
          <w:rFonts w:asciiTheme="minorBidi" w:hAnsiTheme="minorBidi"/>
          <w:i/>
          <w:iCs/>
          <w:sz w:val="24"/>
          <w:szCs w:val="24"/>
          <w:shd w:val="clear" w:color="auto" w:fill="FFFFFF"/>
        </w:rPr>
        <w:t>23</w:t>
      </w:r>
      <w:r w:rsidRPr="00F52D68">
        <w:rPr>
          <w:rFonts w:asciiTheme="minorBidi" w:hAnsiTheme="minorBidi"/>
          <w:sz w:val="24"/>
          <w:szCs w:val="24"/>
          <w:shd w:val="clear" w:color="auto" w:fill="FFFFFF"/>
        </w:rPr>
        <w:t>(1), p.456.</w:t>
      </w:r>
    </w:p>
    <w:p w14:paraId="7DBCCFE6"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Shiwani, T., Relton, S., Evans, R., Kale, A., Heav</w:t>
      </w:r>
      <w:r>
        <w:rPr>
          <w:rFonts w:asciiTheme="minorBidi" w:hAnsiTheme="minorBidi"/>
          <w:sz w:val="24"/>
          <w:szCs w:val="24"/>
          <w:shd w:val="clear" w:color="auto" w:fill="FFFFFF"/>
        </w:rPr>
        <w:t>en, A., Clegg, A. and Todd, O. (</w:t>
      </w:r>
      <w:r w:rsidRPr="00F52D68">
        <w:rPr>
          <w:rFonts w:asciiTheme="minorBidi" w:hAnsiTheme="minorBidi"/>
          <w:sz w:val="24"/>
          <w:szCs w:val="24"/>
          <w:shd w:val="clear" w:color="auto" w:fill="FFFFFF"/>
        </w:rPr>
        <w:t>2023</w:t>
      </w:r>
      <w:r>
        <w:rPr>
          <w:rFonts w:asciiTheme="minorBidi" w:hAnsiTheme="minorBidi"/>
          <w:sz w:val="24"/>
          <w:szCs w:val="24"/>
          <w:shd w:val="clear" w:color="auto" w:fill="FFFFFF"/>
        </w:rPr>
        <w:t>)</w:t>
      </w:r>
      <w:r w:rsidRPr="00F52D68">
        <w:rPr>
          <w:rFonts w:asciiTheme="minorBidi" w:hAnsiTheme="minorBidi"/>
          <w:sz w:val="24"/>
          <w:szCs w:val="24"/>
          <w:shd w:val="clear" w:color="auto" w:fill="FFFFFF"/>
        </w:rPr>
        <w:t>. New Horizons in artificial intelligence in the healthcare of older people. </w:t>
      </w:r>
      <w:r w:rsidRPr="00F52D68">
        <w:rPr>
          <w:rFonts w:asciiTheme="minorBidi" w:hAnsiTheme="minorBidi"/>
          <w:i/>
          <w:iCs/>
          <w:sz w:val="24"/>
          <w:szCs w:val="24"/>
          <w:shd w:val="clear" w:color="auto" w:fill="FFFFFF"/>
        </w:rPr>
        <w:t>Age and Ageing</w:t>
      </w:r>
      <w:r w:rsidRPr="00F52D68">
        <w:rPr>
          <w:rFonts w:asciiTheme="minorBidi" w:hAnsiTheme="minorBidi"/>
          <w:sz w:val="24"/>
          <w:szCs w:val="24"/>
          <w:shd w:val="clear" w:color="auto" w:fill="FFFFFF"/>
        </w:rPr>
        <w:t>, </w:t>
      </w:r>
      <w:r w:rsidRPr="00964D4B">
        <w:rPr>
          <w:rFonts w:asciiTheme="minorBidi" w:hAnsiTheme="minorBidi"/>
          <w:sz w:val="24"/>
          <w:szCs w:val="24"/>
          <w:shd w:val="clear" w:color="auto" w:fill="FFFFFF"/>
        </w:rPr>
        <w:t>52(</w:t>
      </w:r>
      <w:r w:rsidRPr="00F52D68">
        <w:rPr>
          <w:rFonts w:asciiTheme="minorBidi" w:hAnsiTheme="minorBidi"/>
          <w:sz w:val="24"/>
          <w:szCs w:val="24"/>
          <w:shd w:val="clear" w:color="auto" w:fill="FFFFFF"/>
        </w:rPr>
        <w:t>12), p.afad219.</w:t>
      </w:r>
    </w:p>
    <w:p w14:paraId="4F809EB1" w14:textId="77777777" w:rsidR="00982401" w:rsidRPr="00F52D68" w:rsidRDefault="00982401" w:rsidP="00B20155">
      <w:pPr>
        <w:spacing w:line="360" w:lineRule="auto"/>
        <w:jc w:val="both"/>
        <w:rPr>
          <w:rFonts w:asciiTheme="minorBidi" w:hAnsiTheme="minorBidi"/>
          <w:sz w:val="24"/>
          <w:szCs w:val="24"/>
          <w:shd w:val="clear" w:color="auto" w:fill="FFFFFF"/>
        </w:rPr>
      </w:pPr>
      <w:proofErr w:type="spellStart"/>
      <w:r w:rsidRPr="00F52D68">
        <w:rPr>
          <w:rFonts w:asciiTheme="minorBidi" w:hAnsiTheme="minorBidi"/>
          <w:sz w:val="24"/>
          <w:szCs w:val="24"/>
          <w:shd w:val="clear" w:color="auto" w:fill="FFFFFF"/>
        </w:rPr>
        <w:lastRenderedPageBreak/>
        <w:t>Szczepura</w:t>
      </w:r>
      <w:proofErr w:type="spellEnd"/>
      <w:r w:rsidRPr="00F52D68">
        <w:rPr>
          <w:rFonts w:asciiTheme="minorBidi" w:hAnsiTheme="minorBidi"/>
          <w:sz w:val="24"/>
          <w:szCs w:val="24"/>
          <w:shd w:val="clear" w:color="auto" w:fill="FFFFFF"/>
        </w:rPr>
        <w:t xml:space="preserve">, A., Masaki, H., Wild, D., Nomura, T., </w:t>
      </w:r>
      <w:r>
        <w:rPr>
          <w:rFonts w:asciiTheme="minorBidi" w:hAnsiTheme="minorBidi"/>
          <w:sz w:val="24"/>
          <w:szCs w:val="24"/>
          <w:shd w:val="clear" w:color="auto" w:fill="FFFFFF"/>
        </w:rPr>
        <w:t>Collinson, M. and Kneafsey, R. (</w:t>
      </w:r>
      <w:r w:rsidRPr="00F52D68">
        <w:rPr>
          <w:rFonts w:asciiTheme="minorBidi" w:hAnsiTheme="minorBidi"/>
          <w:sz w:val="24"/>
          <w:szCs w:val="24"/>
          <w:shd w:val="clear" w:color="auto" w:fill="FFFFFF"/>
        </w:rPr>
        <w:t>2023</w:t>
      </w:r>
      <w:r>
        <w:rPr>
          <w:rFonts w:asciiTheme="minorBidi" w:hAnsiTheme="minorBidi"/>
          <w:sz w:val="24"/>
          <w:szCs w:val="24"/>
          <w:shd w:val="clear" w:color="auto" w:fill="FFFFFF"/>
        </w:rPr>
        <w:t>)</w:t>
      </w:r>
      <w:r w:rsidRPr="00F52D68">
        <w:rPr>
          <w:rFonts w:asciiTheme="minorBidi" w:hAnsiTheme="minorBidi"/>
          <w:sz w:val="24"/>
          <w:szCs w:val="24"/>
          <w:shd w:val="clear" w:color="auto" w:fill="FFFFFF"/>
        </w:rPr>
        <w:t>. Integrated Long-Term Care ‘Neighbourhoods’ to Support Older Populations: Evolving Strategies in Japan and England. </w:t>
      </w:r>
      <w:r w:rsidRPr="00F52D68">
        <w:rPr>
          <w:rFonts w:asciiTheme="minorBidi" w:hAnsiTheme="minorBidi"/>
          <w:i/>
          <w:iCs/>
          <w:sz w:val="24"/>
          <w:szCs w:val="24"/>
          <w:shd w:val="clear" w:color="auto" w:fill="FFFFFF"/>
        </w:rPr>
        <w:t>International Journal of Environmental Research and Public Health</w:t>
      </w:r>
      <w:r w:rsidRPr="00307261">
        <w:rPr>
          <w:rFonts w:asciiTheme="minorBidi" w:hAnsiTheme="minorBidi"/>
          <w:sz w:val="24"/>
          <w:szCs w:val="24"/>
          <w:shd w:val="clear" w:color="auto" w:fill="FFFFFF"/>
        </w:rPr>
        <w:t>, 20(</w:t>
      </w:r>
      <w:r w:rsidRPr="00F52D68">
        <w:rPr>
          <w:rFonts w:asciiTheme="minorBidi" w:hAnsiTheme="minorBidi"/>
          <w:sz w:val="24"/>
          <w:szCs w:val="24"/>
          <w:shd w:val="clear" w:color="auto" w:fill="FFFFFF"/>
        </w:rPr>
        <w:t>14), p.6352.</w:t>
      </w:r>
    </w:p>
    <w:p w14:paraId="1454DB1F"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 xml:space="preserve">United Nations. (2023). </w:t>
      </w:r>
      <w:r w:rsidRPr="00F52D68">
        <w:rPr>
          <w:rFonts w:asciiTheme="minorBidi" w:hAnsiTheme="minorBidi"/>
          <w:sz w:val="24"/>
          <w:szCs w:val="24"/>
        </w:rPr>
        <w:t xml:space="preserve">Leaving No One Behind In An Ageing World. Available at: </w:t>
      </w:r>
      <w:hyperlink r:id="rId20" w:history="1">
        <w:r w:rsidRPr="00F52D68">
          <w:rPr>
            <w:rStyle w:val="Hyperlink"/>
            <w:rFonts w:asciiTheme="minorBidi" w:hAnsiTheme="minorBidi"/>
            <w:color w:val="auto"/>
            <w:sz w:val="24"/>
            <w:szCs w:val="24"/>
            <w:u w:val="none"/>
          </w:rPr>
          <w:t>https://www.un.org/development/desa/dspd/wp-content/uploads/sites/22/2023/01/2023wsr-chapter1-.pdf</w:t>
        </w:r>
      </w:hyperlink>
      <w:r w:rsidRPr="00F52D68">
        <w:rPr>
          <w:rFonts w:asciiTheme="minorBidi" w:hAnsiTheme="minorBidi"/>
          <w:sz w:val="24"/>
          <w:szCs w:val="24"/>
        </w:rPr>
        <w:t xml:space="preserve"> (Accessed 24 April 2024). </w:t>
      </w:r>
    </w:p>
    <w:p w14:paraId="1667008B"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Watson, M.</w:t>
      </w:r>
      <w:r>
        <w:rPr>
          <w:rFonts w:asciiTheme="minorBidi" w:hAnsiTheme="minorBidi"/>
          <w:sz w:val="24"/>
          <w:szCs w:val="24"/>
          <w:shd w:val="clear" w:color="auto" w:fill="FFFFFF"/>
        </w:rPr>
        <w:t>C., Neil, K.E. and Lansman, R. (</w:t>
      </w:r>
      <w:r w:rsidRPr="00F52D68">
        <w:rPr>
          <w:rFonts w:asciiTheme="minorBidi" w:hAnsiTheme="minorBidi"/>
          <w:sz w:val="24"/>
          <w:szCs w:val="24"/>
          <w:shd w:val="clear" w:color="auto" w:fill="FFFFFF"/>
        </w:rPr>
        <w:t>2023</w:t>
      </w:r>
      <w:r>
        <w:rPr>
          <w:rFonts w:asciiTheme="minorBidi" w:hAnsiTheme="minorBidi"/>
          <w:sz w:val="24"/>
          <w:szCs w:val="24"/>
          <w:shd w:val="clear" w:color="auto" w:fill="FFFFFF"/>
        </w:rPr>
        <w:t>)</w:t>
      </w:r>
      <w:r w:rsidRPr="00F52D68">
        <w:rPr>
          <w:rFonts w:asciiTheme="minorBidi" w:hAnsiTheme="minorBidi"/>
          <w:sz w:val="24"/>
          <w:szCs w:val="24"/>
          <w:shd w:val="clear" w:color="auto" w:fill="FFFFFF"/>
        </w:rPr>
        <w:t>. The government’s major conditions strategy must look beyond the NHS. </w:t>
      </w:r>
      <w:proofErr w:type="spellStart"/>
      <w:r>
        <w:rPr>
          <w:rFonts w:asciiTheme="minorBidi" w:hAnsiTheme="minorBidi"/>
          <w:i/>
          <w:iCs/>
          <w:sz w:val="24"/>
          <w:szCs w:val="24"/>
          <w:shd w:val="clear" w:color="auto" w:fill="FFFFFF"/>
        </w:rPr>
        <w:t>bMJ</w:t>
      </w:r>
      <w:proofErr w:type="spellEnd"/>
      <w:r w:rsidRPr="00F52D68">
        <w:rPr>
          <w:rFonts w:asciiTheme="minorBidi" w:hAnsiTheme="minorBidi"/>
          <w:sz w:val="24"/>
          <w:szCs w:val="24"/>
          <w:shd w:val="clear" w:color="auto" w:fill="FFFFFF"/>
        </w:rPr>
        <w:t>, </w:t>
      </w:r>
      <w:r w:rsidRPr="00307261">
        <w:rPr>
          <w:rFonts w:asciiTheme="minorBidi" w:hAnsiTheme="minorBidi"/>
          <w:sz w:val="24"/>
          <w:szCs w:val="24"/>
          <w:shd w:val="clear" w:color="auto" w:fill="FFFFFF"/>
        </w:rPr>
        <w:t>383</w:t>
      </w:r>
      <w:r w:rsidRPr="00F52D68">
        <w:rPr>
          <w:rFonts w:asciiTheme="minorBidi" w:hAnsiTheme="minorBidi"/>
          <w:sz w:val="24"/>
          <w:szCs w:val="24"/>
          <w:shd w:val="clear" w:color="auto" w:fill="FFFFFF"/>
        </w:rPr>
        <w:t>.</w:t>
      </w:r>
    </w:p>
    <w:p w14:paraId="088C8487"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 xml:space="preserve">Welsh Government. (2024). Older people and people living with frailty: integrated quality statement. Available at: </w:t>
      </w:r>
      <w:hyperlink r:id="rId21" w:anchor="133987" w:history="1">
        <w:r w:rsidRPr="00F52D68">
          <w:rPr>
            <w:rStyle w:val="Hyperlink"/>
            <w:rFonts w:asciiTheme="minorBidi" w:hAnsiTheme="minorBidi"/>
            <w:color w:val="auto"/>
            <w:sz w:val="24"/>
            <w:szCs w:val="24"/>
            <w:u w:val="none"/>
            <w:shd w:val="clear" w:color="auto" w:fill="FFFFFF"/>
          </w:rPr>
          <w:t>https://www.gov.wales/older-people-and-people-living-frailty-integrated-quality-statement-html#133987</w:t>
        </w:r>
      </w:hyperlink>
      <w:r w:rsidRPr="00F52D68">
        <w:rPr>
          <w:rFonts w:asciiTheme="minorBidi" w:hAnsiTheme="minorBidi"/>
          <w:sz w:val="24"/>
          <w:szCs w:val="24"/>
          <w:shd w:val="clear" w:color="auto" w:fill="FFFFFF"/>
        </w:rPr>
        <w:t xml:space="preserve"> (Accessed 26 April 2024). </w:t>
      </w:r>
    </w:p>
    <w:p w14:paraId="11C4F315" w14:textId="77777777" w:rsidR="00982401" w:rsidRPr="00F52D68" w:rsidRDefault="00982401" w:rsidP="00B20155">
      <w:pPr>
        <w:spacing w:line="360" w:lineRule="auto"/>
        <w:jc w:val="both"/>
        <w:rPr>
          <w:rFonts w:asciiTheme="minorBidi" w:hAnsiTheme="minorBidi"/>
          <w:sz w:val="24"/>
          <w:szCs w:val="24"/>
          <w:shd w:val="clear" w:color="auto" w:fill="FFFFFF"/>
          <w:lang w:val="en-US"/>
        </w:rPr>
      </w:pPr>
      <w:r w:rsidRPr="00F52D68">
        <w:rPr>
          <w:rFonts w:asciiTheme="minorBidi" w:hAnsiTheme="minorBidi"/>
          <w:sz w:val="24"/>
          <w:szCs w:val="24"/>
          <w:shd w:val="clear" w:color="auto" w:fill="FFFFFF"/>
        </w:rPr>
        <w:t xml:space="preserve">Welsh Government. (2024b). </w:t>
      </w:r>
      <w:r w:rsidRPr="00F52D68">
        <w:rPr>
          <w:rFonts w:asciiTheme="minorBidi" w:hAnsiTheme="minorBidi"/>
          <w:sz w:val="24"/>
          <w:szCs w:val="24"/>
        </w:rPr>
        <w:t xml:space="preserve">Digital Health and Care Wales Primary Care Strategy 2024-2027. Available at: </w:t>
      </w:r>
      <w:hyperlink r:id="rId22" w:history="1">
        <w:r w:rsidRPr="00F52D68">
          <w:rPr>
            <w:rStyle w:val="Hyperlink"/>
            <w:rFonts w:asciiTheme="minorBidi" w:hAnsiTheme="minorBidi"/>
            <w:color w:val="auto"/>
            <w:sz w:val="24"/>
            <w:szCs w:val="24"/>
            <w:u w:val="none"/>
          </w:rPr>
          <w:t>https://dhcw.nhs.wales/files/dhcw-strategies-and-frameworks/primary-care-strategy-2024-2027/</w:t>
        </w:r>
      </w:hyperlink>
      <w:r w:rsidRPr="00F52D68">
        <w:rPr>
          <w:rFonts w:asciiTheme="minorBidi" w:hAnsiTheme="minorBidi"/>
          <w:sz w:val="24"/>
          <w:szCs w:val="24"/>
        </w:rPr>
        <w:t xml:space="preserve"> (Accessed 28 April 2024).</w:t>
      </w:r>
    </w:p>
    <w:p w14:paraId="4BAE1D68" w14:textId="77777777" w:rsidR="00982401" w:rsidRPr="00F52D68" w:rsidRDefault="00982401" w:rsidP="00B20155">
      <w:pPr>
        <w:spacing w:line="360" w:lineRule="auto"/>
        <w:jc w:val="both"/>
        <w:rPr>
          <w:rFonts w:asciiTheme="minorBidi" w:hAnsiTheme="minorBidi"/>
          <w:sz w:val="24"/>
          <w:szCs w:val="24"/>
          <w:shd w:val="clear" w:color="auto" w:fill="FFFFFF"/>
        </w:rPr>
      </w:pPr>
      <w:r w:rsidRPr="00F52D68">
        <w:rPr>
          <w:rFonts w:asciiTheme="minorBidi" w:hAnsiTheme="minorBidi"/>
          <w:sz w:val="24"/>
          <w:szCs w:val="24"/>
          <w:shd w:val="clear" w:color="auto" w:fill="FFFFFF"/>
        </w:rPr>
        <w:t xml:space="preserve">World Health Organisation. (2020). Decade of Healthy Ageing. Available at: </w:t>
      </w:r>
      <w:hyperlink r:id="rId23" w:history="1">
        <w:r w:rsidRPr="00F52D68">
          <w:rPr>
            <w:rStyle w:val="Hyperlink"/>
            <w:rFonts w:asciiTheme="minorBidi" w:hAnsiTheme="minorBidi"/>
            <w:color w:val="auto"/>
            <w:sz w:val="24"/>
            <w:szCs w:val="24"/>
            <w:u w:val="none"/>
            <w:shd w:val="clear" w:color="auto" w:fill="FFFFFF"/>
          </w:rPr>
          <w:t>https://apps.who.int/gb/ebwha/pdf_files/WHA73/A73_INF2-en.pdf</w:t>
        </w:r>
      </w:hyperlink>
      <w:r w:rsidRPr="00F52D68">
        <w:rPr>
          <w:rFonts w:asciiTheme="minorBidi" w:hAnsiTheme="minorBidi"/>
          <w:sz w:val="24"/>
          <w:szCs w:val="24"/>
          <w:shd w:val="clear" w:color="auto" w:fill="FFFFFF"/>
        </w:rPr>
        <w:t xml:space="preserve"> (Accessed 29 April 2024). </w:t>
      </w:r>
    </w:p>
    <w:p w14:paraId="71AB0222" w14:textId="77777777" w:rsidR="00982401" w:rsidRPr="00F52D68" w:rsidRDefault="00982401" w:rsidP="00B20155">
      <w:pPr>
        <w:spacing w:line="360" w:lineRule="auto"/>
        <w:jc w:val="both"/>
        <w:rPr>
          <w:rFonts w:asciiTheme="minorBidi" w:hAnsiTheme="minorBidi"/>
          <w:sz w:val="24"/>
          <w:szCs w:val="24"/>
          <w:lang w:val="en-US"/>
        </w:rPr>
      </w:pPr>
      <w:proofErr w:type="spellStart"/>
      <w:r w:rsidRPr="00F67059">
        <w:rPr>
          <w:rFonts w:asciiTheme="minorBidi" w:hAnsiTheme="minorBidi"/>
          <w:sz w:val="24"/>
          <w:szCs w:val="24"/>
          <w:shd w:val="clear" w:color="auto" w:fill="FFFFFF"/>
          <w:lang w:val="nl-NL"/>
        </w:rPr>
        <w:t>Zhong</w:t>
      </w:r>
      <w:proofErr w:type="spellEnd"/>
      <w:r w:rsidRPr="00F67059">
        <w:rPr>
          <w:rFonts w:asciiTheme="minorBidi" w:hAnsiTheme="minorBidi"/>
          <w:sz w:val="24"/>
          <w:szCs w:val="24"/>
          <w:shd w:val="clear" w:color="auto" w:fill="FFFFFF"/>
          <w:lang w:val="nl-NL"/>
        </w:rPr>
        <w:t xml:space="preserve">, G., Wang, Y., Zhang, Y., </w:t>
      </w:r>
      <w:proofErr w:type="spellStart"/>
      <w:r w:rsidRPr="00F67059">
        <w:rPr>
          <w:rFonts w:asciiTheme="minorBidi" w:hAnsiTheme="minorBidi"/>
          <w:sz w:val="24"/>
          <w:szCs w:val="24"/>
          <w:shd w:val="clear" w:color="auto" w:fill="FFFFFF"/>
          <w:lang w:val="nl-NL"/>
        </w:rPr>
        <w:t>Guo</w:t>
      </w:r>
      <w:proofErr w:type="spellEnd"/>
      <w:r w:rsidRPr="00F67059">
        <w:rPr>
          <w:rFonts w:asciiTheme="minorBidi" w:hAnsiTheme="minorBidi"/>
          <w:sz w:val="24"/>
          <w:szCs w:val="24"/>
          <w:shd w:val="clear" w:color="auto" w:fill="FFFFFF"/>
          <w:lang w:val="nl-NL"/>
        </w:rPr>
        <w:t xml:space="preserve">, J.J. </w:t>
      </w:r>
      <w:proofErr w:type="spellStart"/>
      <w:r w:rsidRPr="00F67059">
        <w:rPr>
          <w:rFonts w:asciiTheme="minorBidi" w:hAnsiTheme="minorBidi"/>
          <w:sz w:val="24"/>
          <w:szCs w:val="24"/>
          <w:shd w:val="clear" w:color="auto" w:fill="FFFFFF"/>
          <w:lang w:val="nl-NL"/>
        </w:rPr>
        <w:t>and</w:t>
      </w:r>
      <w:proofErr w:type="spellEnd"/>
      <w:r w:rsidRPr="00F67059">
        <w:rPr>
          <w:rFonts w:asciiTheme="minorBidi" w:hAnsiTheme="minorBidi"/>
          <w:sz w:val="24"/>
          <w:szCs w:val="24"/>
          <w:shd w:val="clear" w:color="auto" w:fill="FFFFFF"/>
          <w:lang w:val="nl-NL"/>
        </w:rPr>
        <w:t xml:space="preserve"> </w:t>
      </w:r>
      <w:proofErr w:type="spellStart"/>
      <w:r w:rsidRPr="00F67059">
        <w:rPr>
          <w:rFonts w:asciiTheme="minorBidi" w:hAnsiTheme="minorBidi"/>
          <w:sz w:val="24"/>
          <w:szCs w:val="24"/>
          <w:shd w:val="clear" w:color="auto" w:fill="FFFFFF"/>
          <w:lang w:val="nl-NL"/>
        </w:rPr>
        <w:t>Zhao</w:t>
      </w:r>
      <w:proofErr w:type="spellEnd"/>
      <w:r w:rsidRPr="00F67059">
        <w:rPr>
          <w:rFonts w:asciiTheme="minorBidi" w:hAnsiTheme="minorBidi"/>
          <w:sz w:val="24"/>
          <w:szCs w:val="24"/>
          <w:shd w:val="clear" w:color="auto" w:fill="FFFFFF"/>
          <w:lang w:val="nl-NL"/>
        </w:rPr>
        <w:t xml:space="preserve">, Y., 2015. </w:t>
      </w:r>
      <w:r w:rsidRPr="00F52D68">
        <w:rPr>
          <w:rFonts w:asciiTheme="minorBidi" w:hAnsiTheme="minorBidi"/>
          <w:sz w:val="24"/>
          <w:szCs w:val="24"/>
          <w:shd w:val="clear" w:color="auto" w:fill="FFFFFF"/>
        </w:rPr>
        <w:t>Smoking is associated with an increased risk of dementia: a meta-analysis of prospective cohort studies with investigation of potential effect modifiers. </w:t>
      </w:r>
      <w:proofErr w:type="spellStart"/>
      <w:r w:rsidRPr="00F52D68">
        <w:rPr>
          <w:rFonts w:asciiTheme="minorBidi" w:hAnsiTheme="minorBidi"/>
          <w:i/>
          <w:iCs/>
          <w:sz w:val="24"/>
          <w:szCs w:val="24"/>
          <w:shd w:val="clear" w:color="auto" w:fill="FFFFFF"/>
        </w:rPr>
        <w:t>PloS</w:t>
      </w:r>
      <w:proofErr w:type="spellEnd"/>
      <w:r w:rsidRPr="00F52D68">
        <w:rPr>
          <w:rFonts w:asciiTheme="minorBidi" w:hAnsiTheme="minorBidi"/>
          <w:i/>
          <w:iCs/>
          <w:sz w:val="24"/>
          <w:szCs w:val="24"/>
          <w:shd w:val="clear" w:color="auto" w:fill="FFFFFF"/>
        </w:rPr>
        <w:t xml:space="preserve"> one</w:t>
      </w:r>
      <w:r w:rsidRPr="00F52D68">
        <w:rPr>
          <w:rFonts w:asciiTheme="minorBidi" w:hAnsiTheme="minorBidi"/>
          <w:sz w:val="24"/>
          <w:szCs w:val="24"/>
          <w:shd w:val="clear" w:color="auto" w:fill="FFFFFF"/>
        </w:rPr>
        <w:t>, </w:t>
      </w:r>
      <w:r w:rsidRPr="00F52D68">
        <w:rPr>
          <w:rFonts w:asciiTheme="minorBidi" w:hAnsiTheme="minorBidi"/>
          <w:i/>
          <w:iCs/>
          <w:sz w:val="24"/>
          <w:szCs w:val="24"/>
          <w:shd w:val="clear" w:color="auto" w:fill="FFFFFF"/>
        </w:rPr>
        <w:t>10</w:t>
      </w:r>
      <w:r w:rsidRPr="00F52D68">
        <w:rPr>
          <w:rFonts w:asciiTheme="minorBidi" w:hAnsiTheme="minorBidi"/>
          <w:sz w:val="24"/>
          <w:szCs w:val="24"/>
          <w:shd w:val="clear" w:color="auto" w:fill="FFFFFF"/>
        </w:rPr>
        <w:t>(3), p.e0118333.</w:t>
      </w:r>
    </w:p>
    <w:p w14:paraId="487DCD02" w14:textId="77777777" w:rsidR="00982401" w:rsidRPr="009807F3" w:rsidRDefault="00982401" w:rsidP="00BD38D4">
      <w:pPr>
        <w:spacing w:line="360" w:lineRule="auto"/>
        <w:jc w:val="both"/>
        <w:rPr>
          <w:rFonts w:asciiTheme="minorBidi" w:hAnsiTheme="minorBidi"/>
          <w:sz w:val="24"/>
          <w:szCs w:val="24"/>
          <w:lang w:bidi="ur-PK"/>
        </w:rPr>
      </w:pPr>
    </w:p>
    <w:sectPr w:rsidR="00982401" w:rsidRPr="009807F3" w:rsidSect="00CF02B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19C6E0" w14:textId="77777777" w:rsidR="00CF02BE" w:rsidRDefault="00CF02BE" w:rsidP="00C00FFB">
      <w:pPr>
        <w:spacing w:after="0" w:line="240" w:lineRule="auto"/>
      </w:pPr>
      <w:r>
        <w:separator/>
      </w:r>
    </w:p>
  </w:endnote>
  <w:endnote w:type="continuationSeparator" w:id="0">
    <w:p w14:paraId="65957A52" w14:textId="77777777" w:rsidR="00CF02BE" w:rsidRDefault="00CF02BE" w:rsidP="00C00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Bidi" w:hAnsiTheme="minorBidi"/>
        <w:sz w:val="24"/>
        <w:szCs w:val="24"/>
      </w:rPr>
      <w:id w:val="966012812"/>
      <w:docPartObj>
        <w:docPartGallery w:val="Page Numbers (Bottom of Page)"/>
        <w:docPartUnique/>
      </w:docPartObj>
    </w:sdtPr>
    <w:sdtEndPr>
      <w:rPr>
        <w:noProof/>
      </w:rPr>
    </w:sdtEndPr>
    <w:sdtContent>
      <w:p w14:paraId="29579311" w14:textId="00F39C92" w:rsidR="007600EA" w:rsidRPr="007600EA" w:rsidRDefault="007600EA">
        <w:pPr>
          <w:pStyle w:val="Footer"/>
          <w:jc w:val="center"/>
          <w:rPr>
            <w:rFonts w:asciiTheme="minorBidi" w:hAnsiTheme="minorBidi"/>
            <w:sz w:val="24"/>
            <w:szCs w:val="24"/>
          </w:rPr>
        </w:pPr>
        <w:r w:rsidRPr="007600EA">
          <w:rPr>
            <w:rFonts w:asciiTheme="minorBidi" w:hAnsiTheme="minorBidi"/>
            <w:sz w:val="24"/>
            <w:szCs w:val="24"/>
          </w:rPr>
          <w:fldChar w:fldCharType="begin"/>
        </w:r>
        <w:r w:rsidRPr="007600EA">
          <w:rPr>
            <w:rFonts w:asciiTheme="minorBidi" w:hAnsiTheme="minorBidi"/>
            <w:sz w:val="24"/>
            <w:szCs w:val="24"/>
          </w:rPr>
          <w:instrText xml:space="preserve"> PAGE   \* MERGEFORMAT </w:instrText>
        </w:r>
        <w:r w:rsidRPr="007600EA">
          <w:rPr>
            <w:rFonts w:asciiTheme="minorBidi" w:hAnsiTheme="minorBidi"/>
            <w:sz w:val="24"/>
            <w:szCs w:val="24"/>
          </w:rPr>
          <w:fldChar w:fldCharType="separate"/>
        </w:r>
        <w:r w:rsidRPr="007600EA">
          <w:rPr>
            <w:rFonts w:asciiTheme="minorBidi" w:hAnsiTheme="minorBidi"/>
            <w:noProof/>
            <w:sz w:val="24"/>
            <w:szCs w:val="24"/>
          </w:rPr>
          <w:t>2</w:t>
        </w:r>
        <w:r w:rsidRPr="007600EA">
          <w:rPr>
            <w:rFonts w:asciiTheme="minorBidi" w:hAnsiTheme="minorBidi"/>
            <w:noProof/>
            <w:sz w:val="24"/>
            <w:szCs w:val="24"/>
          </w:rPr>
          <w:fldChar w:fldCharType="end"/>
        </w:r>
      </w:p>
    </w:sdtContent>
  </w:sdt>
  <w:p w14:paraId="63AF009C" w14:textId="77777777" w:rsidR="007600EA" w:rsidRPr="007600EA" w:rsidRDefault="007600EA">
    <w:pPr>
      <w:pStyle w:val="Footer"/>
      <w:rPr>
        <w:rFonts w:asciiTheme="minorBidi" w:hAnsiTheme="minorBid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98D18D" w14:textId="77777777" w:rsidR="00CF02BE" w:rsidRDefault="00CF02BE" w:rsidP="00C00FFB">
      <w:pPr>
        <w:spacing w:after="0" w:line="240" w:lineRule="auto"/>
      </w:pPr>
      <w:r>
        <w:separator/>
      </w:r>
    </w:p>
  </w:footnote>
  <w:footnote w:type="continuationSeparator" w:id="0">
    <w:p w14:paraId="4114BDEA" w14:textId="77777777" w:rsidR="00CF02BE" w:rsidRDefault="00CF02BE" w:rsidP="00C00F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7878"/>
    <w:rsid w:val="000068FC"/>
    <w:rsid w:val="0001080C"/>
    <w:rsid w:val="00020B98"/>
    <w:rsid w:val="00041BA1"/>
    <w:rsid w:val="00047C30"/>
    <w:rsid w:val="00047C74"/>
    <w:rsid w:val="0005362F"/>
    <w:rsid w:val="000548DA"/>
    <w:rsid w:val="00067878"/>
    <w:rsid w:val="0007602F"/>
    <w:rsid w:val="00082378"/>
    <w:rsid w:val="0008559D"/>
    <w:rsid w:val="000A1472"/>
    <w:rsid w:val="000A4FF8"/>
    <w:rsid w:val="000B4548"/>
    <w:rsid w:val="000B61AB"/>
    <w:rsid w:val="000B643B"/>
    <w:rsid w:val="000B6743"/>
    <w:rsid w:val="000D0D5C"/>
    <w:rsid w:val="000F7EB2"/>
    <w:rsid w:val="001003D6"/>
    <w:rsid w:val="001051A3"/>
    <w:rsid w:val="00120B1C"/>
    <w:rsid w:val="001228CF"/>
    <w:rsid w:val="00125CD6"/>
    <w:rsid w:val="0013650D"/>
    <w:rsid w:val="001372F3"/>
    <w:rsid w:val="00143238"/>
    <w:rsid w:val="00145F2B"/>
    <w:rsid w:val="00146AE6"/>
    <w:rsid w:val="00146B21"/>
    <w:rsid w:val="00152148"/>
    <w:rsid w:val="00161C6A"/>
    <w:rsid w:val="0016655B"/>
    <w:rsid w:val="0019333A"/>
    <w:rsid w:val="001A39C3"/>
    <w:rsid w:val="00205126"/>
    <w:rsid w:val="0021154B"/>
    <w:rsid w:val="002246E8"/>
    <w:rsid w:val="00230F0F"/>
    <w:rsid w:val="00236CB3"/>
    <w:rsid w:val="00261013"/>
    <w:rsid w:val="00267CFB"/>
    <w:rsid w:val="00271C45"/>
    <w:rsid w:val="002722F7"/>
    <w:rsid w:val="00292000"/>
    <w:rsid w:val="002A427C"/>
    <w:rsid w:val="002A4815"/>
    <w:rsid w:val="002B3FBC"/>
    <w:rsid w:val="002B47B3"/>
    <w:rsid w:val="002C478B"/>
    <w:rsid w:val="002E6A07"/>
    <w:rsid w:val="002F1D75"/>
    <w:rsid w:val="002F3192"/>
    <w:rsid w:val="003029A1"/>
    <w:rsid w:val="003117D1"/>
    <w:rsid w:val="00313AE1"/>
    <w:rsid w:val="0031592D"/>
    <w:rsid w:val="003201C5"/>
    <w:rsid w:val="00326395"/>
    <w:rsid w:val="003417B0"/>
    <w:rsid w:val="00351D0E"/>
    <w:rsid w:val="00352B65"/>
    <w:rsid w:val="00364549"/>
    <w:rsid w:val="00366EEC"/>
    <w:rsid w:val="00377881"/>
    <w:rsid w:val="00380C47"/>
    <w:rsid w:val="00380FC3"/>
    <w:rsid w:val="00385CFB"/>
    <w:rsid w:val="003877A6"/>
    <w:rsid w:val="00390858"/>
    <w:rsid w:val="003B4039"/>
    <w:rsid w:val="003C66E5"/>
    <w:rsid w:val="003F01FD"/>
    <w:rsid w:val="003F314A"/>
    <w:rsid w:val="004166E0"/>
    <w:rsid w:val="0043502D"/>
    <w:rsid w:val="00455C87"/>
    <w:rsid w:val="004619C2"/>
    <w:rsid w:val="004632A2"/>
    <w:rsid w:val="004635FC"/>
    <w:rsid w:val="00470BBE"/>
    <w:rsid w:val="00482BFC"/>
    <w:rsid w:val="00484762"/>
    <w:rsid w:val="00485F67"/>
    <w:rsid w:val="004A589A"/>
    <w:rsid w:val="004A6014"/>
    <w:rsid w:val="004C173A"/>
    <w:rsid w:val="004C5610"/>
    <w:rsid w:val="004C7DC0"/>
    <w:rsid w:val="004D2AC7"/>
    <w:rsid w:val="004E4D28"/>
    <w:rsid w:val="004E5377"/>
    <w:rsid w:val="004E79F5"/>
    <w:rsid w:val="004F0319"/>
    <w:rsid w:val="004F55F2"/>
    <w:rsid w:val="0050528A"/>
    <w:rsid w:val="00515CA6"/>
    <w:rsid w:val="00516EE9"/>
    <w:rsid w:val="005176B5"/>
    <w:rsid w:val="00522DD5"/>
    <w:rsid w:val="005245EC"/>
    <w:rsid w:val="005273CB"/>
    <w:rsid w:val="00553105"/>
    <w:rsid w:val="005670F6"/>
    <w:rsid w:val="00567AA5"/>
    <w:rsid w:val="005744E4"/>
    <w:rsid w:val="005851C7"/>
    <w:rsid w:val="0058700A"/>
    <w:rsid w:val="005930BF"/>
    <w:rsid w:val="00593679"/>
    <w:rsid w:val="005A0914"/>
    <w:rsid w:val="005A5FF8"/>
    <w:rsid w:val="005B2497"/>
    <w:rsid w:val="005C2A4B"/>
    <w:rsid w:val="005D2561"/>
    <w:rsid w:val="006021A7"/>
    <w:rsid w:val="00603572"/>
    <w:rsid w:val="0061154F"/>
    <w:rsid w:val="006226FB"/>
    <w:rsid w:val="006227A0"/>
    <w:rsid w:val="00624FF9"/>
    <w:rsid w:val="006255D8"/>
    <w:rsid w:val="00630FA7"/>
    <w:rsid w:val="0063488E"/>
    <w:rsid w:val="006413A5"/>
    <w:rsid w:val="006500CF"/>
    <w:rsid w:val="0065280E"/>
    <w:rsid w:val="00666E37"/>
    <w:rsid w:val="00673A46"/>
    <w:rsid w:val="00673EEB"/>
    <w:rsid w:val="0068383E"/>
    <w:rsid w:val="00687CEB"/>
    <w:rsid w:val="0069085A"/>
    <w:rsid w:val="00697507"/>
    <w:rsid w:val="00697B1B"/>
    <w:rsid w:val="006B36FB"/>
    <w:rsid w:val="006B3958"/>
    <w:rsid w:val="006C0BD5"/>
    <w:rsid w:val="006C5A19"/>
    <w:rsid w:val="006F2933"/>
    <w:rsid w:val="007167A9"/>
    <w:rsid w:val="007211BF"/>
    <w:rsid w:val="00722E1E"/>
    <w:rsid w:val="007313A4"/>
    <w:rsid w:val="00735BA3"/>
    <w:rsid w:val="00744ADF"/>
    <w:rsid w:val="00754EEB"/>
    <w:rsid w:val="007600EA"/>
    <w:rsid w:val="0076268B"/>
    <w:rsid w:val="00762799"/>
    <w:rsid w:val="00762F3C"/>
    <w:rsid w:val="00780018"/>
    <w:rsid w:val="0078083E"/>
    <w:rsid w:val="007B26DE"/>
    <w:rsid w:val="007B3526"/>
    <w:rsid w:val="007B50EA"/>
    <w:rsid w:val="007C184E"/>
    <w:rsid w:val="007C6EC1"/>
    <w:rsid w:val="007D6472"/>
    <w:rsid w:val="007E3207"/>
    <w:rsid w:val="008450B7"/>
    <w:rsid w:val="0084686A"/>
    <w:rsid w:val="00851EE4"/>
    <w:rsid w:val="00866082"/>
    <w:rsid w:val="00880C48"/>
    <w:rsid w:val="00893550"/>
    <w:rsid w:val="00897F92"/>
    <w:rsid w:val="008D4310"/>
    <w:rsid w:val="008D4E53"/>
    <w:rsid w:val="008D551D"/>
    <w:rsid w:val="008F0501"/>
    <w:rsid w:val="008F1799"/>
    <w:rsid w:val="008F2492"/>
    <w:rsid w:val="008F24A1"/>
    <w:rsid w:val="008F315D"/>
    <w:rsid w:val="0091234D"/>
    <w:rsid w:val="00936562"/>
    <w:rsid w:val="00940748"/>
    <w:rsid w:val="00944182"/>
    <w:rsid w:val="00946D49"/>
    <w:rsid w:val="00946E49"/>
    <w:rsid w:val="00947BFA"/>
    <w:rsid w:val="009502A4"/>
    <w:rsid w:val="00956714"/>
    <w:rsid w:val="009575CE"/>
    <w:rsid w:val="00960674"/>
    <w:rsid w:val="00962496"/>
    <w:rsid w:val="00965DE4"/>
    <w:rsid w:val="00972BEF"/>
    <w:rsid w:val="00974E60"/>
    <w:rsid w:val="009807F3"/>
    <w:rsid w:val="00982401"/>
    <w:rsid w:val="009965C5"/>
    <w:rsid w:val="009C6C78"/>
    <w:rsid w:val="009D370D"/>
    <w:rsid w:val="009D7A3D"/>
    <w:rsid w:val="009E7905"/>
    <w:rsid w:val="009F02B5"/>
    <w:rsid w:val="00A02253"/>
    <w:rsid w:val="00A04980"/>
    <w:rsid w:val="00A12E42"/>
    <w:rsid w:val="00A1536A"/>
    <w:rsid w:val="00A238B7"/>
    <w:rsid w:val="00A53A95"/>
    <w:rsid w:val="00A72F95"/>
    <w:rsid w:val="00A73307"/>
    <w:rsid w:val="00A857D8"/>
    <w:rsid w:val="00A90C4D"/>
    <w:rsid w:val="00A979BC"/>
    <w:rsid w:val="00AA3338"/>
    <w:rsid w:val="00AB00C4"/>
    <w:rsid w:val="00AB26F8"/>
    <w:rsid w:val="00AC15C4"/>
    <w:rsid w:val="00AC2A58"/>
    <w:rsid w:val="00AC2E48"/>
    <w:rsid w:val="00AD070C"/>
    <w:rsid w:val="00AD29FE"/>
    <w:rsid w:val="00AE329D"/>
    <w:rsid w:val="00AE53C7"/>
    <w:rsid w:val="00AE6030"/>
    <w:rsid w:val="00AF63E1"/>
    <w:rsid w:val="00B00643"/>
    <w:rsid w:val="00B16201"/>
    <w:rsid w:val="00B20155"/>
    <w:rsid w:val="00B208AE"/>
    <w:rsid w:val="00B2197B"/>
    <w:rsid w:val="00B34ABB"/>
    <w:rsid w:val="00B510D4"/>
    <w:rsid w:val="00B55574"/>
    <w:rsid w:val="00B5606A"/>
    <w:rsid w:val="00B71E6E"/>
    <w:rsid w:val="00B87024"/>
    <w:rsid w:val="00B87649"/>
    <w:rsid w:val="00B9476B"/>
    <w:rsid w:val="00BA58AF"/>
    <w:rsid w:val="00BB029E"/>
    <w:rsid w:val="00BB3FFA"/>
    <w:rsid w:val="00BB5760"/>
    <w:rsid w:val="00BB6F31"/>
    <w:rsid w:val="00BB71E1"/>
    <w:rsid w:val="00BC19D6"/>
    <w:rsid w:val="00BC3A61"/>
    <w:rsid w:val="00BC6A2F"/>
    <w:rsid w:val="00BD38D4"/>
    <w:rsid w:val="00BE60C9"/>
    <w:rsid w:val="00C00FFB"/>
    <w:rsid w:val="00C16C5B"/>
    <w:rsid w:val="00C22855"/>
    <w:rsid w:val="00C261D6"/>
    <w:rsid w:val="00C4146E"/>
    <w:rsid w:val="00C4601C"/>
    <w:rsid w:val="00C508DC"/>
    <w:rsid w:val="00C54CC6"/>
    <w:rsid w:val="00C54DA0"/>
    <w:rsid w:val="00C573A7"/>
    <w:rsid w:val="00C738CC"/>
    <w:rsid w:val="00C776F5"/>
    <w:rsid w:val="00C826E0"/>
    <w:rsid w:val="00C95D88"/>
    <w:rsid w:val="00CA0DDE"/>
    <w:rsid w:val="00CA1695"/>
    <w:rsid w:val="00CB555E"/>
    <w:rsid w:val="00CC3251"/>
    <w:rsid w:val="00CC51B4"/>
    <w:rsid w:val="00CD08BB"/>
    <w:rsid w:val="00CD7B47"/>
    <w:rsid w:val="00CE19B7"/>
    <w:rsid w:val="00CE386F"/>
    <w:rsid w:val="00CE3A1D"/>
    <w:rsid w:val="00CE6CE9"/>
    <w:rsid w:val="00CF02BE"/>
    <w:rsid w:val="00CF4A6D"/>
    <w:rsid w:val="00CF58FD"/>
    <w:rsid w:val="00D11221"/>
    <w:rsid w:val="00D232B9"/>
    <w:rsid w:val="00D26395"/>
    <w:rsid w:val="00D33AFE"/>
    <w:rsid w:val="00D43144"/>
    <w:rsid w:val="00D432A5"/>
    <w:rsid w:val="00D443F9"/>
    <w:rsid w:val="00D44C64"/>
    <w:rsid w:val="00D46735"/>
    <w:rsid w:val="00D5234B"/>
    <w:rsid w:val="00D524FD"/>
    <w:rsid w:val="00D6147E"/>
    <w:rsid w:val="00D70B69"/>
    <w:rsid w:val="00D75352"/>
    <w:rsid w:val="00D844E3"/>
    <w:rsid w:val="00D86454"/>
    <w:rsid w:val="00D94489"/>
    <w:rsid w:val="00DA5AB7"/>
    <w:rsid w:val="00DA7E0B"/>
    <w:rsid w:val="00DC0A5C"/>
    <w:rsid w:val="00DD70D2"/>
    <w:rsid w:val="00DF7537"/>
    <w:rsid w:val="00E03228"/>
    <w:rsid w:val="00E04667"/>
    <w:rsid w:val="00E06AF0"/>
    <w:rsid w:val="00E21218"/>
    <w:rsid w:val="00E227C9"/>
    <w:rsid w:val="00E2693A"/>
    <w:rsid w:val="00E321CD"/>
    <w:rsid w:val="00E323EA"/>
    <w:rsid w:val="00E34C2C"/>
    <w:rsid w:val="00E41769"/>
    <w:rsid w:val="00E43969"/>
    <w:rsid w:val="00E447F2"/>
    <w:rsid w:val="00E56D40"/>
    <w:rsid w:val="00E57ABF"/>
    <w:rsid w:val="00E62A1E"/>
    <w:rsid w:val="00E77DED"/>
    <w:rsid w:val="00E8074F"/>
    <w:rsid w:val="00E82D51"/>
    <w:rsid w:val="00E93DE6"/>
    <w:rsid w:val="00E950DF"/>
    <w:rsid w:val="00EB036F"/>
    <w:rsid w:val="00EB18F3"/>
    <w:rsid w:val="00EB6D7D"/>
    <w:rsid w:val="00EE3029"/>
    <w:rsid w:val="00EE5927"/>
    <w:rsid w:val="00F04A29"/>
    <w:rsid w:val="00F07578"/>
    <w:rsid w:val="00F1343D"/>
    <w:rsid w:val="00F14E95"/>
    <w:rsid w:val="00F17B54"/>
    <w:rsid w:val="00F2716A"/>
    <w:rsid w:val="00F27D0F"/>
    <w:rsid w:val="00F44223"/>
    <w:rsid w:val="00F50A6B"/>
    <w:rsid w:val="00F5517A"/>
    <w:rsid w:val="00F608B7"/>
    <w:rsid w:val="00F67059"/>
    <w:rsid w:val="00F67ED9"/>
    <w:rsid w:val="00F9456C"/>
    <w:rsid w:val="00FA4919"/>
    <w:rsid w:val="00FC01A0"/>
    <w:rsid w:val="00FC0901"/>
    <w:rsid w:val="00FC2EEB"/>
    <w:rsid w:val="00FC728B"/>
    <w:rsid w:val="00FD364C"/>
    <w:rsid w:val="00FE74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3AAEF"/>
  <w15:docId w15:val="{D0783040-3993-4E19-9893-5A529AE6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61013"/>
    <w:pPr>
      <w:keepNext/>
      <w:keepLines/>
      <w:spacing w:before="480" w:after="0"/>
      <w:outlineLvl w:val="0"/>
    </w:pPr>
    <w:rPr>
      <w:rFonts w:asciiTheme="minorBidi" w:eastAsiaTheme="majorEastAsia" w:hAnsiTheme="minorBidi" w:cstheme="majorBidi"/>
      <w:b/>
      <w:bCs/>
      <w:color w:val="000000" w:themeColor="text1"/>
      <w:sz w:val="24"/>
      <w:szCs w:val="28"/>
    </w:rPr>
  </w:style>
  <w:style w:type="paragraph" w:styleId="Heading2">
    <w:name w:val="heading 2"/>
    <w:basedOn w:val="Normal"/>
    <w:next w:val="Normal"/>
    <w:link w:val="Heading2Char"/>
    <w:uiPriority w:val="9"/>
    <w:unhideWhenUsed/>
    <w:qFormat/>
    <w:rsid w:val="00261013"/>
    <w:pPr>
      <w:keepNext/>
      <w:keepLines/>
      <w:spacing w:before="200" w:after="0"/>
      <w:outlineLvl w:val="1"/>
    </w:pPr>
    <w:rPr>
      <w:rFonts w:asciiTheme="minorBidi" w:eastAsiaTheme="majorEastAsia" w:hAnsiTheme="minorBidi" w:cstheme="majorBidi"/>
      <w:b/>
      <w:bCs/>
      <w:color w:val="000000" w:themeColor="text1"/>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38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982401"/>
    <w:rPr>
      <w:color w:val="0000FF" w:themeColor="hyperlink"/>
      <w:u w:val="single"/>
    </w:rPr>
  </w:style>
  <w:style w:type="character" w:customStyle="1" w:styleId="Heading1Char">
    <w:name w:val="Heading 1 Char"/>
    <w:basedOn w:val="DefaultParagraphFont"/>
    <w:link w:val="Heading1"/>
    <w:uiPriority w:val="9"/>
    <w:rsid w:val="00261013"/>
    <w:rPr>
      <w:rFonts w:asciiTheme="minorBidi" w:eastAsiaTheme="majorEastAsia" w:hAnsiTheme="minorBidi" w:cstheme="majorBidi"/>
      <w:b/>
      <w:bCs/>
      <w:color w:val="000000" w:themeColor="text1"/>
      <w:sz w:val="24"/>
      <w:szCs w:val="28"/>
      <w:lang w:val="en-GB"/>
    </w:rPr>
  </w:style>
  <w:style w:type="character" w:customStyle="1" w:styleId="Heading2Char">
    <w:name w:val="Heading 2 Char"/>
    <w:basedOn w:val="DefaultParagraphFont"/>
    <w:link w:val="Heading2"/>
    <w:uiPriority w:val="9"/>
    <w:rsid w:val="00261013"/>
    <w:rPr>
      <w:rFonts w:asciiTheme="minorBidi" w:eastAsiaTheme="majorEastAsia" w:hAnsiTheme="minorBidi" w:cstheme="majorBidi"/>
      <w:b/>
      <w:bCs/>
      <w:color w:val="000000" w:themeColor="text1"/>
      <w:sz w:val="24"/>
      <w:szCs w:val="26"/>
      <w:u w:val="single"/>
      <w:lang w:val="en-GB"/>
    </w:rPr>
  </w:style>
  <w:style w:type="paragraph" w:styleId="TOCHeading">
    <w:name w:val="TOC Heading"/>
    <w:basedOn w:val="Heading1"/>
    <w:next w:val="Normal"/>
    <w:uiPriority w:val="39"/>
    <w:semiHidden/>
    <w:unhideWhenUsed/>
    <w:qFormat/>
    <w:rsid w:val="00516EE9"/>
    <w:p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516EE9"/>
    <w:pPr>
      <w:spacing w:after="100"/>
    </w:pPr>
  </w:style>
  <w:style w:type="paragraph" w:styleId="TOC2">
    <w:name w:val="toc 2"/>
    <w:basedOn w:val="Normal"/>
    <w:next w:val="Normal"/>
    <w:autoRedefine/>
    <w:uiPriority w:val="39"/>
    <w:unhideWhenUsed/>
    <w:rsid w:val="00516EE9"/>
    <w:pPr>
      <w:spacing w:after="100"/>
      <w:ind w:left="220"/>
    </w:pPr>
  </w:style>
  <w:style w:type="paragraph" w:styleId="BalloonText">
    <w:name w:val="Balloon Text"/>
    <w:basedOn w:val="Normal"/>
    <w:link w:val="BalloonTextChar"/>
    <w:uiPriority w:val="99"/>
    <w:semiHidden/>
    <w:unhideWhenUsed/>
    <w:rsid w:val="00516E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EE9"/>
    <w:rPr>
      <w:rFonts w:ascii="Tahoma" w:hAnsi="Tahoma" w:cs="Tahoma"/>
      <w:sz w:val="16"/>
      <w:szCs w:val="16"/>
      <w:lang w:val="en-GB"/>
    </w:rPr>
  </w:style>
  <w:style w:type="paragraph" w:styleId="Header">
    <w:name w:val="header"/>
    <w:basedOn w:val="Normal"/>
    <w:link w:val="HeaderChar"/>
    <w:uiPriority w:val="99"/>
    <w:unhideWhenUsed/>
    <w:rsid w:val="00C00F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0FFB"/>
    <w:rPr>
      <w:lang w:val="en-GB"/>
    </w:rPr>
  </w:style>
  <w:style w:type="paragraph" w:styleId="Footer">
    <w:name w:val="footer"/>
    <w:basedOn w:val="Normal"/>
    <w:link w:val="FooterChar"/>
    <w:uiPriority w:val="99"/>
    <w:unhideWhenUsed/>
    <w:rsid w:val="00C00F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0FF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0459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researchuk.org/news/the-governments-major-conditions-strategy-must-deliver-for-people-with-dementia/" TargetMode="External"/><Relationship Id="rId13" Type="http://schemas.openxmlformats.org/officeDocument/2006/relationships/hyperlink" Target="https://assets.publishing.service.gov.uk/media/5a7b63e9e5274a34770eb5f4/dh_094052.pdf" TargetMode="External"/><Relationship Id="rId18" Type="http://schemas.openxmlformats.org/officeDocument/2006/relationships/hyperlink" Target="https://www.health.org.uk/news-and-comment/blogs/major-conditions-strategy-the-case-for-change" TargetMode="External"/><Relationship Id="rId3" Type="http://schemas.openxmlformats.org/officeDocument/2006/relationships/settings" Target="settings.xml"/><Relationship Id="rId21" Type="http://schemas.openxmlformats.org/officeDocument/2006/relationships/hyperlink" Target="https://www.gov.wales/older-people-and-people-living-frailty-integrated-quality-statement-html" TargetMode="External"/><Relationship Id="rId7" Type="http://schemas.openxmlformats.org/officeDocument/2006/relationships/footer" Target="footer1.xml"/><Relationship Id="rId12" Type="http://schemas.openxmlformats.org/officeDocument/2006/relationships/hyperlink" Target="https://assets.publishing.service.gov.uk/media/5a7b4f16e5274a34770ead1c/National_Service_Framework_for_Older_People.pdf" TargetMode="External"/><Relationship Id="rId17" Type="http://schemas.openxmlformats.org/officeDocument/2006/relationships/hyperlink" Target="https://www.nia.nih.gov/about/aging-strategic-directions-research/goal-health-intervention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kingsfund.org.uk/insight-and-analysis/long-reads/health-and-care-act-key-questions" TargetMode="External"/><Relationship Id="rId20" Type="http://schemas.openxmlformats.org/officeDocument/2006/relationships/hyperlink" Target="https://www.un.org/development/desa/dspd/wp-content/uploads/sites/22/2023/01/2023wsr-chapter1-.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geing-better.org.uk/society-state-ageing-2023-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ptanetwork.org/images/documents/minutes/EPTA_report_2019.pdf" TargetMode="External"/><Relationship Id="rId23" Type="http://schemas.openxmlformats.org/officeDocument/2006/relationships/hyperlink" Target="https://apps.who.int/gb/ebwha/pdf_files/WHA73/A73_INF2-en.pdf" TargetMode="External"/><Relationship Id="rId10" Type="http://schemas.openxmlformats.org/officeDocument/2006/relationships/hyperlink" Target="https://ageing-better.org.uk/state-of-ageing" TargetMode="External"/><Relationship Id="rId19" Type="http://schemas.openxmlformats.org/officeDocument/2006/relationships/hyperlink" Target="https://www.ons.gov.uk/peoplepopulationandcommunity/populationandmigration/populationprojections/bulletins/nationalpopulationprojections/2021basedinterim" TargetMode="External"/><Relationship Id="rId4" Type="http://schemas.openxmlformats.org/officeDocument/2006/relationships/webSettings" Target="webSettings.xml"/><Relationship Id="rId9" Type="http://schemas.openxmlformats.org/officeDocument/2006/relationships/hyperlink" Target="https://hbr.org/2023/06/a-more-humane-model-for-eldercare-in-the-u-s" TargetMode="External"/><Relationship Id="rId14" Type="http://schemas.openxmlformats.org/officeDocument/2006/relationships/hyperlink" Target="https://www.gov.uk/government/publications/major-conditions-strategy-case-for-change-and-our-strategic-framework/major-conditions-strategy-case-for-change-and-our-strategic-framework--2" TargetMode="External"/><Relationship Id="rId22" Type="http://schemas.openxmlformats.org/officeDocument/2006/relationships/hyperlink" Target="https://dhcw.nhs.wales/files/dhcw-strategies-and-frameworks/primary-care-strategy-2024-2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C86B3-1536-474F-9F57-706D94516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3550</Words>
  <Characters>20241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Rotimi Amos</cp:lastModifiedBy>
  <cp:revision>2</cp:revision>
  <dcterms:created xsi:type="dcterms:W3CDTF">2024-05-01T15:57:00Z</dcterms:created>
  <dcterms:modified xsi:type="dcterms:W3CDTF">2024-05-01T15:57:00Z</dcterms:modified>
</cp:coreProperties>
</file>