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FD613" w14:textId="77777777" w:rsidR="000320AD" w:rsidRDefault="000320AD" w:rsidP="000A48BA">
      <w:pPr>
        <w:pStyle w:val="Heading1"/>
        <w:jc w:val="center"/>
        <w:rPr>
          <w:b/>
          <w:bCs/>
          <w:sz w:val="52"/>
          <w:szCs w:val="52"/>
        </w:rPr>
      </w:pPr>
    </w:p>
    <w:p w14:paraId="37D2F21E" w14:textId="77777777" w:rsidR="008A5B7B" w:rsidRDefault="008A5B7B" w:rsidP="000A48BA">
      <w:pPr>
        <w:pStyle w:val="Heading1"/>
        <w:jc w:val="center"/>
        <w:rPr>
          <w:b/>
          <w:bCs/>
          <w:sz w:val="52"/>
          <w:szCs w:val="52"/>
        </w:rPr>
      </w:pPr>
    </w:p>
    <w:p w14:paraId="0FD763BE" w14:textId="40CDF23D" w:rsidR="003B0E1C" w:rsidRPr="000320AD" w:rsidRDefault="003C02C8" w:rsidP="000A48BA">
      <w:pPr>
        <w:pStyle w:val="Heading1"/>
        <w:jc w:val="center"/>
        <w:rPr>
          <w:b/>
          <w:bCs/>
          <w:sz w:val="52"/>
          <w:szCs w:val="52"/>
        </w:rPr>
      </w:pPr>
      <w:r w:rsidRPr="000320AD">
        <w:rPr>
          <w:b/>
          <w:bCs/>
          <w:sz w:val="52"/>
          <w:szCs w:val="52"/>
        </w:rPr>
        <w:t>Certificate of High</w:t>
      </w:r>
      <w:r w:rsidR="003B0E1C" w:rsidRPr="000320AD">
        <w:rPr>
          <w:b/>
          <w:bCs/>
          <w:sz w:val="52"/>
          <w:szCs w:val="52"/>
        </w:rPr>
        <w:t>er Education Employability Skills</w:t>
      </w:r>
    </w:p>
    <w:p w14:paraId="35E380D5" w14:textId="77777777" w:rsidR="00C43D09" w:rsidRPr="000320AD" w:rsidRDefault="003B0E1C" w:rsidP="000A48BA">
      <w:pPr>
        <w:pStyle w:val="Heading1"/>
        <w:jc w:val="center"/>
        <w:rPr>
          <w:b/>
          <w:bCs/>
          <w:sz w:val="52"/>
          <w:szCs w:val="52"/>
        </w:rPr>
      </w:pPr>
      <w:r w:rsidRPr="000320AD">
        <w:rPr>
          <w:b/>
          <w:bCs/>
          <w:sz w:val="52"/>
          <w:szCs w:val="52"/>
        </w:rPr>
        <w:t>M</w:t>
      </w:r>
      <w:r w:rsidR="005C12BD" w:rsidRPr="000320AD">
        <w:rPr>
          <w:b/>
          <w:bCs/>
          <w:sz w:val="52"/>
          <w:szCs w:val="52"/>
        </w:rPr>
        <w:t>odule: Professional Career Develop</w:t>
      </w:r>
      <w:r w:rsidR="00C43D09" w:rsidRPr="000320AD">
        <w:rPr>
          <w:b/>
          <w:bCs/>
          <w:sz w:val="52"/>
          <w:szCs w:val="52"/>
        </w:rPr>
        <w:t>ment</w:t>
      </w:r>
    </w:p>
    <w:p w14:paraId="304C2DB8" w14:textId="77777777" w:rsidR="00C43D09" w:rsidRPr="000320AD" w:rsidRDefault="00C43D09" w:rsidP="000A48BA">
      <w:pPr>
        <w:pStyle w:val="Heading1"/>
        <w:jc w:val="center"/>
        <w:rPr>
          <w:b/>
          <w:bCs/>
          <w:sz w:val="52"/>
          <w:szCs w:val="52"/>
        </w:rPr>
      </w:pPr>
      <w:r w:rsidRPr="000320AD">
        <w:rPr>
          <w:b/>
          <w:bCs/>
          <w:sz w:val="52"/>
          <w:szCs w:val="52"/>
        </w:rPr>
        <w:t>Module code: BMSW4012</w:t>
      </w:r>
    </w:p>
    <w:p w14:paraId="03D44233" w14:textId="77777777" w:rsidR="00093680" w:rsidRPr="000320AD" w:rsidRDefault="00093680" w:rsidP="000A48BA">
      <w:pPr>
        <w:pStyle w:val="Heading1"/>
        <w:jc w:val="center"/>
        <w:rPr>
          <w:b/>
          <w:bCs/>
          <w:sz w:val="52"/>
          <w:szCs w:val="52"/>
        </w:rPr>
      </w:pPr>
      <w:r w:rsidRPr="000320AD">
        <w:rPr>
          <w:b/>
          <w:bCs/>
          <w:sz w:val="52"/>
          <w:szCs w:val="52"/>
        </w:rPr>
        <w:t>Lecturer: Muhammad Cassamo</w:t>
      </w:r>
    </w:p>
    <w:p w14:paraId="61F8FD94" w14:textId="77777777" w:rsidR="000A48BA" w:rsidRPr="000320AD" w:rsidRDefault="00093680" w:rsidP="000A48BA">
      <w:pPr>
        <w:pStyle w:val="Heading1"/>
        <w:jc w:val="center"/>
        <w:rPr>
          <w:b/>
          <w:bCs/>
          <w:sz w:val="52"/>
          <w:szCs w:val="52"/>
        </w:rPr>
      </w:pPr>
      <w:r w:rsidRPr="000320AD">
        <w:rPr>
          <w:b/>
          <w:bCs/>
          <w:sz w:val="52"/>
          <w:szCs w:val="52"/>
        </w:rPr>
        <w:t>Student: Florina Tutuiu</w:t>
      </w:r>
    </w:p>
    <w:p w14:paraId="138E26F8" w14:textId="711EBF1F" w:rsidR="00904529" w:rsidRDefault="000A48BA" w:rsidP="000A48BA">
      <w:pPr>
        <w:pStyle w:val="Heading1"/>
        <w:jc w:val="center"/>
      </w:pPr>
      <w:r w:rsidRPr="000320AD">
        <w:rPr>
          <w:b/>
          <w:bCs/>
          <w:sz w:val="52"/>
          <w:szCs w:val="52"/>
        </w:rPr>
        <w:t>Part 1: Individual Reflection</w:t>
      </w:r>
      <w:r w:rsidR="00904529">
        <w:br w:type="page"/>
      </w:r>
    </w:p>
    <w:p w14:paraId="394F0386" w14:textId="688033B4" w:rsidR="004A5385" w:rsidRPr="00693B3E" w:rsidRDefault="004A5385" w:rsidP="00D4403B">
      <w:pPr>
        <w:spacing w:after="0" w:line="360" w:lineRule="auto"/>
        <w:ind w:firstLine="851"/>
        <w:jc w:val="both"/>
        <w:rPr>
          <w:rFonts w:ascii="Arial" w:hAnsi="Arial" w:cs="Arial"/>
        </w:rPr>
      </w:pPr>
      <w:r w:rsidRPr="00693B3E">
        <w:rPr>
          <w:rFonts w:ascii="Arial" w:hAnsi="Arial" w:cs="Arial"/>
        </w:rPr>
        <w:lastRenderedPageBreak/>
        <w:t xml:space="preserve">The noun "reflection" originates from the Latin word “reflectere,” meaning "to bend back," derived from re- “back” and flectere- “to bend” (Harper, 2024). This origin is fitting, as reflection involves bending one’s thoughts back towards past experiences. In modern use, the dictionary defines reflection as “a thought, idea, or opinion formed, or a remark made as a result of meditation” (Merriam-Webster, </w:t>
      </w:r>
      <w:r w:rsidR="00094D30">
        <w:rPr>
          <w:rFonts w:ascii="Arial" w:hAnsi="Arial" w:cs="Arial"/>
        </w:rPr>
        <w:t>2019-</w:t>
      </w:r>
      <w:r w:rsidRPr="00693B3E">
        <w:rPr>
          <w:rFonts w:ascii="Arial" w:hAnsi="Arial" w:cs="Arial"/>
        </w:rPr>
        <w:t xml:space="preserve">2024). It is a process that requires introspection, enabling us to look back at past events, understand them in a broader context, and consider how the insights gained can be applied to future situations. </w:t>
      </w:r>
    </w:p>
    <w:p w14:paraId="689D88A7" w14:textId="77777777" w:rsidR="004A5385" w:rsidRPr="00693B3E" w:rsidRDefault="004A5385" w:rsidP="00D4403B">
      <w:pPr>
        <w:spacing w:after="0" w:line="360" w:lineRule="auto"/>
        <w:ind w:firstLine="851"/>
        <w:jc w:val="both"/>
        <w:rPr>
          <w:rFonts w:ascii="Arial" w:hAnsi="Arial" w:cs="Arial"/>
        </w:rPr>
      </w:pPr>
      <w:r w:rsidRPr="00693B3E">
        <w:rPr>
          <w:rFonts w:ascii="Arial" w:hAnsi="Arial" w:cs="Arial"/>
        </w:rPr>
        <w:t>Such an approach necessitates openness and honesty, as examining both positive and negative experiences challenges us to confront uncomfortable truths about ourselves. According to Denami and Adinda (2023), reflection has secured an essential role in adult education. It prompts growth by facilitating a deeper understanding of personal experiences and encouraging self-improvement.</w:t>
      </w:r>
    </w:p>
    <w:p w14:paraId="1A73A802" w14:textId="702AC76F" w:rsidR="00DD6DF8" w:rsidRPr="00693B3E" w:rsidRDefault="004A5385" w:rsidP="00D4403B">
      <w:pPr>
        <w:spacing w:after="0" w:line="360" w:lineRule="auto"/>
        <w:ind w:firstLine="851"/>
        <w:jc w:val="both"/>
        <w:rPr>
          <w:rFonts w:ascii="Arial" w:hAnsi="Arial" w:cs="Arial"/>
        </w:rPr>
      </w:pPr>
      <w:r w:rsidRPr="00693B3E">
        <w:rPr>
          <w:rFonts w:ascii="Arial" w:hAnsi="Arial" w:cs="Arial"/>
        </w:rPr>
        <w:t>In education, reflection is highlighted as being highly personal and unique, an experiential process that molds an individual’s worldview and decision-making approach. This process can propel us beyond our comfort zones since it requires us to critically analyze our experiences and behaviors—and sometimes initiates substantive personal changes. Such changes could manifest in our thought processes, behavior, or professional practice. The willingness to embrace this reflective journey begins the transformation from passive learning to active self-discovery and continuous personal development, enabling individuals to implement positive changes and adaptations in various aspects of their lives. Essentially, reflection serves as a catalyst for ongoing personal evolution, promoting resilience and adaptability in an ever-changing environment.</w:t>
      </w:r>
    </w:p>
    <w:p w14:paraId="78F78EF6" w14:textId="4816930A" w:rsidR="004A5385" w:rsidRPr="00693B3E" w:rsidRDefault="004A5385" w:rsidP="00D4403B">
      <w:pPr>
        <w:spacing w:after="0" w:line="360" w:lineRule="auto"/>
        <w:ind w:firstLine="851"/>
        <w:jc w:val="both"/>
        <w:rPr>
          <w:rFonts w:ascii="Arial" w:hAnsi="Arial" w:cs="Arial"/>
        </w:rPr>
      </w:pPr>
      <w:r w:rsidRPr="00693B3E">
        <w:rPr>
          <w:rFonts w:ascii="Arial" w:hAnsi="Arial" w:cs="Arial"/>
        </w:rPr>
        <w:t xml:space="preserve">In this essay, I will embrace a reflective approach to evaluate my past career experiences, utilizing brainstorming techniques acquired during the Career Development module. This introspective journey aims to analyze my career path and personal growth </w:t>
      </w:r>
      <w:r w:rsidR="00150ABB" w:rsidRPr="00693B3E">
        <w:rPr>
          <w:rFonts w:ascii="Arial" w:hAnsi="Arial" w:cs="Arial"/>
        </w:rPr>
        <w:t>effectively. According to Bassot (2020),</w:t>
      </w:r>
      <w:r w:rsidRPr="00693B3E">
        <w:rPr>
          <w:rFonts w:ascii="Arial" w:hAnsi="Arial" w:cs="Arial"/>
        </w:rPr>
        <w:t xml:space="preserve"> </w:t>
      </w:r>
      <w:r w:rsidR="00150ABB" w:rsidRPr="00693B3E">
        <w:rPr>
          <w:rFonts w:ascii="Arial" w:hAnsi="Arial" w:cs="Arial"/>
        </w:rPr>
        <w:t>r</w:t>
      </w:r>
      <w:r w:rsidRPr="00693B3E">
        <w:rPr>
          <w:rFonts w:ascii="Arial" w:hAnsi="Arial" w:cs="Arial"/>
        </w:rPr>
        <w:t>eflect</w:t>
      </w:r>
      <w:r w:rsidR="00150ABB" w:rsidRPr="00693B3E">
        <w:rPr>
          <w:rFonts w:ascii="Arial" w:hAnsi="Arial" w:cs="Arial"/>
        </w:rPr>
        <w:t>ion</w:t>
      </w:r>
      <w:r w:rsidRPr="00693B3E">
        <w:rPr>
          <w:rFonts w:ascii="Arial" w:hAnsi="Arial" w:cs="Arial"/>
        </w:rPr>
        <w:t xml:space="preserve"> involves various metaphorical mirrors, each offering a unique perspective on our experiences and decisions. These mirrors require our attention and conscious effort, as it is ultimately our choice to act towards improvement. Without investing time in reflection, it's easy to fall into stagnant patterns—something I have experienced personally.</w:t>
      </w:r>
    </w:p>
    <w:p w14:paraId="4C345F1D" w14:textId="77777777" w:rsidR="004A5385" w:rsidRPr="00693B3E" w:rsidRDefault="004A5385" w:rsidP="00D4403B">
      <w:pPr>
        <w:spacing w:after="0" w:line="360" w:lineRule="auto"/>
        <w:ind w:firstLine="851"/>
        <w:jc w:val="both"/>
        <w:rPr>
          <w:rFonts w:ascii="Arial" w:hAnsi="Arial" w:cs="Arial"/>
        </w:rPr>
      </w:pPr>
    </w:p>
    <w:p w14:paraId="1031BD05" w14:textId="2A246962" w:rsidR="004A5385" w:rsidRPr="00693B3E" w:rsidRDefault="004A5385" w:rsidP="00D4403B">
      <w:pPr>
        <w:spacing w:after="0" w:line="360" w:lineRule="auto"/>
        <w:ind w:firstLine="851"/>
        <w:jc w:val="both"/>
        <w:rPr>
          <w:rFonts w:ascii="Arial" w:hAnsi="Arial" w:cs="Arial"/>
        </w:rPr>
      </w:pPr>
      <w:r w:rsidRPr="00693B3E">
        <w:rPr>
          <w:rFonts w:ascii="Arial" w:hAnsi="Arial" w:cs="Arial"/>
        </w:rPr>
        <w:t>As a nurse and a mother of three, balancing professional and personal priorities often became a daunting task. I frequently found myself lacking effective time management skills, which exacerbated my stress levels and culminated in burnout. Feeling overwhelmed, I took a step back and recognized the necessity for change</w:t>
      </w:r>
      <w:r w:rsidR="00150ABB" w:rsidRPr="00693B3E">
        <w:rPr>
          <w:rFonts w:ascii="Arial" w:hAnsi="Arial" w:cs="Arial"/>
        </w:rPr>
        <w:t>, realising</w:t>
      </w:r>
      <w:r w:rsidRPr="00693B3E">
        <w:rPr>
          <w:rFonts w:ascii="Arial" w:hAnsi="Arial" w:cs="Arial"/>
        </w:rPr>
        <w:t xml:space="preserve"> upon critical reflection, that anything deemed important must be allocated </w:t>
      </w:r>
      <w:r w:rsidR="00EC24D8" w:rsidRPr="00693B3E">
        <w:rPr>
          <w:rFonts w:ascii="Arial" w:hAnsi="Arial" w:cs="Arial"/>
        </w:rPr>
        <w:t>time (</w:t>
      </w:r>
      <w:r w:rsidR="00150ABB" w:rsidRPr="00693B3E">
        <w:rPr>
          <w:rFonts w:ascii="Arial" w:hAnsi="Arial" w:cs="Arial"/>
        </w:rPr>
        <w:t>Cottrell, 2023)</w:t>
      </w:r>
      <w:r w:rsidRPr="00693B3E">
        <w:rPr>
          <w:rFonts w:ascii="Arial" w:hAnsi="Arial" w:cs="Arial"/>
        </w:rPr>
        <w:t>.</w:t>
      </w:r>
    </w:p>
    <w:p w14:paraId="2678C921" w14:textId="22C60365" w:rsidR="004A5385" w:rsidRPr="00693B3E" w:rsidRDefault="004A5385" w:rsidP="00D4403B">
      <w:pPr>
        <w:spacing w:after="0" w:line="360" w:lineRule="auto"/>
        <w:ind w:firstLine="851"/>
        <w:jc w:val="both"/>
        <w:rPr>
          <w:rFonts w:ascii="Arial" w:hAnsi="Arial" w:cs="Arial"/>
        </w:rPr>
      </w:pPr>
      <w:r w:rsidRPr="00693B3E">
        <w:rPr>
          <w:rFonts w:ascii="Arial" w:hAnsi="Arial" w:cs="Arial"/>
        </w:rPr>
        <w:t xml:space="preserve">This revelation led to significant </w:t>
      </w:r>
      <w:r w:rsidR="00150ABB" w:rsidRPr="00693B3E">
        <w:rPr>
          <w:rFonts w:ascii="Arial" w:hAnsi="Arial" w:cs="Arial"/>
        </w:rPr>
        <w:t>changes</w:t>
      </w:r>
      <w:r w:rsidRPr="00693B3E">
        <w:rPr>
          <w:rFonts w:ascii="Arial" w:hAnsi="Arial" w:cs="Arial"/>
        </w:rPr>
        <w:t xml:space="preserve"> in my lifestyle. By prioritizing reflection, I regained a sense of control, achieving a more harmonious work-life balance. Subsequently, I chose to terminate my existing contract to adopt a flexible working arrangement, which afforded me greater autonomy over my schedule. This decision not only improved my well-being but also allowed me to dedicate more time to my family and personal development pursuits. Through reflecting, I recognized the importance of aligning my career choices with my core values, enabling me to grow both personally and professionally. This ongoing reflective practice continues to guide my actions and decisions, allowing me to adapt effectively to life's challenges.</w:t>
      </w:r>
    </w:p>
    <w:p w14:paraId="147B9199" w14:textId="77777777" w:rsidR="004A5385" w:rsidRPr="00693B3E" w:rsidRDefault="004A5385" w:rsidP="00D4403B">
      <w:pPr>
        <w:spacing w:after="0" w:line="360" w:lineRule="auto"/>
        <w:ind w:firstLine="851"/>
        <w:jc w:val="both"/>
        <w:rPr>
          <w:rFonts w:ascii="Arial" w:hAnsi="Arial" w:cs="Arial"/>
        </w:rPr>
      </w:pPr>
      <w:r w:rsidRPr="00693B3E">
        <w:rPr>
          <w:rFonts w:ascii="Arial" w:hAnsi="Arial" w:cs="Arial"/>
        </w:rPr>
        <w:t>Reflecting on my journey as a nurse, I decided it was time to focus on my personal and professional development by pursuing a university education. McMillan (2021) highlights how university education provides an invaluable opportunity to delve into different subjects and determine varied approaches to learning—a life-changing decision indeed! This step allowed me to undertake a thorough career assessment under the guidance of a knowledgeable lecturer in our Personal Career Development module, offering perspectives I hadn't previously considered.</w:t>
      </w:r>
    </w:p>
    <w:p w14:paraId="3F8DE065" w14:textId="77777777" w:rsidR="004A5385" w:rsidRPr="00693B3E" w:rsidRDefault="004A5385" w:rsidP="00D4403B">
      <w:pPr>
        <w:spacing w:after="0" w:line="360" w:lineRule="auto"/>
        <w:ind w:firstLine="851"/>
        <w:jc w:val="both"/>
        <w:rPr>
          <w:rFonts w:ascii="Arial" w:hAnsi="Arial" w:cs="Arial"/>
        </w:rPr>
      </w:pPr>
      <w:r w:rsidRPr="00693B3E">
        <w:rPr>
          <w:rFonts w:ascii="Arial" w:hAnsi="Arial" w:cs="Arial"/>
        </w:rPr>
        <w:t>Through this process, I engaged with significant concepts and tools that enriched my understanding of career planning, such as the Johari Window and SWOT Analysis, which helped me assess my strengths, weaknesses, opportunities, and threats. Additionally, Honey and Mumford's learning styles broadened my approach to how I assimilate information effectively. Learning about Holland’s Career Theory and the Myers-Briggs Type Indicator provided deeper insights into my personality and vocational interests, which are integral to formulating precise career SMART goals.</w:t>
      </w:r>
    </w:p>
    <w:p w14:paraId="40E66BF7" w14:textId="77777777" w:rsidR="004A5385" w:rsidRPr="00693B3E" w:rsidRDefault="004A5385" w:rsidP="00D4403B">
      <w:pPr>
        <w:spacing w:after="0" w:line="360" w:lineRule="auto"/>
        <w:ind w:firstLine="851"/>
        <w:jc w:val="both"/>
        <w:rPr>
          <w:rFonts w:ascii="Arial" w:hAnsi="Arial" w:cs="Arial"/>
        </w:rPr>
      </w:pPr>
    </w:p>
    <w:p w14:paraId="58F8D1B6" w14:textId="42FC354E" w:rsidR="004A5385" w:rsidRPr="00693B3E" w:rsidRDefault="004A5385" w:rsidP="00D4403B">
      <w:pPr>
        <w:spacing w:after="0" w:line="360" w:lineRule="auto"/>
        <w:ind w:firstLine="851"/>
        <w:jc w:val="both"/>
        <w:rPr>
          <w:rFonts w:ascii="Arial" w:hAnsi="Arial" w:cs="Arial"/>
        </w:rPr>
      </w:pPr>
      <w:r w:rsidRPr="00693B3E">
        <w:rPr>
          <w:rFonts w:ascii="Arial" w:hAnsi="Arial" w:cs="Arial"/>
        </w:rPr>
        <w:lastRenderedPageBreak/>
        <w:t xml:space="preserve">Vocational interests were paramount in refining my career exploration and informed the direction I wanted to pursue. Through Holland's RIASEC test, I identified that I possess </w:t>
      </w:r>
      <w:r w:rsidR="00150ABB" w:rsidRPr="00693B3E">
        <w:rPr>
          <w:rFonts w:ascii="Arial" w:hAnsi="Arial" w:cs="Arial"/>
        </w:rPr>
        <w:t>strong Enterprising</w:t>
      </w:r>
      <w:r w:rsidRPr="00693B3E">
        <w:rPr>
          <w:rFonts w:ascii="Arial" w:hAnsi="Arial" w:cs="Arial"/>
        </w:rPr>
        <w:t xml:space="preserve"> and Artistic traits. This combination offers a perfect fit for my aspirations within the aesthetic industry, where creativity and strategic planning are crucial. The guidance I received confirmed that aligning my interests with my career path would foster satisfaction and success. Consequently, the knowledge gained has empowered me to structure a meaningful career trajectory aligned with my passions, promoting sustained development. This university experience continues to shape my understanding of how critical self-awareness and intentional planning are in adapting to evolving career landscapes.</w:t>
      </w:r>
    </w:p>
    <w:p w14:paraId="40745B87" w14:textId="77777777" w:rsidR="004A5385" w:rsidRPr="00693B3E" w:rsidRDefault="004A5385" w:rsidP="00D4403B">
      <w:pPr>
        <w:spacing w:after="0" w:line="360" w:lineRule="auto"/>
        <w:ind w:firstLine="851"/>
        <w:jc w:val="both"/>
        <w:rPr>
          <w:rFonts w:ascii="Arial" w:hAnsi="Arial" w:cs="Arial"/>
        </w:rPr>
      </w:pPr>
      <w:r w:rsidRPr="00693B3E">
        <w:rPr>
          <w:rFonts w:ascii="Arial" w:hAnsi="Arial" w:cs="Arial"/>
        </w:rPr>
        <w:t>To plan for my ideal job, conducting a SWOT analysis proved invaluable in recognizing my strengths, weaknesses, opportunities, and threats. Originally used in strategic planning for political and corporate management, as Lukatska (2021) points out, SWOT analysis has applications in personal and career development. By evaluating my personal SWOT, I was better equipped to address potential threats and weaknesses. This proactive approach allowed me to focus on leveraging my strengths and seizing available opportunities, forging a path toward my career objectives.</w:t>
      </w:r>
    </w:p>
    <w:p w14:paraId="4511B9A8" w14:textId="77777777" w:rsidR="004A5385" w:rsidRPr="00693B3E" w:rsidRDefault="004A5385" w:rsidP="00D4403B">
      <w:pPr>
        <w:spacing w:after="0" w:line="360" w:lineRule="auto"/>
        <w:ind w:firstLine="851"/>
        <w:jc w:val="both"/>
        <w:rPr>
          <w:rFonts w:ascii="Arial" w:hAnsi="Arial" w:cs="Arial"/>
        </w:rPr>
      </w:pPr>
      <w:r w:rsidRPr="00693B3E">
        <w:rPr>
          <w:rFonts w:ascii="Arial" w:hAnsi="Arial" w:cs="Arial"/>
        </w:rPr>
        <w:t>Furthermore, exploring theories like Honey and Mumford's learning styles and the Myers-Briggs Type Indicator (MBTI) has been instrumental in shaping my personal development plan. Honey and Mumford's framework helped me pinpoint my preferred learning style. I've always been aware of my logical reasoning and analytical mindset. Through this framework, I identified myself primarily as a "Theorist," which involves a preference for models, concepts, and facts that align well with my cognitive processes.</w:t>
      </w:r>
    </w:p>
    <w:p w14:paraId="4D4D55A3" w14:textId="154C2B3C" w:rsidR="004A5385" w:rsidRPr="00693B3E" w:rsidRDefault="004A5385" w:rsidP="00D4403B">
      <w:pPr>
        <w:spacing w:after="0" w:line="360" w:lineRule="auto"/>
        <w:ind w:firstLine="851"/>
        <w:jc w:val="both"/>
        <w:rPr>
          <w:rFonts w:ascii="Arial" w:hAnsi="Arial" w:cs="Arial"/>
        </w:rPr>
      </w:pPr>
      <w:r w:rsidRPr="00693B3E">
        <w:rPr>
          <w:rFonts w:ascii="Arial" w:hAnsi="Arial" w:cs="Arial"/>
        </w:rPr>
        <w:t>Understanding my learning style encouraged me to adapt study strategies that complement my Theorist tendencies, such as engaging deeply with theoretical material and applying logical analysis in practical scenarios. Moreover, the MBTI provided insights into my personality traits</w:t>
      </w:r>
      <w:r w:rsidR="00EC24D8" w:rsidRPr="00693B3E">
        <w:rPr>
          <w:rFonts w:ascii="Arial" w:hAnsi="Arial" w:cs="Arial"/>
        </w:rPr>
        <w:t xml:space="preserve">. </w:t>
      </w:r>
      <w:r w:rsidRPr="00693B3E">
        <w:rPr>
          <w:rFonts w:ascii="Arial" w:hAnsi="Arial" w:cs="Arial"/>
        </w:rPr>
        <w:t>This self-awareness enables me to manage my growth more effectively, focusing on environments that are conducive to thoughtful analysis and innovative exploration. These insights collectively refine my career development strategy, ensuring that I continue to move towards my ideal job with a clear understanding of how to match my intrinsic qualities with professional demands.</w:t>
      </w:r>
    </w:p>
    <w:p w14:paraId="6B85A3E9" w14:textId="77777777" w:rsidR="004F7940" w:rsidRPr="00693B3E" w:rsidRDefault="004F7940" w:rsidP="00D4403B">
      <w:pPr>
        <w:spacing w:after="0" w:line="360" w:lineRule="auto"/>
        <w:ind w:firstLine="851"/>
        <w:jc w:val="both"/>
        <w:rPr>
          <w:rFonts w:ascii="Arial" w:hAnsi="Arial" w:cs="Arial"/>
        </w:rPr>
      </w:pPr>
      <w:r w:rsidRPr="00693B3E">
        <w:rPr>
          <w:rFonts w:ascii="Arial" w:hAnsi="Arial" w:cs="Arial"/>
        </w:rPr>
        <w:lastRenderedPageBreak/>
        <w:t>According to Cottrell (2024), rather than simplifying the complexity of learning by categorizing it into narrow types, a more holistic approach should be considered. This involves examining a key set of unique factors summarized as SHAPES: Skills, Habits, Attitudes, Performances, Experiences, and Strategies. This multidimensional approach can aid in conducting self-evaluation, an essential starting point for critical reflection. Through critical reflection, I can effectively analyze my personal career awareness, as described by Cottrell (2023). This comprehensive understanding allows me to recognize how various aspects of my learning and development can be aligned to create a personalized growth strategy.</w:t>
      </w:r>
    </w:p>
    <w:p w14:paraId="4803111F" w14:textId="77777777" w:rsidR="004F7940" w:rsidRPr="00693B3E" w:rsidRDefault="004F7940" w:rsidP="00D4403B">
      <w:pPr>
        <w:spacing w:after="0" w:line="360" w:lineRule="auto"/>
        <w:ind w:firstLine="851"/>
        <w:jc w:val="both"/>
        <w:rPr>
          <w:rFonts w:ascii="Arial" w:hAnsi="Arial" w:cs="Arial"/>
        </w:rPr>
      </w:pPr>
      <w:r w:rsidRPr="00693B3E">
        <w:rPr>
          <w:rFonts w:ascii="Arial" w:hAnsi="Arial" w:cs="Arial"/>
        </w:rPr>
        <w:t>Personal development is inherently complex and extends far beyond the confines of formal education, encompassing one's entire life, as noted by Bedford and Wilson (2020). It emphasizes ongoing growth and development, requiring continuous engagement with critical thinking and problem-solving skills to overcome inevitable barriers. This lifelong process encourages adaptability and resilience in facing challenges, ensuring that I am prepared to handle what life throws my way.</w:t>
      </w:r>
    </w:p>
    <w:p w14:paraId="03DCB9DF" w14:textId="77777777" w:rsidR="004F7940" w:rsidRPr="00693B3E" w:rsidRDefault="004F7940" w:rsidP="00D4403B">
      <w:pPr>
        <w:spacing w:after="0" w:line="360" w:lineRule="auto"/>
        <w:ind w:firstLine="851"/>
        <w:jc w:val="both"/>
        <w:rPr>
          <w:rFonts w:ascii="Arial" w:hAnsi="Arial" w:cs="Arial"/>
        </w:rPr>
      </w:pPr>
      <w:r w:rsidRPr="00693B3E">
        <w:rPr>
          <w:rFonts w:ascii="Arial" w:hAnsi="Arial" w:cs="Arial"/>
        </w:rPr>
        <w:t>Studies have shown that taking the time to accurately identify a problem and understand its implications leads to quicker, more effective solutions (Cottrell, 2021). This philosophy reinforces the importance of patience and diligence in personal development, encouraging a deeper and more thorough approach to problem-solving. By embracing this perspective, I can cultivate a proactive mindset that equips me to face challenges head-on, transforming potential obstacles into growth opportunities.</w:t>
      </w:r>
    </w:p>
    <w:p w14:paraId="59C61698" w14:textId="5D28832C" w:rsidR="004F7940" w:rsidRPr="00693B3E" w:rsidRDefault="004F7940" w:rsidP="00D4403B">
      <w:pPr>
        <w:spacing w:after="0" w:line="360" w:lineRule="auto"/>
        <w:ind w:firstLine="851"/>
        <w:jc w:val="both"/>
        <w:rPr>
          <w:rFonts w:ascii="Arial" w:hAnsi="Arial" w:cs="Arial"/>
        </w:rPr>
      </w:pPr>
      <w:r w:rsidRPr="00693B3E">
        <w:rPr>
          <w:rFonts w:ascii="Arial" w:hAnsi="Arial" w:cs="Arial"/>
        </w:rPr>
        <w:t>In planning for my career development, I've learned the importance of integrating these diverse concepts into my daily routine. By focusing on refining my skills and nurturing productive habits, I can build a solid foundation that supports both my personal and professional aspirations. My attitude—playing a crucial role in how I perceive and react to opportunities and difficulties—remains positive, fostering resilience and a growth mindset. Additionally, by analyzing my past experiences and performances, I gain valuable insights into patterns and behaviors that can be improved, using strategies designed to optimize my future success.</w:t>
      </w:r>
    </w:p>
    <w:p w14:paraId="1F5DB218" w14:textId="77777777" w:rsidR="004F7940" w:rsidRPr="00693B3E" w:rsidRDefault="004F7940" w:rsidP="00D4403B">
      <w:pPr>
        <w:spacing w:after="0" w:line="360" w:lineRule="auto"/>
        <w:ind w:firstLine="851"/>
        <w:jc w:val="both"/>
        <w:rPr>
          <w:rFonts w:ascii="Arial" w:hAnsi="Arial" w:cs="Arial"/>
        </w:rPr>
      </w:pPr>
    </w:p>
    <w:p w14:paraId="6885F345" w14:textId="77777777" w:rsidR="004F7940" w:rsidRPr="00693B3E" w:rsidRDefault="004F7940" w:rsidP="00D4403B">
      <w:pPr>
        <w:spacing w:after="0" w:line="360" w:lineRule="auto"/>
        <w:ind w:firstLine="851"/>
        <w:jc w:val="both"/>
        <w:rPr>
          <w:rFonts w:ascii="Arial" w:hAnsi="Arial" w:cs="Arial"/>
        </w:rPr>
      </w:pPr>
      <w:r w:rsidRPr="00693B3E">
        <w:rPr>
          <w:rFonts w:ascii="Arial" w:hAnsi="Arial" w:cs="Arial"/>
        </w:rPr>
        <w:lastRenderedPageBreak/>
        <w:t>To translate this understanding into practice, I have developed a detailed action plan. This plan includes actively engaging with the opportunities presented by my coursework, applying theoretical concepts to real-world scenarios to reinforce learning. My focus remains on overcoming challenges through resilience and maintaining a positive attitude toward my ongoing development journey.</w:t>
      </w:r>
    </w:p>
    <w:p w14:paraId="6F67F6DB" w14:textId="2FA95DCF" w:rsidR="004F7940" w:rsidRPr="00693B3E" w:rsidRDefault="004F7940" w:rsidP="00D4403B">
      <w:pPr>
        <w:spacing w:after="0" w:line="360" w:lineRule="auto"/>
        <w:ind w:firstLine="851"/>
        <w:jc w:val="both"/>
        <w:rPr>
          <w:rFonts w:ascii="Arial" w:hAnsi="Arial" w:cs="Arial"/>
        </w:rPr>
      </w:pPr>
      <w:r w:rsidRPr="00693B3E">
        <w:rPr>
          <w:rFonts w:ascii="Arial" w:hAnsi="Arial" w:cs="Arial"/>
        </w:rPr>
        <w:t>Ultimately, this approach empowers me to take charge of my personal growth, capitalizing on every opportunity to advance my skills and experiences, while remaining open to continuous learning. The goal is not only to achieve my ideal job but to embrace a lifelong commitment to self-improvement and adaptability, forming the cornerstone of a fulfilling and successful career. This journey, navigated with determination and an open mind, is rooted in well-rounded development, supported by a robust framework that</w:t>
      </w:r>
      <w:r w:rsidR="00DD76E9" w:rsidRPr="00693B3E">
        <w:rPr>
          <w:rFonts w:ascii="Arial" w:hAnsi="Arial" w:cs="Arial"/>
        </w:rPr>
        <w:t xml:space="preserve"> </w:t>
      </w:r>
      <w:r w:rsidRPr="00693B3E">
        <w:rPr>
          <w:rFonts w:ascii="Arial" w:hAnsi="Arial" w:cs="Arial"/>
        </w:rPr>
        <w:t>prioritizes both personal and professional success. By doing so, I can ensure that my career path aligns with my broader life goals, leading to a fulfilling and enriched life journey.</w:t>
      </w:r>
    </w:p>
    <w:p w14:paraId="40955ADB" w14:textId="77777777" w:rsidR="00476510" w:rsidRPr="00693B3E" w:rsidRDefault="00476510" w:rsidP="00D4403B">
      <w:pPr>
        <w:spacing w:after="0" w:line="360" w:lineRule="auto"/>
        <w:ind w:firstLine="851"/>
        <w:jc w:val="both"/>
        <w:rPr>
          <w:rFonts w:ascii="Arial" w:hAnsi="Arial" w:cs="Arial"/>
        </w:rPr>
      </w:pPr>
    </w:p>
    <w:p w14:paraId="45A369C7" w14:textId="77777777" w:rsidR="001F4535" w:rsidRPr="00693B3E" w:rsidRDefault="001F4535">
      <w:pPr>
        <w:rPr>
          <w:rFonts w:ascii="Arial" w:eastAsia="Aptos" w:hAnsi="Arial" w:cs="Arial"/>
        </w:rPr>
      </w:pPr>
      <w:r w:rsidRPr="00693B3E">
        <w:rPr>
          <w:rFonts w:ascii="Arial" w:eastAsia="Aptos" w:hAnsi="Arial" w:cs="Arial"/>
        </w:rPr>
        <w:br w:type="page"/>
      </w:r>
    </w:p>
    <w:p w14:paraId="7845F303" w14:textId="2B4672E7" w:rsidR="001F4535" w:rsidRPr="00693B3E" w:rsidRDefault="00080FD5" w:rsidP="00080FD5">
      <w:pPr>
        <w:pStyle w:val="Heading1"/>
        <w:rPr>
          <w:rFonts w:ascii="Arial" w:eastAsia="Aptos" w:hAnsi="Arial" w:cs="Arial"/>
          <w:b/>
          <w:bCs/>
          <w:sz w:val="28"/>
          <w:szCs w:val="28"/>
        </w:rPr>
      </w:pPr>
      <w:r w:rsidRPr="00693B3E">
        <w:rPr>
          <w:rFonts w:ascii="Arial" w:eastAsia="Aptos" w:hAnsi="Arial" w:cs="Arial"/>
          <w:b/>
          <w:bCs/>
          <w:sz w:val="28"/>
          <w:szCs w:val="28"/>
        </w:rPr>
        <w:lastRenderedPageBreak/>
        <w:t>Reference List</w:t>
      </w:r>
    </w:p>
    <w:p w14:paraId="4F6B2A37" w14:textId="291DD375" w:rsidR="00476510" w:rsidRPr="00693B3E" w:rsidRDefault="00476510" w:rsidP="00476510">
      <w:pPr>
        <w:rPr>
          <w:rFonts w:ascii="Arial" w:eastAsia="Aptos" w:hAnsi="Arial" w:cs="Arial"/>
        </w:rPr>
      </w:pPr>
      <w:r w:rsidRPr="00693B3E">
        <w:rPr>
          <w:rFonts w:ascii="Arial" w:eastAsia="Aptos" w:hAnsi="Arial" w:cs="Arial"/>
        </w:rPr>
        <w:t xml:space="preserve">Bassot, B. (2020) </w:t>
      </w:r>
      <w:r w:rsidRPr="00693B3E">
        <w:rPr>
          <w:rFonts w:ascii="Arial" w:eastAsia="Aptos" w:hAnsi="Arial" w:cs="Arial"/>
          <w:i/>
          <w:iCs/>
        </w:rPr>
        <w:t>The reflective journal</w:t>
      </w:r>
      <w:r w:rsidRPr="00693B3E">
        <w:rPr>
          <w:rFonts w:ascii="Arial" w:eastAsia="Aptos" w:hAnsi="Arial" w:cs="Arial"/>
        </w:rPr>
        <w:t>. 3rd edition. London: Red Globe Press.</w:t>
      </w:r>
    </w:p>
    <w:p w14:paraId="5D3F52C6" w14:textId="77777777" w:rsidR="00476510" w:rsidRPr="00693B3E" w:rsidRDefault="00476510" w:rsidP="00476510">
      <w:pPr>
        <w:spacing w:after="0"/>
        <w:rPr>
          <w:rFonts w:ascii="Arial" w:hAnsi="Arial" w:cs="Arial"/>
        </w:rPr>
      </w:pPr>
      <w:r w:rsidRPr="00693B3E">
        <w:rPr>
          <w:rFonts w:ascii="Arial" w:eastAsia="Open Sans" w:hAnsi="Arial" w:cs="Arial"/>
        </w:rPr>
        <w:t xml:space="preserve">Bedford, D. and Wilson, E. (2020) </w:t>
      </w:r>
      <w:r w:rsidRPr="00693B3E">
        <w:rPr>
          <w:rFonts w:ascii="Arial" w:eastAsia="Open Sans" w:hAnsi="Arial" w:cs="Arial"/>
          <w:i/>
          <w:iCs/>
        </w:rPr>
        <w:t>Study skills for foundation degrees</w:t>
      </w:r>
      <w:r w:rsidRPr="00693B3E">
        <w:rPr>
          <w:rFonts w:ascii="Arial" w:eastAsia="Open Sans" w:hAnsi="Arial" w:cs="Arial"/>
        </w:rPr>
        <w:t>. Third edition. Abingdon, Oxon; Routledge.</w:t>
      </w:r>
    </w:p>
    <w:p w14:paraId="2562C833" w14:textId="77777777" w:rsidR="006E7A55" w:rsidRDefault="006E7A55" w:rsidP="00476510">
      <w:pPr>
        <w:spacing w:after="0"/>
        <w:rPr>
          <w:rFonts w:ascii="Arial" w:eastAsia="Open Sans" w:hAnsi="Arial" w:cs="Arial"/>
        </w:rPr>
      </w:pPr>
    </w:p>
    <w:p w14:paraId="71B53B08" w14:textId="47230425" w:rsidR="00476510" w:rsidRPr="00693B3E" w:rsidRDefault="00476510" w:rsidP="00476510">
      <w:pPr>
        <w:spacing w:after="0"/>
        <w:rPr>
          <w:rFonts w:ascii="Arial" w:hAnsi="Arial" w:cs="Arial"/>
        </w:rPr>
      </w:pPr>
      <w:r w:rsidRPr="00693B3E">
        <w:rPr>
          <w:rFonts w:ascii="Arial" w:eastAsia="Open Sans" w:hAnsi="Arial" w:cs="Arial"/>
        </w:rPr>
        <w:t xml:space="preserve">Cottrell, S. (2021) </w:t>
      </w:r>
      <w:r w:rsidRPr="00693B3E">
        <w:rPr>
          <w:rFonts w:ascii="Arial" w:eastAsia="Open Sans" w:hAnsi="Arial" w:cs="Arial"/>
          <w:i/>
          <w:iCs/>
        </w:rPr>
        <w:t>Skills for success: personal development and employability</w:t>
      </w:r>
      <w:r w:rsidRPr="00693B3E">
        <w:rPr>
          <w:rFonts w:ascii="Arial" w:eastAsia="Open Sans" w:hAnsi="Arial" w:cs="Arial"/>
        </w:rPr>
        <w:t xml:space="preserve">. Fourth edition. London, England; Bloomsbury Academic. </w:t>
      </w:r>
    </w:p>
    <w:p w14:paraId="50A699A4" w14:textId="77777777" w:rsidR="00476510" w:rsidRPr="00693B3E" w:rsidRDefault="00476510" w:rsidP="00476510">
      <w:pPr>
        <w:rPr>
          <w:rFonts w:ascii="Arial" w:eastAsia="Open Sans" w:hAnsi="Arial" w:cs="Arial"/>
          <w:color w:val="333333"/>
        </w:rPr>
      </w:pPr>
    </w:p>
    <w:p w14:paraId="22610C9C" w14:textId="77777777" w:rsidR="00476510" w:rsidRPr="00693B3E" w:rsidRDefault="00476510" w:rsidP="00476510">
      <w:pPr>
        <w:spacing w:after="0"/>
        <w:rPr>
          <w:rFonts w:ascii="Arial" w:eastAsia="Open Sans" w:hAnsi="Arial" w:cs="Arial"/>
        </w:rPr>
      </w:pPr>
      <w:r w:rsidRPr="00693B3E">
        <w:rPr>
          <w:rFonts w:ascii="Arial" w:eastAsia="Open Sans" w:hAnsi="Arial" w:cs="Arial"/>
        </w:rPr>
        <w:t xml:space="preserve">Cottrell, S. (2023) </w:t>
      </w:r>
      <w:r w:rsidRPr="00693B3E">
        <w:rPr>
          <w:rFonts w:ascii="Arial" w:eastAsia="Open Sans" w:hAnsi="Arial" w:cs="Arial"/>
          <w:i/>
          <w:iCs/>
        </w:rPr>
        <w:t>Critical thinking skills: effective analysis, argument and reflection</w:t>
      </w:r>
      <w:r w:rsidRPr="00693B3E">
        <w:rPr>
          <w:rFonts w:ascii="Arial" w:eastAsia="Open Sans" w:hAnsi="Arial" w:cs="Arial"/>
        </w:rPr>
        <w:t>. Fourth edition. London: Bloomsbury.</w:t>
      </w:r>
    </w:p>
    <w:p w14:paraId="002D82F5" w14:textId="77777777" w:rsidR="00476510" w:rsidRPr="00693B3E" w:rsidRDefault="00476510" w:rsidP="00476510">
      <w:pPr>
        <w:spacing w:after="0"/>
        <w:rPr>
          <w:rFonts w:ascii="Arial" w:eastAsia="Open Sans" w:hAnsi="Arial" w:cs="Arial"/>
        </w:rPr>
      </w:pPr>
    </w:p>
    <w:p w14:paraId="6D05B303" w14:textId="77777777" w:rsidR="00476510" w:rsidRPr="00693B3E" w:rsidRDefault="00476510" w:rsidP="00476510">
      <w:pPr>
        <w:spacing w:after="0"/>
        <w:rPr>
          <w:rFonts w:ascii="Arial" w:eastAsia="Open Sans" w:hAnsi="Arial" w:cs="Arial"/>
        </w:rPr>
      </w:pPr>
      <w:r w:rsidRPr="00693B3E">
        <w:rPr>
          <w:rFonts w:ascii="Arial" w:eastAsia="Open Sans" w:hAnsi="Arial" w:cs="Arial"/>
        </w:rPr>
        <w:t xml:space="preserve">Cottrell, S. (2024) </w:t>
      </w:r>
      <w:r w:rsidRPr="00693B3E">
        <w:rPr>
          <w:rFonts w:ascii="Arial" w:eastAsia="Open Sans" w:hAnsi="Arial" w:cs="Arial"/>
          <w:i/>
          <w:iCs/>
        </w:rPr>
        <w:t>The study skills handbook</w:t>
      </w:r>
      <w:r w:rsidRPr="00693B3E">
        <w:rPr>
          <w:rFonts w:ascii="Arial" w:eastAsia="Open Sans" w:hAnsi="Arial" w:cs="Arial"/>
        </w:rPr>
        <w:t>. 6th ed. London: Bloomsbury Publishing Plc.</w:t>
      </w:r>
    </w:p>
    <w:p w14:paraId="1133DA5A" w14:textId="77777777" w:rsidR="006E7A55" w:rsidRDefault="006E7A55" w:rsidP="00476510">
      <w:pPr>
        <w:rPr>
          <w:rFonts w:ascii="Arial" w:hAnsi="Arial" w:cs="Arial"/>
        </w:rPr>
      </w:pPr>
    </w:p>
    <w:p w14:paraId="49D2CD9F" w14:textId="513C4BC6" w:rsidR="00476510" w:rsidRPr="00693B3E" w:rsidRDefault="00476510" w:rsidP="00476510">
      <w:pPr>
        <w:rPr>
          <w:rStyle w:val="Hyperlink"/>
          <w:rFonts w:ascii="Arial" w:eastAsia="Open Sans" w:hAnsi="Arial" w:cs="Arial"/>
        </w:rPr>
      </w:pPr>
      <w:r w:rsidRPr="00693B3E">
        <w:rPr>
          <w:rFonts w:ascii="Arial" w:eastAsia="Open Sans" w:hAnsi="Arial" w:cs="Arial"/>
          <w:color w:val="333333"/>
        </w:rPr>
        <w:t xml:space="preserve">Denami, M., &amp; Adinda, D. (2023). The reflective practice at university: how to enhance students’ competencies awareness by using ‘reflective breaks.’ </w:t>
      </w:r>
      <w:r w:rsidRPr="00693B3E">
        <w:rPr>
          <w:rFonts w:ascii="Arial" w:eastAsia="Open Sans" w:hAnsi="Arial" w:cs="Arial"/>
          <w:i/>
          <w:iCs/>
          <w:color w:val="333333"/>
        </w:rPr>
        <w:t>Reflective Practice</w:t>
      </w:r>
      <w:r w:rsidRPr="00693B3E">
        <w:rPr>
          <w:rFonts w:ascii="Arial" w:eastAsia="Open Sans" w:hAnsi="Arial" w:cs="Arial"/>
          <w:color w:val="333333"/>
        </w:rPr>
        <w:t xml:space="preserve">, </w:t>
      </w:r>
      <w:r w:rsidRPr="00693B3E">
        <w:rPr>
          <w:rFonts w:ascii="Arial" w:eastAsia="Open Sans" w:hAnsi="Arial" w:cs="Arial"/>
          <w:i/>
          <w:iCs/>
          <w:color w:val="333333"/>
        </w:rPr>
        <w:t>24</w:t>
      </w:r>
      <w:r w:rsidRPr="00693B3E">
        <w:rPr>
          <w:rFonts w:ascii="Arial" w:eastAsia="Open Sans" w:hAnsi="Arial" w:cs="Arial"/>
          <w:color w:val="333333"/>
        </w:rPr>
        <w:t xml:space="preserve">(4), 413–432. </w:t>
      </w:r>
      <w:hyperlink r:id="rId4">
        <w:r w:rsidRPr="00693B3E">
          <w:rPr>
            <w:rStyle w:val="Hyperlink"/>
            <w:rFonts w:ascii="Arial" w:eastAsia="Open Sans" w:hAnsi="Arial" w:cs="Arial"/>
          </w:rPr>
          <w:t>https://doi-org.ezproxy.uwtsd.ac.uk/10.1080/14623943.2023.2200927</w:t>
        </w:r>
      </w:hyperlink>
    </w:p>
    <w:p w14:paraId="37273882" w14:textId="77777777" w:rsidR="00476510" w:rsidRPr="00693B3E" w:rsidRDefault="00476510" w:rsidP="00476510">
      <w:pPr>
        <w:spacing w:after="0"/>
        <w:rPr>
          <w:rFonts w:ascii="Arial" w:eastAsia="Open Sans" w:hAnsi="Arial" w:cs="Arial"/>
        </w:rPr>
      </w:pPr>
      <w:r w:rsidRPr="00693B3E">
        <w:rPr>
          <w:rFonts w:ascii="Arial" w:eastAsia="Open Sans" w:hAnsi="Arial" w:cs="Arial"/>
        </w:rPr>
        <w:t xml:space="preserve">Harper, D. (2024) </w:t>
      </w:r>
      <w:r w:rsidRPr="00693B3E">
        <w:rPr>
          <w:rFonts w:ascii="Arial" w:eastAsia="Open Sans" w:hAnsi="Arial" w:cs="Arial"/>
          <w:i/>
          <w:iCs/>
        </w:rPr>
        <w:t>Reflection</w:t>
      </w:r>
      <w:r w:rsidRPr="00693B3E">
        <w:rPr>
          <w:rFonts w:ascii="Arial" w:eastAsia="Open Sans" w:hAnsi="Arial" w:cs="Arial"/>
        </w:rPr>
        <w:t xml:space="preserve"> Available at: </w:t>
      </w:r>
      <w:hyperlink r:id="rId5">
        <w:r w:rsidRPr="00693B3E">
          <w:rPr>
            <w:rStyle w:val="Hyperlink"/>
            <w:rFonts w:ascii="Arial" w:eastAsia="Open Sans" w:hAnsi="Arial" w:cs="Arial"/>
          </w:rPr>
          <w:t>https://www.etymonline.com/word/reflection</w:t>
        </w:r>
      </w:hyperlink>
      <w:r w:rsidRPr="00693B3E">
        <w:rPr>
          <w:rFonts w:ascii="Arial" w:eastAsia="Open Sans" w:hAnsi="Arial" w:cs="Arial"/>
        </w:rPr>
        <w:t xml:space="preserve"> (Accessed: 24 Oct. 2024).</w:t>
      </w:r>
    </w:p>
    <w:p w14:paraId="76AFB4B5" w14:textId="77777777" w:rsidR="00476510" w:rsidRPr="00693B3E" w:rsidRDefault="00476510" w:rsidP="00476510">
      <w:pPr>
        <w:rPr>
          <w:rStyle w:val="Hyperlink"/>
          <w:rFonts w:ascii="Arial" w:eastAsia="Open Sans" w:hAnsi="Arial" w:cs="Arial"/>
        </w:rPr>
      </w:pPr>
    </w:p>
    <w:p w14:paraId="4DB469A8" w14:textId="77777777" w:rsidR="00476510" w:rsidRPr="00693B3E" w:rsidRDefault="00476510" w:rsidP="00476510">
      <w:pPr>
        <w:spacing w:after="0"/>
        <w:rPr>
          <w:rFonts w:ascii="Arial" w:hAnsi="Arial" w:cs="Arial"/>
        </w:rPr>
      </w:pPr>
      <w:r w:rsidRPr="00693B3E">
        <w:rPr>
          <w:rFonts w:ascii="Arial" w:eastAsia="Aptos" w:hAnsi="Arial" w:cs="Arial"/>
        </w:rPr>
        <w:t xml:space="preserve">Lukatska, Y.S. (2021) ‘FORMATION OF FOREIGN STUDENTS’ SOCIAL COMPETENCE SWOT-ANALYSIS’, </w:t>
      </w:r>
      <w:r w:rsidRPr="00693B3E">
        <w:rPr>
          <w:rFonts w:ascii="Arial" w:eastAsia="Aptos" w:hAnsi="Arial" w:cs="Arial"/>
          <w:i/>
          <w:iCs/>
        </w:rPr>
        <w:t>Visnyk universytetu imeni Alʹfreda Nobeli͡a︡. Serii͡a︡: Pedahohika i psikholohii͡a</w:t>
      </w:r>
      <w:r w:rsidRPr="00693B3E">
        <w:rPr>
          <w:rFonts w:ascii="Arial" w:eastAsia="Aptos" w:hAnsi="Arial" w:cs="Arial"/>
        </w:rPr>
        <w:t xml:space="preserve">, 2(22), pp. 241–247. Available at: </w:t>
      </w:r>
      <w:hyperlink r:id="rId6">
        <w:r w:rsidRPr="00693B3E">
          <w:rPr>
            <w:rStyle w:val="Hyperlink"/>
            <w:rFonts w:ascii="Arial" w:eastAsia="Aptos" w:hAnsi="Arial" w:cs="Arial"/>
          </w:rPr>
          <w:t>https://doi.org/10.32342/2522-4115-2021-2-22-27</w:t>
        </w:r>
      </w:hyperlink>
      <w:r w:rsidRPr="00693B3E">
        <w:rPr>
          <w:rFonts w:ascii="Arial" w:eastAsia="Aptos" w:hAnsi="Arial" w:cs="Arial"/>
        </w:rPr>
        <w:t>.</w:t>
      </w:r>
    </w:p>
    <w:p w14:paraId="1D462D12" w14:textId="77777777" w:rsidR="00476510" w:rsidRPr="00693B3E" w:rsidRDefault="00476510" w:rsidP="00476510">
      <w:pPr>
        <w:rPr>
          <w:rFonts w:ascii="Arial" w:eastAsia="Aptos" w:hAnsi="Arial" w:cs="Arial"/>
        </w:rPr>
      </w:pPr>
    </w:p>
    <w:p w14:paraId="283BD99E" w14:textId="77777777" w:rsidR="00476510" w:rsidRPr="00693B3E" w:rsidRDefault="00476510" w:rsidP="00476510">
      <w:pPr>
        <w:spacing w:after="0"/>
        <w:rPr>
          <w:rFonts w:ascii="Arial" w:eastAsia="Open Sans" w:hAnsi="Arial" w:cs="Arial"/>
        </w:rPr>
      </w:pPr>
      <w:r w:rsidRPr="00693B3E">
        <w:rPr>
          <w:rFonts w:ascii="Arial" w:eastAsia="Open Sans" w:hAnsi="Arial" w:cs="Arial"/>
        </w:rPr>
        <w:t xml:space="preserve">McMillan, K. (2021) </w:t>
      </w:r>
      <w:r w:rsidRPr="00693B3E">
        <w:rPr>
          <w:rFonts w:ascii="Arial" w:eastAsia="Open Sans" w:hAnsi="Arial" w:cs="Arial"/>
          <w:i/>
          <w:iCs/>
        </w:rPr>
        <w:t>The study skills book: your essential guide to university success</w:t>
      </w:r>
      <w:r w:rsidRPr="00693B3E">
        <w:rPr>
          <w:rFonts w:ascii="Arial" w:eastAsia="Open Sans" w:hAnsi="Arial" w:cs="Arial"/>
        </w:rPr>
        <w:t>. Fourth edition. Harlow, England: Pearson Education Limited.</w:t>
      </w:r>
    </w:p>
    <w:p w14:paraId="1B184038" w14:textId="77777777" w:rsidR="00476510" w:rsidRPr="00693B3E" w:rsidRDefault="00476510" w:rsidP="00476510">
      <w:pPr>
        <w:spacing w:after="0"/>
        <w:rPr>
          <w:rFonts w:ascii="Arial" w:eastAsia="Open Sans" w:hAnsi="Arial" w:cs="Arial"/>
        </w:rPr>
      </w:pPr>
    </w:p>
    <w:p w14:paraId="0C645234" w14:textId="6D750FEC" w:rsidR="00476510" w:rsidRPr="00693B3E" w:rsidRDefault="00476510" w:rsidP="00476510">
      <w:pPr>
        <w:spacing w:after="0"/>
        <w:rPr>
          <w:rFonts w:ascii="Arial" w:eastAsia="Open Sans" w:hAnsi="Arial" w:cs="Arial"/>
        </w:rPr>
      </w:pPr>
      <w:r w:rsidRPr="00693B3E">
        <w:rPr>
          <w:rFonts w:ascii="Arial" w:eastAsia="Open Sans" w:hAnsi="Arial" w:cs="Arial"/>
        </w:rPr>
        <w:t>Merriam-Webster. (</w:t>
      </w:r>
      <w:r w:rsidR="007B70A0">
        <w:rPr>
          <w:rFonts w:ascii="Arial" w:eastAsia="Open Sans" w:hAnsi="Arial" w:cs="Arial"/>
        </w:rPr>
        <w:t>2019-</w:t>
      </w:r>
      <w:r w:rsidRPr="00693B3E">
        <w:rPr>
          <w:rFonts w:ascii="Arial" w:eastAsia="Open Sans" w:hAnsi="Arial" w:cs="Arial"/>
        </w:rPr>
        <w:t xml:space="preserve">2024) </w:t>
      </w:r>
      <w:r w:rsidRPr="00693B3E">
        <w:rPr>
          <w:rFonts w:ascii="Arial" w:eastAsia="Open Sans" w:hAnsi="Arial" w:cs="Arial"/>
          <w:i/>
          <w:iCs/>
        </w:rPr>
        <w:t>Reflection</w:t>
      </w:r>
      <w:r w:rsidRPr="00693B3E">
        <w:rPr>
          <w:rFonts w:ascii="Arial" w:eastAsia="Open Sans" w:hAnsi="Arial" w:cs="Arial"/>
        </w:rPr>
        <w:t xml:space="preserve"> Available at: </w:t>
      </w:r>
      <w:hyperlink r:id="rId7" w:anchor="dictionary-entry-1">
        <w:r w:rsidRPr="00693B3E">
          <w:rPr>
            <w:rStyle w:val="Hyperlink"/>
            <w:rFonts w:ascii="Arial" w:eastAsia="Open Sans" w:hAnsi="Arial" w:cs="Arial"/>
          </w:rPr>
          <w:t>https://www.merriam-webster.com/dictionary/reflection#dictionary-entry-1</w:t>
        </w:r>
      </w:hyperlink>
      <w:r w:rsidRPr="00693B3E">
        <w:rPr>
          <w:rFonts w:ascii="Arial" w:eastAsia="Open Sans" w:hAnsi="Arial" w:cs="Arial"/>
        </w:rPr>
        <w:t xml:space="preserve"> (Accessed: 23 Oct. 2024). </w:t>
      </w:r>
    </w:p>
    <w:p w14:paraId="7FB24EA8" w14:textId="77777777" w:rsidR="00476510" w:rsidRPr="00693B3E" w:rsidRDefault="00476510" w:rsidP="00476510">
      <w:pPr>
        <w:spacing w:after="0"/>
        <w:rPr>
          <w:rFonts w:ascii="Arial" w:eastAsia="Open Sans" w:hAnsi="Arial" w:cs="Arial"/>
        </w:rPr>
      </w:pPr>
    </w:p>
    <w:p w14:paraId="768084F4" w14:textId="77777777" w:rsidR="00476510" w:rsidRPr="00693B3E" w:rsidRDefault="00476510" w:rsidP="00476510">
      <w:pPr>
        <w:spacing w:after="0"/>
        <w:rPr>
          <w:rFonts w:ascii="Arial" w:eastAsia="Aptos" w:hAnsi="Arial" w:cs="Arial"/>
        </w:rPr>
      </w:pPr>
      <w:r w:rsidRPr="00693B3E">
        <w:rPr>
          <w:rFonts w:ascii="Arial" w:eastAsia="Aptos" w:hAnsi="Arial" w:cs="Arial"/>
        </w:rPr>
        <w:t xml:space="preserve">Robertson, P.J., Hooley, T. and McCash, P. (2021) </w:t>
      </w:r>
      <w:r w:rsidRPr="00693B3E">
        <w:rPr>
          <w:rFonts w:ascii="Arial" w:eastAsia="Aptos" w:hAnsi="Arial" w:cs="Arial"/>
          <w:i/>
          <w:iCs/>
        </w:rPr>
        <w:t>The Oxford Handbook of Career Development</w:t>
      </w:r>
      <w:r w:rsidRPr="00693B3E">
        <w:rPr>
          <w:rFonts w:ascii="Arial" w:eastAsia="Aptos" w:hAnsi="Arial" w:cs="Arial"/>
        </w:rPr>
        <w:t xml:space="preserve">. 1st edn, </w:t>
      </w:r>
      <w:r w:rsidRPr="00693B3E">
        <w:rPr>
          <w:rFonts w:ascii="Arial" w:eastAsia="Aptos" w:hAnsi="Arial" w:cs="Arial"/>
          <w:i/>
          <w:iCs/>
        </w:rPr>
        <w:t>Oxford University Press eBooks</w:t>
      </w:r>
      <w:r w:rsidRPr="00693B3E">
        <w:rPr>
          <w:rFonts w:ascii="Arial" w:eastAsia="Aptos" w:hAnsi="Arial" w:cs="Arial"/>
        </w:rPr>
        <w:t xml:space="preserve">. 1st edn. United Kingdom: Oxford University Press. Available at: </w:t>
      </w:r>
      <w:hyperlink r:id="rId8">
        <w:r w:rsidRPr="00693B3E">
          <w:rPr>
            <w:rStyle w:val="Hyperlink"/>
            <w:rFonts w:ascii="Arial" w:eastAsia="Aptos" w:hAnsi="Arial" w:cs="Arial"/>
          </w:rPr>
          <w:t>https://doi.org/10.1093/oxfordhb/9780190069704.001.0001</w:t>
        </w:r>
      </w:hyperlink>
      <w:r w:rsidRPr="00693B3E">
        <w:rPr>
          <w:rFonts w:ascii="Arial" w:eastAsia="Aptos" w:hAnsi="Arial" w:cs="Arial"/>
        </w:rPr>
        <w:t>.</w:t>
      </w:r>
    </w:p>
    <w:p w14:paraId="4D7739D7" w14:textId="77777777" w:rsidR="00476510" w:rsidRPr="00693B3E" w:rsidRDefault="00476510" w:rsidP="00476510">
      <w:pPr>
        <w:spacing w:after="0"/>
        <w:rPr>
          <w:rFonts w:ascii="Arial" w:hAnsi="Arial" w:cs="Arial"/>
        </w:rPr>
      </w:pPr>
    </w:p>
    <w:p w14:paraId="71F2C1D9" w14:textId="77777777" w:rsidR="00476510" w:rsidRPr="00693B3E" w:rsidRDefault="00476510" w:rsidP="00476510">
      <w:pPr>
        <w:rPr>
          <w:rFonts w:ascii="Arial" w:hAnsi="Arial" w:cs="Arial"/>
        </w:rPr>
      </w:pPr>
    </w:p>
    <w:p w14:paraId="09038C62" w14:textId="77777777" w:rsidR="00476510" w:rsidRPr="00693B3E" w:rsidRDefault="00476510" w:rsidP="00476510">
      <w:pPr>
        <w:spacing w:after="0"/>
        <w:rPr>
          <w:rFonts w:ascii="Arial" w:eastAsia="Aptos" w:hAnsi="Arial" w:cs="Arial"/>
        </w:rPr>
      </w:pPr>
    </w:p>
    <w:p w14:paraId="682D4A77" w14:textId="77777777" w:rsidR="00476510" w:rsidRPr="00693B3E" w:rsidRDefault="00476510" w:rsidP="00476510">
      <w:pPr>
        <w:spacing w:after="0"/>
        <w:rPr>
          <w:rFonts w:ascii="Arial" w:eastAsia="Aptos" w:hAnsi="Arial" w:cs="Arial"/>
        </w:rPr>
      </w:pPr>
    </w:p>
    <w:p w14:paraId="2C8EA048" w14:textId="77777777" w:rsidR="00476510" w:rsidRPr="00693B3E" w:rsidRDefault="00476510" w:rsidP="00476510">
      <w:pPr>
        <w:spacing w:after="0"/>
        <w:rPr>
          <w:rFonts w:ascii="Arial" w:eastAsia="Aptos" w:hAnsi="Arial" w:cs="Arial"/>
        </w:rPr>
      </w:pPr>
    </w:p>
    <w:p w14:paraId="76A7B6F4" w14:textId="77777777" w:rsidR="00476510" w:rsidRPr="00693B3E" w:rsidRDefault="00476510" w:rsidP="00476510">
      <w:pPr>
        <w:rPr>
          <w:rFonts w:ascii="Arial" w:eastAsia="Open Sans" w:hAnsi="Arial" w:cs="Arial"/>
        </w:rPr>
      </w:pPr>
    </w:p>
    <w:p w14:paraId="1B22B5D0" w14:textId="77777777" w:rsidR="00476510" w:rsidRPr="00693B3E" w:rsidRDefault="00476510" w:rsidP="00476510">
      <w:pPr>
        <w:rPr>
          <w:rFonts w:ascii="Arial" w:eastAsia="Open Sans" w:hAnsi="Arial" w:cs="Arial"/>
          <w:color w:val="333333"/>
        </w:rPr>
      </w:pPr>
    </w:p>
    <w:p w14:paraId="1DA5BA1E" w14:textId="77777777" w:rsidR="00476510" w:rsidRPr="00693B3E" w:rsidRDefault="00476510" w:rsidP="00476510">
      <w:pPr>
        <w:spacing w:after="0"/>
        <w:rPr>
          <w:rFonts w:ascii="Arial" w:eastAsia="Open Sans" w:hAnsi="Arial" w:cs="Arial"/>
        </w:rPr>
      </w:pPr>
    </w:p>
    <w:p w14:paraId="79E1C44C" w14:textId="77777777" w:rsidR="00476510" w:rsidRPr="00693B3E" w:rsidRDefault="00476510" w:rsidP="00476510">
      <w:pPr>
        <w:spacing w:after="0"/>
        <w:rPr>
          <w:rFonts w:ascii="Arial" w:eastAsia="Open Sans" w:hAnsi="Arial" w:cs="Arial"/>
        </w:rPr>
      </w:pPr>
    </w:p>
    <w:p w14:paraId="653488AD" w14:textId="77777777" w:rsidR="00476510" w:rsidRPr="00693B3E" w:rsidRDefault="00476510" w:rsidP="00476510">
      <w:pPr>
        <w:spacing w:after="0"/>
        <w:rPr>
          <w:rFonts w:ascii="Arial" w:eastAsia="Open Sans" w:hAnsi="Arial" w:cs="Arial"/>
        </w:rPr>
      </w:pPr>
    </w:p>
    <w:p w14:paraId="2B6C326F" w14:textId="77777777" w:rsidR="00476510" w:rsidRPr="00693B3E" w:rsidRDefault="00476510" w:rsidP="00476510">
      <w:pPr>
        <w:spacing w:after="0"/>
        <w:rPr>
          <w:rFonts w:ascii="Arial" w:eastAsia="Open Sans" w:hAnsi="Arial" w:cs="Arial"/>
        </w:rPr>
      </w:pPr>
    </w:p>
    <w:p w14:paraId="70D7A124" w14:textId="77777777" w:rsidR="00476510" w:rsidRPr="00693B3E" w:rsidRDefault="00476510" w:rsidP="00476510">
      <w:pPr>
        <w:spacing w:after="0"/>
        <w:rPr>
          <w:rFonts w:ascii="Arial" w:eastAsia="Open Sans" w:hAnsi="Arial" w:cs="Arial"/>
        </w:rPr>
      </w:pPr>
    </w:p>
    <w:p w14:paraId="1B4DD399" w14:textId="77777777" w:rsidR="00476510" w:rsidRPr="00693B3E" w:rsidRDefault="00476510" w:rsidP="00476510">
      <w:pPr>
        <w:spacing w:after="0"/>
        <w:rPr>
          <w:rFonts w:ascii="Arial" w:eastAsia="Open Sans" w:hAnsi="Arial" w:cs="Arial"/>
        </w:rPr>
      </w:pPr>
    </w:p>
    <w:p w14:paraId="13BB4F41" w14:textId="77777777" w:rsidR="00476510" w:rsidRPr="00693B3E" w:rsidRDefault="00476510" w:rsidP="00476510">
      <w:pPr>
        <w:spacing w:after="0"/>
        <w:rPr>
          <w:rFonts w:ascii="Arial" w:eastAsia="Open Sans" w:hAnsi="Arial" w:cs="Arial"/>
        </w:rPr>
      </w:pPr>
    </w:p>
    <w:p w14:paraId="13DC2CB5" w14:textId="77777777" w:rsidR="00476510" w:rsidRPr="00693B3E" w:rsidRDefault="00476510" w:rsidP="00476510">
      <w:pPr>
        <w:spacing w:after="0"/>
        <w:rPr>
          <w:rFonts w:ascii="Arial" w:eastAsia="Open Sans" w:hAnsi="Arial" w:cs="Arial"/>
        </w:rPr>
      </w:pPr>
    </w:p>
    <w:p w14:paraId="00ABE929" w14:textId="77777777" w:rsidR="00476510" w:rsidRPr="00693B3E" w:rsidRDefault="00476510" w:rsidP="00476510">
      <w:pPr>
        <w:spacing w:after="0"/>
        <w:rPr>
          <w:rFonts w:ascii="Arial" w:eastAsia="Open Sans" w:hAnsi="Arial" w:cs="Arial"/>
        </w:rPr>
      </w:pPr>
    </w:p>
    <w:p w14:paraId="5E1C6F5B" w14:textId="77777777" w:rsidR="00476510" w:rsidRPr="00693B3E" w:rsidRDefault="00476510" w:rsidP="00476510">
      <w:pPr>
        <w:spacing w:after="0"/>
        <w:rPr>
          <w:rFonts w:ascii="Arial" w:eastAsia="Open Sans" w:hAnsi="Arial" w:cs="Arial"/>
        </w:rPr>
      </w:pPr>
    </w:p>
    <w:p w14:paraId="03E8EF5F" w14:textId="77777777" w:rsidR="00476510" w:rsidRPr="00693B3E" w:rsidRDefault="00476510" w:rsidP="00476510">
      <w:pPr>
        <w:rPr>
          <w:rFonts w:ascii="Arial" w:eastAsia="Open Sans" w:hAnsi="Arial" w:cs="Arial"/>
          <w:color w:val="333333"/>
        </w:rPr>
      </w:pPr>
    </w:p>
    <w:p w14:paraId="1A33D160" w14:textId="77777777" w:rsidR="00476510" w:rsidRPr="00693B3E" w:rsidRDefault="00476510" w:rsidP="00476510">
      <w:pPr>
        <w:rPr>
          <w:rFonts w:ascii="Arial" w:hAnsi="Arial" w:cs="Arial"/>
        </w:rPr>
      </w:pPr>
    </w:p>
    <w:p w14:paraId="5D7AE9E0" w14:textId="77777777" w:rsidR="00476510" w:rsidRPr="00693B3E" w:rsidRDefault="00476510" w:rsidP="00D4403B">
      <w:pPr>
        <w:spacing w:after="0" w:line="360" w:lineRule="auto"/>
        <w:ind w:firstLine="851"/>
        <w:jc w:val="both"/>
        <w:rPr>
          <w:rFonts w:ascii="Arial" w:hAnsi="Arial" w:cs="Arial"/>
        </w:rPr>
      </w:pPr>
    </w:p>
    <w:sectPr w:rsidR="00476510" w:rsidRPr="00693B3E" w:rsidSect="004A5385">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85"/>
    <w:rsid w:val="000320AD"/>
    <w:rsid w:val="00080FD5"/>
    <w:rsid w:val="00093680"/>
    <w:rsid w:val="00094D30"/>
    <w:rsid w:val="000A48BA"/>
    <w:rsid w:val="00150ABB"/>
    <w:rsid w:val="0015333D"/>
    <w:rsid w:val="001F4535"/>
    <w:rsid w:val="002D7E8E"/>
    <w:rsid w:val="003B0E1C"/>
    <w:rsid w:val="003C02C8"/>
    <w:rsid w:val="00476510"/>
    <w:rsid w:val="004A5385"/>
    <w:rsid w:val="004F7940"/>
    <w:rsid w:val="005C12BD"/>
    <w:rsid w:val="00693B3E"/>
    <w:rsid w:val="006E7A55"/>
    <w:rsid w:val="007B70A0"/>
    <w:rsid w:val="008A5B7B"/>
    <w:rsid w:val="00904529"/>
    <w:rsid w:val="00B948DF"/>
    <w:rsid w:val="00C43D09"/>
    <w:rsid w:val="00D404BB"/>
    <w:rsid w:val="00D4403B"/>
    <w:rsid w:val="00DD6DF8"/>
    <w:rsid w:val="00DD76E9"/>
    <w:rsid w:val="00EC24D8"/>
    <w:rsid w:val="00F51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41D10"/>
  <w15:chartTrackingRefBased/>
  <w15:docId w15:val="{C89ED258-4CEC-6640-A4C9-9ABEA599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3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53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53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53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53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5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5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5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5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3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53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53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53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53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53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53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53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5385"/>
    <w:rPr>
      <w:rFonts w:eastAsiaTheme="majorEastAsia" w:cstheme="majorBidi"/>
      <w:color w:val="272727" w:themeColor="text1" w:themeTint="D8"/>
    </w:rPr>
  </w:style>
  <w:style w:type="paragraph" w:styleId="Title">
    <w:name w:val="Title"/>
    <w:basedOn w:val="Normal"/>
    <w:next w:val="Normal"/>
    <w:link w:val="TitleChar"/>
    <w:uiPriority w:val="10"/>
    <w:qFormat/>
    <w:rsid w:val="004A5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5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53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5385"/>
    <w:pPr>
      <w:spacing w:before="160"/>
      <w:jc w:val="center"/>
    </w:pPr>
    <w:rPr>
      <w:i/>
      <w:iCs/>
      <w:color w:val="404040" w:themeColor="text1" w:themeTint="BF"/>
    </w:rPr>
  </w:style>
  <w:style w:type="character" w:customStyle="1" w:styleId="QuoteChar">
    <w:name w:val="Quote Char"/>
    <w:basedOn w:val="DefaultParagraphFont"/>
    <w:link w:val="Quote"/>
    <w:uiPriority w:val="29"/>
    <w:rsid w:val="004A5385"/>
    <w:rPr>
      <w:i/>
      <w:iCs/>
      <w:color w:val="404040" w:themeColor="text1" w:themeTint="BF"/>
    </w:rPr>
  </w:style>
  <w:style w:type="paragraph" w:styleId="ListParagraph">
    <w:name w:val="List Paragraph"/>
    <w:basedOn w:val="Normal"/>
    <w:uiPriority w:val="34"/>
    <w:qFormat/>
    <w:rsid w:val="004A5385"/>
    <w:pPr>
      <w:ind w:left="720"/>
      <w:contextualSpacing/>
    </w:pPr>
  </w:style>
  <w:style w:type="character" w:styleId="IntenseEmphasis">
    <w:name w:val="Intense Emphasis"/>
    <w:basedOn w:val="DefaultParagraphFont"/>
    <w:uiPriority w:val="21"/>
    <w:qFormat/>
    <w:rsid w:val="004A5385"/>
    <w:rPr>
      <w:i/>
      <w:iCs/>
      <w:color w:val="0F4761" w:themeColor="accent1" w:themeShade="BF"/>
    </w:rPr>
  </w:style>
  <w:style w:type="paragraph" w:styleId="IntenseQuote">
    <w:name w:val="Intense Quote"/>
    <w:basedOn w:val="Normal"/>
    <w:next w:val="Normal"/>
    <w:link w:val="IntenseQuoteChar"/>
    <w:uiPriority w:val="30"/>
    <w:qFormat/>
    <w:rsid w:val="004A53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5385"/>
    <w:rPr>
      <w:i/>
      <w:iCs/>
      <w:color w:val="0F4761" w:themeColor="accent1" w:themeShade="BF"/>
    </w:rPr>
  </w:style>
  <w:style w:type="character" w:styleId="IntenseReference">
    <w:name w:val="Intense Reference"/>
    <w:basedOn w:val="DefaultParagraphFont"/>
    <w:uiPriority w:val="32"/>
    <w:qFormat/>
    <w:rsid w:val="004A5385"/>
    <w:rPr>
      <w:b/>
      <w:bCs/>
      <w:smallCaps/>
      <w:color w:val="0F4761" w:themeColor="accent1" w:themeShade="BF"/>
      <w:spacing w:val="5"/>
    </w:rPr>
  </w:style>
  <w:style w:type="character" w:styleId="Hyperlink">
    <w:name w:val="Hyperlink"/>
    <w:basedOn w:val="DefaultParagraphFont"/>
    <w:uiPriority w:val="99"/>
    <w:unhideWhenUsed/>
    <w:rsid w:val="0047651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0069704.001.0001" TargetMode="External"/><Relationship Id="rId3" Type="http://schemas.openxmlformats.org/officeDocument/2006/relationships/webSettings" Target="webSettings.xml"/><Relationship Id="rId7" Type="http://schemas.openxmlformats.org/officeDocument/2006/relationships/hyperlink" Target="https://www.merriam-webster.com/dictionary/refle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2342/2522-4115-2021-2-22-27" TargetMode="External"/><Relationship Id="rId5" Type="http://schemas.openxmlformats.org/officeDocument/2006/relationships/hyperlink" Target="https://www.etymonline.com/word/reflection" TargetMode="External"/><Relationship Id="rId10" Type="http://schemas.openxmlformats.org/officeDocument/2006/relationships/theme" Target="theme/theme1.xml"/><Relationship Id="rId4" Type="http://schemas.openxmlformats.org/officeDocument/2006/relationships/hyperlink" Target="https://doi-org.ezproxy.uwtsd.ac.uk/10.1080/14623943.2023.2200927"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1952</Words>
  <Characters>11131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dc:creator>
  <cp:keywords/>
  <dc:description/>
  <cp:lastModifiedBy>Tutuiu Florina</cp:lastModifiedBy>
  <cp:revision>20</cp:revision>
  <dcterms:created xsi:type="dcterms:W3CDTF">2024-10-25T15:30:00Z</dcterms:created>
  <dcterms:modified xsi:type="dcterms:W3CDTF">2024-10-25T16:01:00Z</dcterms:modified>
</cp:coreProperties>
</file>