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FC141" w14:textId="773009B0" w:rsidR="00034ED4" w:rsidRPr="00CA5091" w:rsidRDefault="00FF42F2" w:rsidP="00FF42F2">
      <w:pPr>
        <w:pStyle w:val="paragraph"/>
        <w:shd w:val="clear" w:color="auto" w:fill="FFFFFF"/>
        <w:spacing w:before="0" w:beforeAutospacing="0"/>
        <w:jc w:val="center"/>
        <w:rPr>
          <w:rStyle w:val="textrun"/>
          <w:rFonts w:ascii="Verdana" w:hAnsi="Verdana" w:cs="Segoe UI"/>
          <w:b/>
          <w:bCs/>
          <w:color w:val="373A3C"/>
          <w:sz w:val="22"/>
          <w:szCs w:val="22"/>
        </w:rPr>
      </w:pPr>
      <w:r w:rsidRPr="00CA5091">
        <w:rPr>
          <w:rStyle w:val="normaltextrun"/>
          <w:rFonts w:ascii="Verdana" w:hAnsi="Verdana" w:cs="Segoe UI"/>
          <w:b/>
          <w:bCs/>
          <w:color w:val="373A3C"/>
          <w:sz w:val="22"/>
          <w:szCs w:val="22"/>
        </w:rPr>
        <w:t>Examine critically the role of the Suffering Servant within the book of Isaiah and New Testament tradition</w:t>
      </w:r>
      <w:r w:rsidR="00EE305A">
        <w:rPr>
          <w:rStyle w:val="normaltextrun"/>
          <w:rFonts w:ascii="Verdana" w:hAnsi="Verdana" w:cs="Segoe UI"/>
          <w:b/>
          <w:bCs/>
          <w:color w:val="373A3C"/>
          <w:sz w:val="22"/>
          <w:szCs w:val="22"/>
        </w:rPr>
        <w:t>.</w:t>
      </w:r>
    </w:p>
    <w:p w14:paraId="1A1BB581" w14:textId="248C73C6" w:rsidR="00686BC0" w:rsidRPr="00CA5091" w:rsidRDefault="00686BC0" w:rsidP="00686BC0">
      <w:pPr>
        <w:pStyle w:val="paragraph"/>
        <w:shd w:val="clear" w:color="auto" w:fill="FFFFFF"/>
        <w:spacing w:before="0" w:beforeAutospacing="0"/>
        <w:rPr>
          <w:rStyle w:val="textrun"/>
          <w:rFonts w:ascii="Verdana" w:hAnsi="Verdana" w:cs="Segoe UI"/>
          <w:b/>
          <w:bCs/>
          <w:color w:val="373A3C"/>
          <w:sz w:val="22"/>
          <w:szCs w:val="22"/>
        </w:rPr>
      </w:pPr>
      <w:r w:rsidRPr="00CA5091">
        <w:rPr>
          <w:rStyle w:val="textrun"/>
          <w:rFonts w:ascii="Verdana" w:hAnsi="Verdana" w:cs="Segoe UI"/>
          <w:b/>
          <w:bCs/>
          <w:color w:val="373A3C"/>
          <w:sz w:val="22"/>
          <w:szCs w:val="22"/>
        </w:rPr>
        <w:t>Word Count:</w:t>
      </w:r>
      <w:r w:rsidR="00F23DB5" w:rsidRPr="00CA5091">
        <w:rPr>
          <w:rStyle w:val="textrun"/>
          <w:rFonts w:ascii="Verdana" w:hAnsi="Verdana" w:cs="Segoe UI"/>
          <w:b/>
          <w:bCs/>
          <w:color w:val="373A3C"/>
          <w:sz w:val="22"/>
          <w:szCs w:val="22"/>
        </w:rPr>
        <w:t>2965</w:t>
      </w:r>
    </w:p>
    <w:p w14:paraId="65093B5D" w14:textId="77777777" w:rsidR="00686BC0" w:rsidRPr="00783312" w:rsidRDefault="00686BC0" w:rsidP="00686BC0">
      <w:pPr>
        <w:rPr>
          <w:rFonts w:ascii="Verdana" w:hAnsi="Verdana"/>
          <w:lang w:val="en-US"/>
        </w:rPr>
      </w:pPr>
      <w:r w:rsidRPr="00783312">
        <w:rPr>
          <w:rFonts w:ascii="Verdana" w:hAnsi="Verdana"/>
          <w:lang w:val="en-US"/>
        </w:rPr>
        <w:t>Introduction</w:t>
      </w:r>
    </w:p>
    <w:p w14:paraId="2E374D4E" w14:textId="75C4A871" w:rsidR="00686BC0" w:rsidRDefault="00686BC0" w:rsidP="00686BC0">
      <w:pPr>
        <w:rPr>
          <w:rFonts w:ascii="Verdana" w:hAnsi="Verdana"/>
          <w:lang w:val="en-US"/>
        </w:rPr>
      </w:pPr>
      <w:r>
        <w:rPr>
          <w:rFonts w:ascii="Verdana" w:hAnsi="Verdana"/>
          <w:lang w:val="en-US"/>
        </w:rPr>
        <w:t>The Book of Isaiah is the best-loved of the prophetic books in Hebrew Scripture and is the most-cited prophetic text in rabbinic literature</w:t>
      </w:r>
      <w:r w:rsidR="00A86E8C">
        <w:rPr>
          <w:rStyle w:val="FootnoteReference"/>
          <w:rFonts w:ascii="Verdana" w:hAnsi="Verdana"/>
          <w:lang w:val="en-US"/>
        </w:rPr>
        <w:footnoteReference w:id="1"/>
      </w:r>
      <w:r>
        <w:rPr>
          <w:rFonts w:ascii="Verdana" w:hAnsi="Verdana"/>
          <w:lang w:val="en-US"/>
        </w:rPr>
        <w:t>. The Book of Isaiah also played a crucial role in the origin of Christianity and,</w:t>
      </w:r>
      <w:r w:rsidR="00A86E8C">
        <w:rPr>
          <w:rFonts w:ascii="Verdana" w:hAnsi="Verdana"/>
          <w:lang w:val="en-US"/>
        </w:rPr>
        <w:t xml:space="preserve"> </w:t>
      </w:r>
      <w:r>
        <w:rPr>
          <w:rFonts w:ascii="Verdana" w:hAnsi="Verdana"/>
          <w:lang w:val="en-US"/>
        </w:rPr>
        <w:t>after the Psalms,</w:t>
      </w:r>
      <w:r w:rsidR="00A86E8C">
        <w:rPr>
          <w:rFonts w:ascii="Verdana" w:hAnsi="Verdana"/>
          <w:lang w:val="en-US"/>
        </w:rPr>
        <w:t xml:space="preserve"> is</w:t>
      </w:r>
      <w:r>
        <w:rPr>
          <w:rFonts w:ascii="Verdana" w:hAnsi="Verdana"/>
          <w:lang w:val="en-US"/>
        </w:rPr>
        <w:t xml:space="preserve"> the most-quoted text from Hebrew Scripture</w:t>
      </w:r>
      <w:r w:rsidR="00A86E8C">
        <w:rPr>
          <w:rFonts w:ascii="Verdana" w:hAnsi="Verdana"/>
          <w:lang w:val="en-US"/>
        </w:rPr>
        <w:t xml:space="preserve"> in the New Testament</w:t>
      </w:r>
      <w:r w:rsidR="00A86E8C">
        <w:rPr>
          <w:rStyle w:val="FootnoteReference"/>
          <w:rFonts w:ascii="Verdana" w:hAnsi="Verdana"/>
          <w:lang w:val="en-US"/>
        </w:rPr>
        <w:footnoteReference w:id="2"/>
      </w:r>
      <w:r>
        <w:rPr>
          <w:rFonts w:ascii="Verdana" w:hAnsi="Verdana"/>
          <w:lang w:val="en-US"/>
        </w:rPr>
        <w:t>; the prophet Isaiah is mentioned by name more than any other prophet bar Moses and Elijah (14 times in the Gospels and 8 times in Paul and Acts)</w:t>
      </w:r>
      <w:r w:rsidR="00A86E8C">
        <w:rPr>
          <w:rStyle w:val="FootnoteReference"/>
          <w:rFonts w:ascii="Verdana" w:hAnsi="Verdana"/>
          <w:lang w:val="en-US"/>
        </w:rPr>
        <w:footnoteReference w:id="3"/>
      </w:r>
      <w:r>
        <w:rPr>
          <w:rFonts w:ascii="Verdana" w:hAnsi="Verdana"/>
          <w:lang w:val="en-US"/>
        </w:rPr>
        <w:t>. Most of the passages are poetry and it is sometimes difficult to differentiate between comfort and castigation, similarly where particular prophecies begin and end</w:t>
      </w:r>
      <w:r w:rsidR="00FB5131">
        <w:rPr>
          <w:rStyle w:val="FootnoteReference"/>
          <w:rFonts w:ascii="Verdana" w:hAnsi="Verdana"/>
          <w:lang w:val="en-US"/>
        </w:rPr>
        <w:footnoteReference w:id="4"/>
      </w:r>
      <w:r>
        <w:rPr>
          <w:rFonts w:ascii="Verdana" w:hAnsi="Verdana"/>
          <w:lang w:val="en-US"/>
        </w:rPr>
        <w:t>. Since the beginnings of Christianity, Isaiah has been considered a foretelling of the events unfolding in the Gospels and therefore as confirmation of the truth of the Christian message</w:t>
      </w:r>
      <w:r w:rsidR="00FB5131">
        <w:rPr>
          <w:rStyle w:val="FootnoteReference"/>
          <w:rFonts w:ascii="Verdana" w:hAnsi="Verdana"/>
          <w:lang w:val="en-US"/>
        </w:rPr>
        <w:footnoteReference w:id="5"/>
      </w:r>
      <w:r>
        <w:rPr>
          <w:rFonts w:ascii="Verdana" w:hAnsi="Verdana"/>
          <w:lang w:val="en-US"/>
        </w:rPr>
        <w:t>. In considering the Suffering Servant, this piece will look at Isaiah Chapters 40-55 before narrowing the focus to the text Isa 52:13-53:12, the passage which has earned the epithet. Due to the rich nature of the readings which have developed over the centuries there will only be the opportunity to engage with two elements of New Testament tradition, the role of the Suffering Servant in atonement theory and the how this is evidenced in Christian liturgy.</w:t>
      </w:r>
    </w:p>
    <w:p w14:paraId="3B04991B" w14:textId="24ED07EA" w:rsidR="00686BC0" w:rsidRDefault="00A86E8C" w:rsidP="00686BC0">
      <w:pPr>
        <w:rPr>
          <w:rFonts w:ascii="Verdana" w:hAnsi="Verdana"/>
          <w:lang w:val="en-US"/>
        </w:rPr>
      </w:pPr>
      <w:r>
        <w:rPr>
          <w:rFonts w:ascii="Verdana" w:hAnsi="Verdana"/>
          <w:lang w:val="en-US"/>
        </w:rPr>
        <w:t xml:space="preserve">Isaiah </w:t>
      </w:r>
      <w:r w:rsidR="00686BC0" w:rsidRPr="00037281">
        <w:rPr>
          <w:rFonts w:ascii="Verdana" w:hAnsi="Verdana"/>
          <w:lang w:val="en-US"/>
        </w:rPr>
        <w:t xml:space="preserve">Chapters 40-55 </w:t>
      </w:r>
    </w:p>
    <w:p w14:paraId="1F6B7527" w14:textId="77C12B8C" w:rsidR="00686BC0" w:rsidRPr="00037281" w:rsidRDefault="00686BC0" w:rsidP="00686BC0">
      <w:pPr>
        <w:rPr>
          <w:rFonts w:ascii="Verdana" w:hAnsi="Verdana"/>
          <w:lang w:val="en-US"/>
        </w:rPr>
      </w:pPr>
      <w:r>
        <w:rPr>
          <w:rFonts w:ascii="Verdana" w:hAnsi="Verdana"/>
          <w:lang w:val="en-US"/>
        </w:rPr>
        <w:t>There has been much debate surrounding Chapters 40-55 of the Book of Isaiah and there is plenty to indicate that the historical and theological understanding of this great text will remain controversial</w:t>
      </w:r>
      <w:r w:rsidR="00FB5131">
        <w:rPr>
          <w:rStyle w:val="FootnoteReference"/>
          <w:rFonts w:ascii="Verdana" w:hAnsi="Verdana"/>
          <w:lang w:val="en-US"/>
        </w:rPr>
        <w:footnoteReference w:id="6"/>
      </w:r>
      <w:r>
        <w:rPr>
          <w:rFonts w:ascii="Verdana" w:hAnsi="Verdana"/>
          <w:lang w:val="en-US"/>
        </w:rPr>
        <w:t>. There is broad agreement that the text was composed by a prophet at the end of the Babylonian exile and during the post-exilic period in the sixth century</w:t>
      </w:r>
      <w:r w:rsidR="00FB5131">
        <w:rPr>
          <w:rStyle w:val="FootnoteReference"/>
          <w:rFonts w:ascii="Verdana" w:hAnsi="Verdana"/>
          <w:lang w:val="en-US"/>
        </w:rPr>
        <w:footnoteReference w:id="7"/>
      </w:r>
      <w:r>
        <w:rPr>
          <w:rFonts w:ascii="Verdana" w:hAnsi="Verdana"/>
          <w:lang w:val="en-US"/>
        </w:rPr>
        <w:t>. Given the dating of the text, the author is necessarily different from s/he of Chapters 1-33/36-39 and therefore this section and its author will be referred to as Deutero-Isaiah. The text prophesies a triumphant return to Zion of the exiles through the agency of Cyrus, Emperor of Persia</w:t>
      </w:r>
      <w:r w:rsidR="00FB5131">
        <w:rPr>
          <w:rStyle w:val="FootnoteReference"/>
          <w:rFonts w:ascii="Verdana" w:hAnsi="Verdana"/>
          <w:lang w:val="en-US"/>
        </w:rPr>
        <w:footnoteReference w:id="8"/>
      </w:r>
      <w:r>
        <w:rPr>
          <w:rFonts w:ascii="Verdana" w:hAnsi="Verdana"/>
          <w:lang w:val="en-US"/>
        </w:rPr>
        <w:t>. Deutero-Isaiah is an allusive writer with each of the chapters borrowing vocabulary from earlier biblical texts, and integrating them using complex literary devices, many of which are lost in translation</w:t>
      </w:r>
      <w:r w:rsidR="002B1603">
        <w:rPr>
          <w:rStyle w:val="FootnoteReference"/>
          <w:rFonts w:ascii="Verdana" w:hAnsi="Verdana"/>
          <w:lang w:val="en-US"/>
        </w:rPr>
        <w:footnoteReference w:id="9"/>
      </w:r>
      <w:r>
        <w:rPr>
          <w:rFonts w:ascii="Verdana" w:hAnsi="Verdana"/>
          <w:lang w:val="en-US"/>
        </w:rPr>
        <w:t xml:space="preserve">. The </w:t>
      </w:r>
      <w:r>
        <w:rPr>
          <w:rFonts w:ascii="Verdana" w:hAnsi="Verdana"/>
          <w:lang w:val="en-US"/>
        </w:rPr>
        <w:lastRenderedPageBreak/>
        <w:t>majority of the text is set as poetry for which there can be two reasons; firstly, given that the prophet represents themself as the mouthpiece of God’s word, it is most fitting that Israel (the audience) should be addressed using elevated and impressive diction. Secondly, the formal devices of poetry facilitate the ability to commit the words to memory</w:t>
      </w:r>
      <w:r w:rsidR="001505A3">
        <w:rPr>
          <w:rStyle w:val="FootnoteReference"/>
          <w:rFonts w:ascii="Verdana" w:hAnsi="Verdana"/>
          <w:lang w:val="en-US"/>
        </w:rPr>
        <w:footnoteReference w:id="10"/>
      </w:r>
      <w:r>
        <w:rPr>
          <w:rFonts w:ascii="Verdana" w:hAnsi="Verdana"/>
          <w:lang w:val="en-US"/>
        </w:rPr>
        <w:t>. The Hebrew text is not easy which is reflected in the debates surrounding the meaning of the prophecies and it has been argued that this opacity could have been to some extent intentional</w:t>
      </w:r>
      <w:r w:rsidR="001505A3">
        <w:rPr>
          <w:rStyle w:val="FootnoteReference"/>
          <w:rFonts w:ascii="Verdana" w:hAnsi="Verdana"/>
          <w:lang w:val="en-US"/>
        </w:rPr>
        <w:footnoteReference w:id="11"/>
      </w:r>
      <w:r>
        <w:rPr>
          <w:rFonts w:ascii="Verdana" w:hAnsi="Verdana"/>
          <w:lang w:val="en-US"/>
        </w:rPr>
        <w:t>. The purpose and central message of Deutero-Isaiah is God’s promise of new creation with a refrain running throughout that all creation will sing for joy because it will be completely renewed by God</w:t>
      </w:r>
      <w:r w:rsidR="001505A3">
        <w:rPr>
          <w:rStyle w:val="FootnoteReference"/>
          <w:rFonts w:ascii="Verdana" w:hAnsi="Verdana"/>
          <w:lang w:val="en-US"/>
        </w:rPr>
        <w:footnoteReference w:id="12"/>
      </w:r>
      <w:r>
        <w:rPr>
          <w:rFonts w:ascii="Verdana" w:hAnsi="Verdana"/>
          <w:lang w:val="en-US"/>
        </w:rPr>
        <w:t>. The message is neatly summarised at the beginning of Chapter 40: the exiled people should take heart as their sins have been forgiven and their term of punishment is over (vv1-2)</w:t>
      </w:r>
      <w:r w:rsidR="001505A3">
        <w:rPr>
          <w:rStyle w:val="FootnoteReference"/>
          <w:rFonts w:ascii="Verdana" w:hAnsi="Verdana"/>
          <w:lang w:val="en-US"/>
        </w:rPr>
        <w:footnoteReference w:id="13"/>
      </w:r>
      <w:r>
        <w:rPr>
          <w:rFonts w:ascii="Verdana" w:hAnsi="Verdana"/>
          <w:lang w:val="en-US"/>
        </w:rPr>
        <w:t>; God will come to the aid of his people in a spectacular fashion leaving all astonished at his glory (vv3-5), the word of God spoken through the prophet is the guarantee (vv6-8)</w:t>
      </w:r>
      <w:r w:rsidR="001505A3">
        <w:rPr>
          <w:rStyle w:val="FootnoteReference"/>
          <w:rFonts w:ascii="Verdana" w:hAnsi="Verdana"/>
          <w:lang w:val="en-US"/>
        </w:rPr>
        <w:footnoteReference w:id="14"/>
      </w:r>
      <w:r>
        <w:rPr>
          <w:rFonts w:ascii="Verdana" w:hAnsi="Verdana"/>
          <w:lang w:val="en-US"/>
        </w:rPr>
        <w:t>. Deutero-Isaiah reiterates insistently the claim that only one God exists and that this deity alone is the creator and will bring redemption</w:t>
      </w:r>
      <w:r w:rsidR="001505A3">
        <w:rPr>
          <w:rStyle w:val="FootnoteReference"/>
          <w:rFonts w:ascii="Verdana" w:hAnsi="Verdana"/>
          <w:lang w:val="en-US"/>
        </w:rPr>
        <w:footnoteReference w:id="15"/>
      </w:r>
      <w:r>
        <w:rPr>
          <w:rFonts w:ascii="Verdana" w:hAnsi="Verdana"/>
          <w:lang w:val="en-US"/>
        </w:rPr>
        <w:t>.</w:t>
      </w:r>
      <w:r w:rsidR="001A0B63">
        <w:rPr>
          <w:rFonts w:ascii="Verdana" w:hAnsi="Verdana"/>
          <w:lang w:val="en-US"/>
        </w:rPr>
        <w:t xml:space="preserve"> </w:t>
      </w:r>
      <w:r>
        <w:rPr>
          <w:rFonts w:ascii="Verdana" w:hAnsi="Verdana"/>
          <w:lang w:val="en-US"/>
        </w:rPr>
        <w:t>The covenant that God made with Abraham will not be forgotten, but there will be a new focal point, that of the Servant</w:t>
      </w:r>
      <w:r w:rsidR="001505A3">
        <w:rPr>
          <w:rStyle w:val="FootnoteReference"/>
          <w:rFonts w:ascii="Verdana" w:hAnsi="Verdana"/>
          <w:lang w:val="en-US"/>
        </w:rPr>
        <w:footnoteReference w:id="16"/>
      </w:r>
      <w:r>
        <w:rPr>
          <w:rFonts w:ascii="Verdana" w:hAnsi="Verdana"/>
          <w:lang w:val="en-US"/>
        </w:rPr>
        <w:t>. There is a sequence of four passages which speak of a Servant of God who is given an active role in contrast to the servant Israel who is to wait for God to come and save him</w:t>
      </w:r>
      <w:r w:rsidR="001505A3">
        <w:rPr>
          <w:rStyle w:val="FootnoteReference"/>
          <w:rFonts w:ascii="Verdana" w:hAnsi="Verdana"/>
          <w:lang w:val="en-US"/>
        </w:rPr>
        <w:footnoteReference w:id="17"/>
      </w:r>
      <w:r>
        <w:rPr>
          <w:rFonts w:ascii="Verdana" w:hAnsi="Verdana"/>
          <w:lang w:val="en-US"/>
        </w:rPr>
        <w:t>. In the four Servant Songs, identified by Bernard Duhm (1892), we see a developing picture of the servant as one who will accomplish the vital actions to allow God’s purpose to go forward</w:t>
      </w:r>
      <w:r w:rsidR="00801143">
        <w:rPr>
          <w:rStyle w:val="FootnoteReference"/>
          <w:rFonts w:ascii="Verdana" w:hAnsi="Verdana"/>
          <w:lang w:val="en-US"/>
        </w:rPr>
        <w:footnoteReference w:id="18"/>
      </w:r>
      <w:r>
        <w:rPr>
          <w:rFonts w:ascii="Verdana" w:hAnsi="Verdana"/>
          <w:lang w:val="en-US"/>
        </w:rPr>
        <w:t>. The result of these actions will be victory over the idols, and the gods and kings of Babylon. The victory which will bring about the Kingdom of God on earth as it is in heaven will be accomplished through God forgiving the sins of his people through the work of his servant. This victory in turn will bring about a new covenant (Isa 54) and new creation (Isa 55)</w:t>
      </w:r>
      <w:r w:rsidR="00801143">
        <w:rPr>
          <w:rStyle w:val="FootnoteReference"/>
          <w:rFonts w:ascii="Verdana" w:hAnsi="Verdana"/>
          <w:lang w:val="en-US"/>
        </w:rPr>
        <w:footnoteReference w:id="19"/>
      </w:r>
      <w:r>
        <w:rPr>
          <w:rFonts w:ascii="Verdana" w:hAnsi="Verdana"/>
          <w:lang w:val="en-US"/>
        </w:rPr>
        <w:t>.</w:t>
      </w:r>
    </w:p>
    <w:p w14:paraId="03B3F636" w14:textId="0BFEAE92" w:rsidR="00686BC0" w:rsidRDefault="00686BC0" w:rsidP="00686BC0">
      <w:pPr>
        <w:rPr>
          <w:rFonts w:ascii="Verdana" w:hAnsi="Verdana"/>
          <w:lang w:val="en-US"/>
        </w:rPr>
      </w:pPr>
      <w:r w:rsidRPr="00F1650F">
        <w:rPr>
          <w:rFonts w:ascii="Verdana" w:hAnsi="Verdana"/>
          <w:lang w:val="en-US"/>
        </w:rPr>
        <w:t>The Suffering Servant</w:t>
      </w:r>
    </w:p>
    <w:p w14:paraId="29F91DA1" w14:textId="100D5500" w:rsidR="00686BC0" w:rsidRDefault="00686BC0" w:rsidP="00686BC0">
      <w:pPr>
        <w:rPr>
          <w:rFonts w:ascii="Verdana" w:hAnsi="Verdana"/>
          <w:lang w:val="en-US"/>
        </w:rPr>
      </w:pPr>
      <w:r>
        <w:rPr>
          <w:rFonts w:ascii="Verdana" w:hAnsi="Verdana"/>
          <w:lang w:val="en-US"/>
        </w:rPr>
        <w:t>The celebrated Suffering Servant passage (Isa 52:12-53:12) seems to tell the story of an individual who heals and redeems by vicarious suffering</w:t>
      </w:r>
      <w:r w:rsidR="00801143">
        <w:rPr>
          <w:rStyle w:val="FootnoteReference"/>
          <w:rFonts w:ascii="Verdana" w:hAnsi="Verdana"/>
          <w:lang w:val="en-US"/>
        </w:rPr>
        <w:footnoteReference w:id="20"/>
      </w:r>
      <w:r>
        <w:rPr>
          <w:rFonts w:ascii="Verdana" w:hAnsi="Verdana"/>
          <w:lang w:val="en-US"/>
        </w:rPr>
        <w:t xml:space="preserve"> and is one of the most contested passages in the Hebrew Scriptures</w:t>
      </w:r>
      <w:r w:rsidR="00801143">
        <w:rPr>
          <w:rStyle w:val="FootnoteReference"/>
          <w:rFonts w:ascii="Verdana" w:hAnsi="Verdana"/>
          <w:lang w:val="en-US"/>
        </w:rPr>
        <w:footnoteReference w:id="21"/>
      </w:r>
      <w:r>
        <w:rPr>
          <w:rFonts w:ascii="Verdana" w:hAnsi="Verdana"/>
          <w:lang w:val="en-US"/>
        </w:rPr>
        <w:t xml:space="preserve">. Duhm categorized this text as the fourth of the Servant Songs appearing in Deutero-Isaiah 40-55; the first (Isa 42:1-9) depicts a royal servant, the second and third (Isa 49:1-6; 50:4-9), show the servant as a teacher and a prophet, but none of these have </w:t>
      </w:r>
      <w:r>
        <w:rPr>
          <w:rFonts w:ascii="Verdana" w:hAnsi="Verdana"/>
          <w:lang w:val="en-US"/>
        </w:rPr>
        <w:lastRenderedPageBreak/>
        <w:t>prepared the audience for the Suffering Servant</w:t>
      </w:r>
      <w:r w:rsidR="00801143">
        <w:rPr>
          <w:rStyle w:val="FootnoteReference"/>
          <w:rFonts w:ascii="Verdana" w:hAnsi="Verdana"/>
          <w:lang w:val="en-US"/>
        </w:rPr>
        <w:footnoteReference w:id="22"/>
      </w:r>
      <w:r>
        <w:rPr>
          <w:rFonts w:ascii="Verdana" w:hAnsi="Verdana"/>
          <w:lang w:val="en-US"/>
        </w:rPr>
        <w:t>. Others have disputed this categorization and seen this section as an independent hymn of thanksgiving used to express the nation’s confidence in God’s intervention on their behalf, his ability to heal their wounds and forgive their sins</w:t>
      </w:r>
      <w:r w:rsidR="00801143">
        <w:rPr>
          <w:rStyle w:val="FootnoteReference"/>
          <w:rFonts w:ascii="Verdana" w:hAnsi="Verdana"/>
          <w:lang w:val="en-US"/>
        </w:rPr>
        <w:footnoteReference w:id="23"/>
      </w:r>
      <w:r>
        <w:rPr>
          <w:rFonts w:ascii="Verdana" w:hAnsi="Verdana"/>
          <w:lang w:val="en-US"/>
        </w:rPr>
        <w:t>. There has also been vigorous debate surrounding the identity of the servant; although described as an individual the reference could be seen to symbolize the entire Jewish people, it has also been put forward that the passage describes a minority within the nation (the minority suffering for the sins committed by the majority), others have indeed read this passage as referring to a specific individual</w:t>
      </w:r>
      <w:r w:rsidR="00801143">
        <w:rPr>
          <w:rStyle w:val="FootnoteReference"/>
          <w:rFonts w:ascii="Verdana" w:hAnsi="Verdana"/>
          <w:lang w:val="en-US"/>
        </w:rPr>
        <w:footnoteReference w:id="24"/>
      </w:r>
      <w:r>
        <w:rPr>
          <w:rFonts w:ascii="Verdana" w:hAnsi="Verdana"/>
          <w:lang w:val="en-US"/>
        </w:rPr>
        <w:t xml:space="preserve">. </w:t>
      </w:r>
    </w:p>
    <w:p w14:paraId="769F3F71" w14:textId="48B0860F" w:rsidR="00686BC0" w:rsidRDefault="00686BC0" w:rsidP="00686BC0">
      <w:pPr>
        <w:rPr>
          <w:rFonts w:ascii="Verdana" w:hAnsi="Verdana"/>
          <w:lang w:val="en-US"/>
        </w:rPr>
      </w:pPr>
      <w:r>
        <w:rPr>
          <w:rFonts w:ascii="Verdana" w:hAnsi="Verdana"/>
          <w:lang w:val="en-US"/>
        </w:rPr>
        <w:t>There are marked similarities between the language describing the servant and Jeremiah’s description of himself (Jer. 1:6; 10:18-24; 11:19) suggesting that the text refers to Jeremiah</w:t>
      </w:r>
      <w:r w:rsidR="00801143">
        <w:rPr>
          <w:rStyle w:val="FootnoteReference"/>
          <w:rFonts w:ascii="Verdana" w:hAnsi="Verdana"/>
          <w:lang w:val="en-US"/>
        </w:rPr>
        <w:footnoteReference w:id="25"/>
      </w:r>
      <w:r>
        <w:rPr>
          <w:rFonts w:ascii="Verdana" w:hAnsi="Verdana"/>
          <w:lang w:val="en-US"/>
        </w:rPr>
        <w:t>, whilst the Talmud (b Sot.14a) purports that it describes Moses</w:t>
      </w:r>
      <w:r w:rsidR="00801143">
        <w:rPr>
          <w:rStyle w:val="FootnoteReference"/>
          <w:rFonts w:ascii="Verdana" w:hAnsi="Verdana"/>
          <w:lang w:val="en-US"/>
        </w:rPr>
        <w:footnoteReference w:id="26"/>
      </w:r>
      <w:r>
        <w:rPr>
          <w:rFonts w:ascii="Verdana" w:hAnsi="Verdana"/>
          <w:lang w:val="en-US"/>
        </w:rPr>
        <w:t>. The Targum and Midrashim identify the servant as the Messiah; however, this is hotly disputed given the lack of further references to the Messiah in Deutero-Isaiah</w:t>
      </w:r>
      <w:r w:rsidR="00801143">
        <w:rPr>
          <w:rStyle w:val="FootnoteReference"/>
          <w:rFonts w:ascii="Verdana" w:hAnsi="Verdana"/>
          <w:lang w:val="en-US"/>
        </w:rPr>
        <w:footnoteReference w:id="27"/>
      </w:r>
      <w:r>
        <w:rPr>
          <w:rFonts w:ascii="Verdana" w:hAnsi="Verdana"/>
          <w:lang w:val="en-US"/>
        </w:rPr>
        <w:t>. From the first century CE, this passage would play a crucial role in the tradition of a suffering messiah</w:t>
      </w:r>
      <w:r w:rsidR="00801143">
        <w:rPr>
          <w:rStyle w:val="FootnoteReference"/>
          <w:rFonts w:ascii="Verdana" w:hAnsi="Verdana"/>
          <w:lang w:val="en-US"/>
        </w:rPr>
        <w:footnoteReference w:id="28"/>
      </w:r>
      <w:r>
        <w:rPr>
          <w:rFonts w:ascii="Verdana" w:hAnsi="Verdana"/>
          <w:lang w:val="en-US"/>
        </w:rPr>
        <w:t>, which will be looked at later in this essay. Karl Barth suggests that the servant is representative of both an individual and the nation, “introduced as the partner of YHWH in an eschatological encounter with the nations, the powerful witness of YHWH in the midst of the nations” (ChDogm IV, 1, 29)</w:t>
      </w:r>
      <w:r w:rsidR="00801143">
        <w:rPr>
          <w:rStyle w:val="FootnoteReference"/>
          <w:rFonts w:ascii="Verdana" w:hAnsi="Verdana"/>
          <w:lang w:val="en-US"/>
        </w:rPr>
        <w:footnoteReference w:id="29"/>
      </w:r>
      <w:r>
        <w:rPr>
          <w:rFonts w:ascii="Verdana" w:hAnsi="Verdana"/>
          <w:lang w:val="en-US"/>
        </w:rPr>
        <w:t>. Although there is no satisfactory answer to the question of the identity of the servant, the emphasis in this poem, reflected previously in Isaianic tradition, is on the transformation from humiliation to exaltation, from defeat to victory</w:t>
      </w:r>
      <w:r w:rsidR="00801143">
        <w:rPr>
          <w:rStyle w:val="FootnoteReference"/>
          <w:rFonts w:ascii="Verdana" w:hAnsi="Verdana"/>
          <w:lang w:val="en-US"/>
        </w:rPr>
        <w:footnoteReference w:id="30"/>
      </w:r>
      <w:r>
        <w:rPr>
          <w:rFonts w:ascii="Verdana" w:hAnsi="Verdana"/>
          <w:lang w:val="en-US"/>
        </w:rPr>
        <w:t xml:space="preserve">. </w:t>
      </w:r>
    </w:p>
    <w:p w14:paraId="1D26CBEA" w14:textId="0C303ACD" w:rsidR="00686BC0" w:rsidRPr="00F1650F" w:rsidRDefault="00686BC0" w:rsidP="00686BC0">
      <w:pPr>
        <w:rPr>
          <w:rFonts w:ascii="Verdana" w:hAnsi="Verdana"/>
          <w:lang w:val="en-US"/>
        </w:rPr>
      </w:pPr>
      <w:r>
        <w:rPr>
          <w:rFonts w:ascii="Verdana" w:hAnsi="Verdana"/>
          <w:lang w:val="en-US"/>
        </w:rPr>
        <w:t>This fourth song is a carefully constructed poem within a poem in five sections each with three verses. The first and the last sections are concerned with the Servant and the nations (Isa 52:13-15; 53:10-12), the second and the fourth sections (Isa 53:1-3; 53:7-9) the Servant and the people whilst the middle section presents the death of the Servant (Isa 53:4-6)</w:t>
      </w:r>
      <w:r w:rsidR="00801143">
        <w:rPr>
          <w:rStyle w:val="FootnoteReference"/>
          <w:rFonts w:ascii="Verdana" w:hAnsi="Verdana"/>
          <w:lang w:val="en-US"/>
        </w:rPr>
        <w:footnoteReference w:id="31"/>
      </w:r>
      <w:r>
        <w:rPr>
          <w:rFonts w:ascii="Verdana" w:hAnsi="Verdana"/>
          <w:lang w:val="en-US"/>
        </w:rPr>
        <w:t>. The Exodus and wilderness motifs are prominent</w:t>
      </w:r>
      <w:r w:rsidR="00801143">
        <w:rPr>
          <w:rStyle w:val="FootnoteReference"/>
          <w:rFonts w:ascii="Verdana" w:hAnsi="Verdana"/>
          <w:lang w:val="en-US"/>
        </w:rPr>
        <w:footnoteReference w:id="32"/>
      </w:r>
      <w:r>
        <w:rPr>
          <w:rFonts w:ascii="Verdana" w:hAnsi="Verdana"/>
          <w:lang w:val="en-US"/>
        </w:rPr>
        <w:t xml:space="preserve"> and the passage promises the vindication of the Servant culminating in the new exodus</w:t>
      </w:r>
      <w:r w:rsidR="00B22128">
        <w:rPr>
          <w:rStyle w:val="FootnoteReference"/>
          <w:rFonts w:ascii="Verdana" w:hAnsi="Verdana"/>
          <w:lang w:val="en-US"/>
        </w:rPr>
        <w:footnoteReference w:id="33"/>
      </w:r>
      <w:r>
        <w:rPr>
          <w:rFonts w:ascii="Verdana" w:hAnsi="Verdana"/>
          <w:lang w:val="en-US"/>
        </w:rPr>
        <w:t xml:space="preserve">. In the Hebrew Scriptures there is a </w:t>
      </w:r>
      <w:r>
        <w:rPr>
          <w:rFonts w:ascii="Verdana" w:hAnsi="Verdana"/>
          <w:lang w:val="en-US"/>
        </w:rPr>
        <w:lastRenderedPageBreak/>
        <w:t>sharp distinction drawn between God and man</w:t>
      </w:r>
      <w:r w:rsidR="00B22128">
        <w:rPr>
          <w:rStyle w:val="FootnoteReference"/>
          <w:rFonts w:ascii="Verdana" w:hAnsi="Verdana"/>
          <w:lang w:val="en-US"/>
        </w:rPr>
        <w:footnoteReference w:id="34"/>
      </w:r>
      <w:r>
        <w:rPr>
          <w:rFonts w:ascii="Verdana" w:hAnsi="Verdana"/>
          <w:lang w:val="en-US"/>
        </w:rPr>
        <w:t>, which here becomes blurred as the prophet describes the Suffering Servant, far from being cut off from God after his death but divinely rewarded</w:t>
      </w:r>
      <w:r w:rsidR="00B22128">
        <w:rPr>
          <w:rStyle w:val="FootnoteReference"/>
          <w:rFonts w:ascii="Verdana" w:hAnsi="Verdana"/>
          <w:lang w:val="en-US"/>
        </w:rPr>
        <w:footnoteReference w:id="35"/>
      </w:r>
      <w:r>
        <w:rPr>
          <w:rFonts w:ascii="Verdana" w:hAnsi="Verdana"/>
          <w:lang w:val="en-US"/>
        </w:rPr>
        <w:t>.</w:t>
      </w:r>
      <w:r w:rsidR="001A0B63">
        <w:rPr>
          <w:rFonts w:ascii="Verdana" w:hAnsi="Verdana"/>
          <w:lang w:val="en-US"/>
        </w:rPr>
        <w:t xml:space="preserve"> </w:t>
      </w:r>
      <w:r>
        <w:rPr>
          <w:rFonts w:ascii="Verdana" w:hAnsi="Verdana"/>
          <w:lang w:val="en-US"/>
        </w:rPr>
        <w:t>Commencing at 52:13 which, defying the Chapter numbering, is where the Suffering Servant passage begins, the audience is immediately offered the vision of the one to be exalted, but he is contrary to expectations ‘so marred was his appearance’. Chapter 53 v1 expresses in an astonished question that the ‘arm of the Lord’ should have been revealed as the one who flourished despite barren beginnings and rejection (vv2-3). The idea that one person can atone for the sins of others originates in the priestly legislation in Numbers 35</w:t>
      </w:r>
      <w:r w:rsidR="00B22128">
        <w:rPr>
          <w:rStyle w:val="FootnoteReference"/>
          <w:rFonts w:ascii="Verdana" w:hAnsi="Verdana"/>
          <w:lang w:val="en-US"/>
        </w:rPr>
        <w:footnoteReference w:id="36"/>
      </w:r>
      <w:r>
        <w:rPr>
          <w:rFonts w:ascii="Verdana" w:hAnsi="Verdana"/>
          <w:lang w:val="en-US"/>
        </w:rPr>
        <w:t xml:space="preserve"> and this is developed in vv4-6 where the Suffering Servant was ‘wounded for our transgressions, crushed for our inequities’ (v5). Further the Servant suffers fulfilling Levitical rituals whereby Deutero-Isaiah equates this to the ram of the guilt offering</w:t>
      </w:r>
      <w:r w:rsidR="00B22128">
        <w:rPr>
          <w:rStyle w:val="FootnoteReference"/>
          <w:rFonts w:ascii="Verdana" w:hAnsi="Verdana"/>
          <w:lang w:val="en-US"/>
        </w:rPr>
        <w:footnoteReference w:id="37"/>
      </w:r>
      <w:r>
        <w:rPr>
          <w:rFonts w:ascii="Verdana" w:hAnsi="Verdana"/>
          <w:lang w:val="en-US"/>
        </w:rPr>
        <w:t>(v7-10). The idea of vicarious suffering can also be found in the story of Moses offering his life for his people (Ex 32:32) yet nowhere does the description enter into as much detail as in these verses (Isa 53:4-6; 10-12)</w:t>
      </w:r>
      <w:r w:rsidR="00B22128">
        <w:rPr>
          <w:rStyle w:val="FootnoteReference"/>
          <w:rFonts w:ascii="Verdana" w:hAnsi="Verdana"/>
          <w:lang w:val="en-US"/>
        </w:rPr>
        <w:footnoteReference w:id="38"/>
      </w:r>
      <w:r>
        <w:rPr>
          <w:rFonts w:ascii="Verdana" w:hAnsi="Verdana"/>
          <w:lang w:val="en-US"/>
        </w:rPr>
        <w:t>. The final section of the poem, particularly v11, is dense and modern readers needs must consult a number of translations in order to unpick the theology</w:t>
      </w:r>
      <w:r w:rsidR="00B22128">
        <w:rPr>
          <w:rStyle w:val="FootnoteReference"/>
          <w:rFonts w:ascii="Verdana" w:hAnsi="Verdana"/>
          <w:lang w:val="en-US"/>
        </w:rPr>
        <w:footnoteReference w:id="39"/>
      </w:r>
      <w:r>
        <w:rPr>
          <w:rFonts w:ascii="Verdana" w:hAnsi="Verdana"/>
          <w:lang w:val="en-US"/>
        </w:rPr>
        <w:t xml:space="preserve"> as establishing a critically responsible reading of the Hebrew text greatly influences the translation</w:t>
      </w:r>
      <w:r w:rsidR="00B22128">
        <w:rPr>
          <w:rStyle w:val="FootnoteReference"/>
          <w:rFonts w:ascii="Verdana" w:hAnsi="Verdana"/>
          <w:lang w:val="en-US"/>
        </w:rPr>
        <w:footnoteReference w:id="40"/>
      </w:r>
      <w:r>
        <w:rPr>
          <w:rFonts w:ascii="Verdana" w:hAnsi="Verdana"/>
          <w:lang w:val="en-US"/>
        </w:rPr>
        <w:t>; out of the travail of the Servant’s soul, he will look and be satisfied by the knowledge that God’s will has been done</w:t>
      </w:r>
      <w:r w:rsidR="00B22128">
        <w:rPr>
          <w:rStyle w:val="FootnoteReference"/>
          <w:rFonts w:ascii="Verdana" w:hAnsi="Verdana"/>
          <w:lang w:val="en-US"/>
        </w:rPr>
        <w:footnoteReference w:id="41"/>
      </w:r>
      <w:r>
        <w:rPr>
          <w:rFonts w:ascii="Verdana" w:hAnsi="Verdana"/>
          <w:lang w:val="en-US"/>
        </w:rPr>
        <w:t>, thus this moment of Passover, when the Lamb of God dies on behalf of the sheep that had gone astray, serves to initiate the new exodus and the Servant will be vindicated</w:t>
      </w:r>
      <w:r w:rsidR="00B22128">
        <w:rPr>
          <w:rStyle w:val="FootnoteReference"/>
          <w:rFonts w:ascii="Verdana" w:hAnsi="Verdana"/>
          <w:lang w:val="en-US"/>
        </w:rPr>
        <w:footnoteReference w:id="42"/>
      </w:r>
      <w:r>
        <w:rPr>
          <w:rFonts w:ascii="Verdana" w:hAnsi="Verdana"/>
          <w:lang w:val="en-US"/>
        </w:rPr>
        <w:t>. The traditional Jewish interpretation, that the passage is about the final exile of Israel and their future redemption (Saw BW 309), is expounded as we see that God has intervened, ending the exile and ushering in his eschatological reign</w:t>
      </w:r>
      <w:r w:rsidR="00B22128">
        <w:rPr>
          <w:rStyle w:val="FootnoteReference"/>
          <w:rFonts w:ascii="Verdana" w:hAnsi="Verdana"/>
          <w:lang w:val="en-US"/>
        </w:rPr>
        <w:footnoteReference w:id="43"/>
      </w:r>
      <w:r>
        <w:rPr>
          <w:rFonts w:ascii="Verdana" w:hAnsi="Verdana"/>
          <w:lang w:val="en-US"/>
        </w:rPr>
        <w:t>.</w:t>
      </w:r>
    </w:p>
    <w:p w14:paraId="2A7B836F" w14:textId="6C7D001E" w:rsidR="00686BC0" w:rsidRDefault="00686BC0" w:rsidP="00686BC0">
      <w:pPr>
        <w:rPr>
          <w:rFonts w:ascii="Verdana" w:hAnsi="Verdana"/>
          <w:lang w:val="en-US"/>
        </w:rPr>
      </w:pPr>
      <w:r>
        <w:rPr>
          <w:rFonts w:ascii="Verdana" w:hAnsi="Verdana"/>
          <w:lang w:val="en-US"/>
        </w:rPr>
        <w:t>New Testament Tradition</w:t>
      </w:r>
    </w:p>
    <w:p w14:paraId="48F329C0" w14:textId="52591677" w:rsidR="001A0B63" w:rsidRDefault="00686BC0" w:rsidP="00686BC0">
      <w:pPr>
        <w:rPr>
          <w:rFonts w:ascii="Verdana" w:hAnsi="Verdana"/>
          <w:lang w:val="en-US"/>
        </w:rPr>
      </w:pPr>
      <w:r w:rsidRPr="0047548C">
        <w:rPr>
          <w:rFonts w:ascii="Verdana" w:hAnsi="Verdana"/>
          <w:lang w:val="en-US"/>
        </w:rPr>
        <w:t>Early Christians applied these moving passages to the events of Good Friday with the theological result that a Messiah was proclaimed ‘who was destined to suffer’ (Luke 24:26). Despite the awkwardness of the seemingly humiliating defeat defying messianic expectations, the power of the servant motif enabled the disciples not only to make theological sense of a suffering Messiah but also come to understand the paradox of the ‘upside-down Kingdom’</w:t>
      </w:r>
      <w:r w:rsidR="00005707">
        <w:rPr>
          <w:rFonts w:ascii="Verdana" w:hAnsi="Verdana"/>
          <w:lang w:val="en-US"/>
        </w:rPr>
        <w:t>, exemplified in the Sermon on the Mount (Matt 5),</w:t>
      </w:r>
      <w:r w:rsidRPr="0047548C">
        <w:rPr>
          <w:rFonts w:ascii="Verdana" w:hAnsi="Verdana"/>
          <w:lang w:val="en-US"/>
        </w:rPr>
        <w:t xml:space="preserve"> which was a central message of Jesus’ </w:t>
      </w:r>
      <w:r w:rsidRPr="0047548C">
        <w:rPr>
          <w:rFonts w:ascii="Verdana" w:hAnsi="Verdana"/>
          <w:lang w:val="en-US"/>
        </w:rPr>
        <w:lastRenderedPageBreak/>
        <w:t>preaching</w:t>
      </w:r>
      <w:r w:rsidR="0051634B">
        <w:rPr>
          <w:rStyle w:val="FootnoteReference"/>
          <w:rFonts w:ascii="Verdana" w:hAnsi="Verdana"/>
          <w:lang w:val="en-US"/>
        </w:rPr>
        <w:footnoteReference w:id="44"/>
      </w:r>
      <w:r w:rsidRPr="0047548C">
        <w:rPr>
          <w:rFonts w:ascii="Verdana" w:hAnsi="Verdana"/>
          <w:lang w:val="en-US"/>
        </w:rPr>
        <w:t>.</w:t>
      </w:r>
      <w:r>
        <w:rPr>
          <w:rFonts w:ascii="Verdana" w:hAnsi="Verdana"/>
          <w:lang w:val="en-US"/>
        </w:rPr>
        <w:t xml:space="preserve"> </w:t>
      </w:r>
      <w:r w:rsidRPr="00ED74BE">
        <w:rPr>
          <w:rFonts w:ascii="Verdana" w:hAnsi="Verdana"/>
          <w:lang w:val="en-US"/>
        </w:rPr>
        <w:t>Medieval rabbinic commentators devoted considerable attention to the Christian assertion that this passage predicts the coming of Jesus</w:t>
      </w:r>
      <w:r w:rsidR="0051634B">
        <w:rPr>
          <w:rStyle w:val="FootnoteReference"/>
          <w:rFonts w:ascii="Verdana" w:hAnsi="Verdana"/>
          <w:lang w:val="en-US"/>
        </w:rPr>
        <w:footnoteReference w:id="45"/>
      </w:r>
      <w:r w:rsidRPr="00ED74BE">
        <w:rPr>
          <w:rFonts w:ascii="Verdana" w:hAnsi="Verdana"/>
          <w:lang w:val="en-US"/>
        </w:rPr>
        <w:t>, however, its very conspicuous absence from Jewish lectionaries would appear to evidence the dominant Christological interpretation of the passage</w:t>
      </w:r>
      <w:r w:rsidR="0051634B">
        <w:rPr>
          <w:rStyle w:val="FootnoteReference"/>
          <w:rFonts w:ascii="Verdana" w:hAnsi="Verdana"/>
          <w:lang w:val="en-US"/>
        </w:rPr>
        <w:footnoteReference w:id="46"/>
      </w:r>
      <w:r w:rsidRPr="00ED74BE">
        <w:rPr>
          <w:rFonts w:ascii="Verdana" w:hAnsi="Verdana"/>
          <w:lang w:val="en-US"/>
        </w:rPr>
        <w:t>.</w:t>
      </w:r>
      <w:r>
        <w:rPr>
          <w:rFonts w:ascii="Verdana" w:hAnsi="Verdana"/>
          <w:lang w:val="en-US"/>
        </w:rPr>
        <w:t xml:space="preserve"> </w:t>
      </w:r>
      <w:r w:rsidRPr="00D56DC7">
        <w:rPr>
          <w:rFonts w:ascii="Verdana" w:hAnsi="Verdana"/>
          <w:lang w:val="en-US"/>
        </w:rPr>
        <w:t>Many believe that the songs are not prophecies of Christ, however, Hermisson states that no violence is done to them when read in a Christological light</w:t>
      </w:r>
      <w:r w:rsidR="0051634B">
        <w:rPr>
          <w:rStyle w:val="FootnoteReference"/>
          <w:rFonts w:ascii="Verdana" w:hAnsi="Verdana"/>
          <w:lang w:val="en-US"/>
        </w:rPr>
        <w:footnoteReference w:id="47"/>
      </w:r>
      <w:r w:rsidRPr="00D56DC7">
        <w:rPr>
          <w:rFonts w:ascii="Verdana" w:hAnsi="Verdana"/>
          <w:lang w:val="en-US"/>
        </w:rPr>
        <w:t>.</w:t>
      </w:r>
      <w:r w:rsidR="001A0B63">
        <w:rPr>
          <w:rFonts w:ascii="Verdana" w:hAnsi="Verdana"/>
          <w:lang w:val="en-US"/>
        </w:rPr>
        <w:t xml:space="preserve"> </w:t>
      </w:r>
    </w:p>
    <w:p w14:paraId="189DB514" w14:textId="17B9AB73" w:rsidR="00686BC0" w:rsidRPr="001A0B63" w:rsidRDefault="00686BC0" w:rsidP="00686BC0">
      <w:pPr>
        <w:rPr>
          <w:rFonts w:ascii="Verdana" w:hAnsi="Verdana"/>
          <w:lang w:val="en-US"/>
        </w:rPr>
      </w:pPr>
      <w:r>
        <w:rPr>
          <w:rFonts w:ascii="Verdana" w:hAnsi="Verdana"/>
          <w:lang w:val="en-US"/>
        </w:rPr>
        <w:t>There are opposing schools of thought amongst Christian theologians regarding the nature of interaction between Isaiah 52:13-53:12. Conservative biblical scholars see Jesus consciously shaping his ministry and identifying his mission according to this passage. On expanding this relationship theologically, they see the early Church doing so on the basis of Jesus’ self-understanding as the Suffering Servant. This position seeks to demonstrate historically that the concept of the servant’s vicarious suffering was already present in pre-Christian Judaism</w:t>
      </w:r>
      <w:r w:rsidR="000C31E9">
        <w:rPr>
          <w:rStyle w:val="FootnoteReference"/>
          <w:rFonts w:ascii="Verdana" w:hAnsi="Verdana"/>
          <w:lang w:val="en-US"/>
        </w:rPr>
        <w:footnoteReference w:id="48"/>
      </w:r>
      <w:r>
        <w:rPr>
          <w:rFonts w:ascii="Verdana" w:hAnsi="Verdana"/>
          <w:lang w:val="en-US"/>
        </w:rPr>
        <w:t>. Conversely, liberal biblical scholars cite the meagre references to Isaiah 52:13-53:12 appearing in the synoptic gospels. They argue that possible allusions occurring are vague and related generally to Hebrew Scripture rather than a specific text</w:t>
      </w:r>
      <w:r w:rsidR="000C31E9">
        <w:rPr>
          <w:rStyle w:val="FootnoteReference"/>
          <w:rFonts w:ascii="Verdana" w:hAnsi="Verdana"/>
          <w:lang w:val="en-US"/>
        </w:rPr>
        <w:footnoteReference w:id="49"/>
      </w:r>
      <w:r>
        <w:rPr>
          <w:rFonts w:ascii="Verdana" w:hAnsi="Verdana"/>
          <w:lang w:val="en-US"/>
        </w:rPr>
        <w:t>. Others argue vociferously that it was late within Hellenistic Christianity that the concept of a suffering servant appeared and that this could not be related to the self-understanding of the historical Jesus</w:t>
      </w:r>
      <w:r w:rsidR="000C31E9">
        <w:rPr>
          <w:rStyle w:val="FootnoteReference"/>
          <w:rFonts w:ascii="Verdana" w:hAnsi="Verdana"/>
          <w:lang w:val="en-US"/>
        </w:rPr>
        <w:footnoteReference w:id="50"/>
      </w:r>
      <w:r>
        <w:rPr>
          <w:rFonts w:ascii="Verdana" w:hAnsi="Verdana"/>
          <w:lang w:val="en-US"/>
        </w:rPr>
        <w:t xml:space="preserve">. </w:t>
      </w:r>
      <w:r w:rsidR="000C31E9">
        <w:rPr>
          <w:rFonts w:ascii="Verdana" w:hAnsi="Verdana"/>
          <w:lang w:val="en-US"/>
        </w:rPr>
        <w:t>The debate will remain regarding the extent to which Jesus’ followers told his story according to the template of the servant establishes, and to which Jesus himself sought to fulfil imagery associated with the servant</w:t>
      </w:r>
      <w:r w:rsidR="000C31E9" w:rsidRPr="000C31E9">
        <w:rPr>
          <w:rStyle w:val="FootnoteReference"/>
          <w:rFonts w:ascii="Verdana" w:hAnsi="Verdana"/>
          <w:lang w:val="en-US"/>
        </w:rPr>
        <w:footnoteReference w:id="51"/>
      </w:r>
      <w:r w:rsidR="000C31E9" w:rsidRPr="000C31E9">
        <w:rPr>
          <w:rFonts w:ascii="Verdana" w:hAnsi="Verdana"/>
        </w:rPr>
        <w:t xml:space="preserve">. </w:t>
      </w:r>
      <w:r>
        <w:rPr>
          <w:rFonts w:ascii="Verdana" w:hAnsi="Verdana"/>
          <w:lang w:val="en-US"/>
        </w:rPr>
        <w:t>Whilst both factions look from the point of view of a historical-critical reconstruction of the history of tradition, each approach this from a different perspective. One side sees the historical force of movement from the Hebrew Scriptures to the New Testament, the other reverses the direction of influence with a primary focus on New Testament understanding</w:t>
      </w:r>
      <w:r w:rsidR="000C31E9">
        <w:rPr>
          <w:rStyle w:val="FootnoteReference"/>
          <w:rFonts w:ascii="Verdana" w:hAnsi="Verdana"/>
          <w:lang w:val="en-US"/>
        </w:rPr>
        <w:footnoteReference w:id="52"/>
      </w:r>
      <w:r>
        <w:rPr>
          <w:rFonts w:ascii="Verdana" w:hAnsi="Verdana"/>
          <w:lang w:val="en-US"/>
        </w:rPr>
        <w:t xml:space="preserve">. </w:t>
      </w:r>
    </w:p>
    <w:p w14:paraId="10A35E5F" w14:textId="5B36DB61" w:rsidR="00686BC0" w:rsidRPr="004E2097" w:rsidRDefault="00686BC0" w:rsidP="00686BC0">
      <w:pPr>
        <w:rPr>
          <w:rFonts w:ascii="Verdana" w:hAnsi="Verdana"/>
          <w:color w:val="FF0000"/>
          <w:lang w:val="en-US"/>
        </w:rPr>
      </w:pPr>
      <w:r w:rsidRPr="0047548C">
        <w:rPr>
          <w:rFonts w:ascii="Verdana" w:hAnsi="Verdana"/>
          <w:lang w:val="en-US"/>
        </w:rPr>
        <w:t>The Hebrew Scriptures were a decisive force in the shaping of the New Testament</w:t>
      </w:r>
      <w:r w:rsidR="000C31E9">
        <w:rPr>
          <w:rStyle w:val="FootnoteReference"/>
          <w:rFonts w:ascii="Verdana" w:hAnsi="Verdana"/>
          <w:lang w:val="en-US"/>
        </w:rPr>
        <w:footnoteReference w:id="53"/>
      </w:r>
      <w:r w:rsidRPr="0047548C">
        <w:rPr>
          <w:rFonts w:ascii="Verdana" w:hAnsi="Verdana"/>
          <w:lang w:val="en-US"/>
        </w:rPr>
        <w:t>, and the passages about the ‘Servant of the Lord’ opened the way for a deeper understanding of the entire relationship between the Old and New Testaments: what is stated openly in the New, it was argued, will always have been hinted at somewhere in the Old. For that reason, Hebrew Scripture became absolutely vital for Christians</w:t>
      </w:r>
      <w:r w:rsidR="000C31E9">
        <w:rPr>
          <w:rStyle w:val="FootnoteReference"/>
          <w:rFonts w:ascii="Verdana" w:hAnsi="Verdana"/>
          <w:lang w:val="en-US"/>
        </w:rPr>
        <w:footnoteReference w:id="54"/>
      </w:r>
      <w:r>
        <w:rPr>
          <w:rFonts w:ascii="Verdana" w:hAnsi="Verdana"/>
          <w:lang w:val="en-US"/>
        </w:rPr>
        <w:t xml:space="preserve">. </w:t>
      </w:r>
      <w:r w:rsidRPr="0047548C">
        <w:rPr>
          <w:rFonts w:ascii="Verdana" w:hAnsi="Verdana"/>
          <w:lang w:val="en-US"/>
        </w:rPr>
        <w:t xml:space="preserve">However, the early writers of what would </w:t>
      </w:r>
      <w:r w:rsidRPr="0047548C">
        <w:rPr>
          <w:rFonts w:ascii="Verdana" w:hAnsi="Verdana"/>
          <w:lang w:val="en-US"/>
        </w:rPr>
        <w:lastRenderedPageBreak/>
        <w:t>become the New Testament appropriated the Hebrew Scriptures by a radical interpretation of its meaning in the light of Jesus Christ</w:t>
      </w:r>
      <w:r w:rsidR="000C31E9">
        <w:rPr>
          <w:rStyle w:val="FootnoteReference"/>
          <w:rFonts w:ascii="Verdana" w:hAnsi="Verdana"/>
          <w:lang w:val="en-US"/>
        </w:rPr>
        <w:footnoteReference w:id="55"/>
      </w:r>
      <w:r w:rsidRPr="0047548C">
        <w:rPr>
          <w:rFonts w:ascii="Verdana" w:hAnsi="Verdana"/>
          <w:lang w:val="en-US"/>
        </w:rPr>
        <w:t>.</w:t>
      </w:r>
      <w:r>
        <w:rPr>
          <w:rFonts w:ascii="Verdana" w:hAnsi="Verdana"/>
          <w:lang w:val="en-US"/>
        </w:rPr>
        <w:t xml:space="preserve"> </w:t>
      </w:r>
    </w:p>
    <w:p w14:paraId="0FD2EB0A" w14:textId="77777777" w:rsidR="00686BC0" w:rsidRDefault="00686BC0" w:rsidP="00686BC0">
      <w:pPr>
        <w:rPr>
          <w:rFonts w:ascii="Verdana" w:hAnsi="Verdana"/>
          <w:lang w:val="en-US"/>
        </w:rPr>
      </w:pPr>
      <w:r w:rsidRPr="00A67516">
        <w:rPr>
          <w:rFonts w:ascii="Verdana" w:hAnsi="Verdana"/>
          <w:lang w:val="en-US"/>
        </w:rPr>
        <w:t>Atonement</w:t>
      </w:r>
    </w:p>
    <w:p w14:paraId="298F909D" w14:textId="39C472C9" w:rsidR="00686BC0" w:rsidRPr="004E1E47" w:rsidRDefault="00686BC0" w:rsidP="00686BC0">
      <w:pPr>
        <w:rPr>
          <w:rFonts w:ascii="Verdana" w:hAnsi="Verdana"/>
          <w:lang w:val="en-US"/>
        </w:rPr>
      </w:pPr>
      <w:r>
        <w:rPr>
          <w:rFonts w:ascii="Verdana" w:hAnsi="Verdana"/>
          <w:lang w:val="en-US"/>
        </w:rPr>
        <w:t xml:space="preserve">An example of such radical interpretation is the use of the Suffering Servant by the early Church to understand the person of Jesus and his role in the forgiveness of sins.  </w:t>
      </w:r>
      <w:r w:rsidRPr="00ED74BE">
        <w:rPr>
          <w:rFonts w:ascii="Verdana" w:hAnsi="Verdana"/>
          <w:lang w:val="en-US"/>
        </w:rPr>
        <w:t xml:space="preserve">Vicarious suffering </w:t>
      </w:r>
      <w:r>
        <w:rPr>
          <w:rFonts w:ascii="Verdana" w:hAnsi="Verdana"/>
          <w:lang w:val="en-US"/>
        </w:rPr>
        <w:t xml:space="preserve">evident in Isa 52:13-53:12 had already been </w:t>
      </w:r>
      <w:r w:rsidRPr="00ED74BE">
        <w:rPr>
          <w:rFonts w:ascii="Verdana" w:hAnsi="Verdana"/>
          <w:lang w:val="en-US"/>
        </w:rPr>
        <w:t xml:space="preserve">shown in the willingness of Moses to die for his people and the Levitical rituals and thus there are </w:t>
      </w:r>
      <w:r>
        <w:rPr>
          <w:rFonts w:ascii="Verdana" w:hAnsi="Verdana"/>
          <w:lang w:val="en-US"/>
        </w:rPr>
        <w:t>ontological</w:t>
      </w:r>
      <w:r w:rsidRPr="00ED74BE">
        <w:rPr>
          <w:rFonts w:ascii="Verdana" w:hAnsi="Verdana"/>
          <w:lang w:val="en-US"/>
        </w:rPr>
        <w:t xml:space="preserve"> links to the life, death and resurrection of Jesus</w:t>
      </w:r>
      <w:r w:rsidR="00EB2258">
        <w:rPr>
          <w:rStyle w:val="FootnoteReference"/>
          <w:rFonts w:ascii="Verdana" w:hAnsi="Verdana"/>
          <w:lang w:val="en-US"/>
        </w:rPr>
        <w:footnoteReference w:id="56"/>
      </w:r>
      <w:r w:rsidRPr="00ED74BE">
        <w:rPr>
          <w:rFonts w:ascii="Verdana" w:hAnsi="Verdana"/>
          <w:lang w:val="en-US"/>
        </w:rPr>
        <w:t xml:space="preserve">. </w:t>
      </w:r>
      <w:r w:rsidRPr="00AC0A91">
        <w:rPr>
          <w:rFonts w:ascii="Verdana" w:hAnsi="Verdana"/>
        </w:rPr>
        <w:t>Even if it seems not such a central theme in New Testament references to the Fourth Servant Song,</w:t>
      </w:r>
      <w:r>
        <w:rPr>
          <w:rFonts w:ascii="Verdana" w:hAnsi="Verdana"/>
        </w:rPr>
        <w:t xml:space="preserve"> </w:t>
      </w:r>
      <w:r w:rsidRPr="00AC0A91">
        <w:rPr>
          <w:rFonts w:ascii="Verdana" w:hAnsi="Verdana"/>
        </w:rPr>
        <w:t>(only in 1 Peter 2:24 is vicarious suffering explicitly referred to ‘by his bruises we are healed’</w:t>
      </w:r>
      <w:r w:rsidR="00E71391">
        <w:rPr>
          <w:rStyle w:val="FootnoteReference"/>
          <w:rFonts w:ascii="Verdana" w:hAnsi="Verdana"/>
        </w:rPr>
        <w:footnoteReference w:id="57"/>
      </w:r>
      <w:r w:rsidRPr="00AC0A91">
        <w:rPr>
          <w:rFonts w:ascii="Verdana" w:hAnsi="Verdana"/>
        </w:rPr>
        <w:t>), Karl Barth finds a ‘full-orbed, biblical understanding of the atonement’ in the passage</w:t>
      </w:r>
      <w:r w:rsidR="00E71391">
        <w:rPr>
          <w:rStyle w:val="FootnoteReference"/>
          <w:rFonts w:ascii="Verdana" w:hAnsi="Verdana"/>
        </w:rPr>
        <w:footnoteReference w:id="58"/>
      </w:r>
      <w:r w:rsidRPr="00AC0A91">
        <w:rPr>
          <w:rFonts w:ascii="Verdana" w:hAnsi="Verdana"/>
        </w:rPr>
        <w:t>.</w:t>
      </w:r>
      <w:r>
        <w:rPr>
          <w:rFonts w:ascii="Verdana" w:hAnsi="Verdana"/>
        </w:rPr>
        <w:t xml:space="preserve"> </w:t>
      </w:r>
      <w:r w:rsidRPr="00620B7D">
        <w:rPr>
          <w:rFonts w:ascii="Verdana" w:hAnsi="Verdana"/>
        </w:rPr>
        <w:t>The Suffering Servant underlies Christian claims that Jesus suffered and died for the sins of humanity; similarly, that his suffering, death, and resurrection</w:t>
      </w:r>
      <w:r w:rsidR="00E71391">
        <w:rPr>
          <w:rStyle w:val="FootnoteReference"/>
          <w:rFonts w:ascii="Verdana" w:hAnsi="Verdana"/>
        </w:rPr>
        <w:footnoteReference w:id="59"/>
      </w:r>
      <w:r w:rsidRPr="00620B7D">
        <w:rPr>
          <w:rFonts w:ascii="Verdana" w:hAnsi="Verdana"/>
        </w:rPr>
        <w:t xml:space="preserve"> were predicted by Scripture:</w:t>
      </w:r>
    </w:p>
    <w:p w14:paraId="03AB906F" w14:textId="77777777" w:rsidR="00686BC0" w:rsidRDefault="00686BC0" w:rsidP="00686BC0">
      <w:pPr>
        <w:rPr>
          <w:rFonts w:ascii="Verdana" w:hAnsi="Verdana"/>
        </w:rPr>
      </w:pPr>
      <w:r w:rsidRPr="00620B7D">
        <w:rPr>
          <w:rStyle w:val="text"/>
          <w:rFonts w:ascii="Verdana" w:hAnsi="Verdana" w:cs="Segoe UI"/>
          <w:b/>
          <w:bCs/>
          <w:shd w:val="clear" w:color="auto" w:fill="FFFFFF"/>
          <w:vertAlign w:val="superscript"/>
        </w:rPr>
        <w:t>“3 </w:t>
      </w:r>
      <w:r w:rsidRPr="00620B7D">
        <w:rPr>
          <w:rStyle w:val="text"/>
          <w:rFonts w:ascii="Verdana" w:hAnsi="Verdana" w:cs="Segoe UI"/>
          <w:shd w:val="clear" w:color="auto" w:fill="FFFFFF"/>
        </w:rPr>
        <w:t>For I handed on to you as of first importance what I in turn had received: that Christ died for our sins in accordance with the scriptures, </w:t>
      </w:r>
      <w:r w:rsidRPr="00620B7D">
        <w:rPr>
          <w:rStyle w:val="text"/>
          <w:rFonts w:ascii="Verdana" w:hAnsi="Verdana" w:cs="Segoe UI"/>
          <w:b/>
          <w:bCs/>
          <w:shd w:val="clear" w:color="auto" w:fill="FFFFFF"/>
          <w:vertAlign w:val="superscript"/>
        </w:rPr>
        <w:t>4 </w:t>
      </w:r>
      <w:r w:rsidRPr="00620B7D">
        <w:rPr>
          <w:rStyle w:val="text"/>
          <w:rFonts w:ascii="Verdana" w:hAnsi="Verdana" w:cs="Segoe UI"/>
          <w:shd w:val="clear" w:color="auto" w:fill="FFFFFF"/>
        </w:rPr>
        <w:t>and that he was buried, and that he was raised on the third day in accordance with the scriptures”</w:t>
      </w:r>
      <w:r w:rsidRPr="00620B7D">
        <w:rPr>
          <w:rFonts w:ascii="Verdana" w:hAnsi="Verdana"/>
        </w:rPr>
        <w:t xml:space="preserve"> (1 Cor 15:3–4). </w:t>
      </w:r>
    </w:p>
    <w:p w14:paraId="67D0AB0B" w14:textId="7F027BCB" w:rsidR="00686BC0" w:rsidRPr="004E1E47" w:rsidRDefault="00686BC0" w:rsidP="00686BC0">
      <w:pPr>
        <w:rPr>
          <w:rFonts w:ascii="Verdana" w:hAnsi="Verdana"/>
          <w:lang w:val="en-US"/>
        </w:rPr>
      </w:pPr>
      <w:r w:rsidRPr="00620B7D">
        <w:rPr>
          <w:rFonts w:ascii="Verdana" w:hAnsi="Verdana"/>
        </w:rPr>
        <w:t>Paul’s proclamation that Jesus “was handed over to death for our trespasses and was raised for our justification” (Rom 4:25) follows from Isa 53:12, just as the Synoptic passion predictions, “the Son of Man must undergo great suffering, and be rejected by the elders… and be killed, and after three days rise again” (Mark 8:31) follow the servant, who suffers, is rejected, is (perceived to have been) killed and is (similarly) resurrected</w:t>
      </w:r>
      <w:r w:rsidR="00E71391">
        <w:rPr>
          <w:rStyle w:val="FootnoteReference"/>
          <w:rFonts w:ascii="Verdana" w:hAnsi="Verdana"/>
        </w:rPr>
        <w:footnoteReference w:id="60"/>
      </w:r>
      <w:r w:rsidRPr="00620B7D">
        <w:rPr>
          <w:rFonts w:ascii="Verdana" w:hAnsi="Verdana"/>
        </w:rPr>
        <w:t>.</w:t>
      </w:r>
      <w:r>
        <w:rPr>
          <w:rFonts w:ascii="Verdana" w:hAnsi="Verdana"/>
          <w:lang w:val="en-US"/>
        </w:rPr>
        <w:t xml:space="preserve"> </w:t>
      </w:r>
      <w:r w:rsidRPr="00352A81">
        <w:rPr>
          <w:rFonts w:ascii="Verdana" w:hAnsi="Verdana"/>
          <w:lang w:val="en-US"/>
        </w:rPr>
        <w:t>There are many</w:t>
      </w:r>
      <w:r>
        <w:rPr>
          <w:rFonts w:ascii="Verdana" w:hAnsi="Verdana"/>
          <w:lang w:val="en-US"/>
        </w:rPr>
        <w:t xml:space="preserve"> occurrences</w:t>
      </w:r>
      <w:r w:rsidRPr="00352A81">
        <w:rPr>
          <w:rFonts w:ascii="Verdana" w:hAnsi="Verdana"/>
          <w:lang w:val="en-US"/>
        </w:rPr>
        <w:t xml:space="preserve"> in Scripture referring to God and Jesus as Healer. God ‘heals the brokenhearted and binds up their wounds’ (Ps 147:3), identifying himself as such ‘For I am the Lord who heals you’ (Ex 15:26). Deutero-Isaiah uses this theme in the work of the Suffering Servant by whose ‘bruises we are healed’ (Isa 53:5) and Jesus’ healings are plentiful in the gospels. Interesting to note is that Jesus heals directly rather than by interceding to the Father, revealing</w:t>
      </w:r>
      <w:r w:rsidR="00E71391">
        <w:rPr>
          <w:rFonts w:ascii="Verdana" w:hAnsi="Verdana"/>
          <w:lang w:val="en-US"/>
        </w:rPr>
        <w:t>, as Reichenbach states,</w:t>
      </w:r>
      <w:r w:rsidRPr="00352A81">
        <w:rPr>
          <w:rFonts w:ascii="Verdana" w:hAnsi="Verdana"/>
          <w:lang w:val="en-US"/>
        </w:rPr>
        <w:t xml:space="preserve"> his ‘continuity with the divine healer of the Old Testament’</w:t>
      </w:r>
      <w:r w:rsidR="00E71391">
        <w:rPr>
          <w:rStyle w:val="FootnoteReference"/>
          <w:rFonts w:ascii="Verdana" w:hAnsi="Verdana"/>
          <w:lang w:val="en-US"/>
        </w:rPr>
        <w:footnoteReference w:id="61"/>
      </w:r>
      <w:r w:rsidRPr="00352A81">
        <w:rPr>
          <w:rFonts w:ascii="Verdana" w:hAnsi="Verdana"/>
          <w:lang w:val="en-US"/>
        </w:rPr>
        <w:t>.</w:t>
      </w:r>
      <w:r>
        <w:rPr>
          <w:rFonts w:ascii="Verdana" w:hAnsi="Verdana"/>
          <w:lang w:val="en-US"/>
        </w:rPr>
        <w:t xml:space="preserve"> </w:t>
      </w:r>
      <w:r>
        <w:rPr>
          <w:rFonts w:ascii="Verdana" w:hAnsi="Verdana"/>
        </w:rPr>
        <w:t>In its entirety, t</w:t>
      </w:r>
      <w:r w:rsidRPr="00352A81">
        <w:rPr>
          <w:rFonts w:ascii="Verdana" w:hAnsi="Verdana"/>
        </w:rPr>
        <w:t xml:space="preserve">he fourth Servant song (Isa 52:13–53:12) describes the human predicament, a life of infirmities and pains, of transgressions and vice. Deutero-Isaiah connects sickness and sin moving easily between the two: In 53:4 the Servant is seen as bearing our diseases and sorrows, while in v. 5 the Servant is pierced, crushed, and punished for our sins. The connection between sin and </w:t>
      </w:r>
      <w:r w:rsidRPr="00352A81">
        <w:rPr>
          <w:rFonts w:ascii="Verdana" w:hAnsi="Verdana"/>
        </w:rPr>
        <w:lastRenderedPageBreak/>
        <w:t>sickness united with the model of healing provides an appropriate means of addressing the human predicament</w:t>
      </w:r>
      <w:r w:rsidR="00E71391">
        <w:rPr>
          <w:rStyle w:val="FootnoteReference"/>
          <w:rFonts w:ascii="Verdana" w:hAnsi="Verdana"/>
        </w:rPr>
        <w:footnoteReference w:id="62"/>
      </w:r>
      <w:r w:rsidRPr="00352A81">
        <w:rPr>
          <w:rFonts w:ascii="Verdana" w:hAnsi="Verdana"/>
        </w:rPr>
        <w:t>.</w:t>
      </w:r>
    </w:p>
    <w:p w14:paraId="5B893DD4" w14:textId="77777777" w:rsidR="00686BC0" w:rsidRPr="006065B5" w:rsidRDefault="00686BC0" w:rsidP="00686BC0">
      <w:pPr>
        <w:rPr>
          <w:rFonts w:ascii="Verdana" w:hAnsi="Verdana"/>
          <w:lang w:val="en-US"/>
        </w:rPr>
      </w:pPr>
      <w:r w:rsidRPr="006065B5">
        <w:rPr>
          <w:rFonts w:ascii="Verdana" w:hAnsi="Verdana"/>
          <w:lang w:val="en-US"/>
        </w:rPr>
        <w:t>Eucharist</w:t>
      </w:r>
    </w:p>
    <w:p w14:paraId="3B15E11B" w14:textId="339595D3" w:rsidR="00686BC0" w:rsidRDefault="00686BC0" w:rsidP="00686BC0">
      <w:pPr>
        <w:rPr>
          <w:rFonts w:ascii="Verdana" w:hAnsi="Verdana"/>
          <w:lang w:val="en-US"/>
        </w:rPr>
      </w:pPr>
      <w:r>
        <w:rPr>
          <w:rFonts w:ascii="Verdana" w:hAnsi="Verdana"/>
          <w:lang w:val="en-US"/>
        </w:rPr>
        <w:t>Introduced by the conventional ‘therefore’ (cf Isa 51:21; 52:6), the last verse is a short oracle of salvation. The servant’s sufferings are compared to a battle which is now over. Christ has overcome all evils and all souls have been rescued from the devil. ‘I will divide him a portion with the many’ suggests Christ distributing his body and blood in the Eucharist</w:t>
      </w:r>
      <w:r w:rsidR="00094141">
        <w:rPr>
          <w:rStyle w:val="FootnoteReference"/>
          <w:rFonts w:ascii="Verdana" w:hAnsi="Verdana"/>
          <w:lang w:val="en-US"/>
        </w:rPr>
        <w:footnoteReference w:id="63"/>
      </w:r>
      <w:r>
        <w:rPr>
          <w:rFonts w:ascii="Verdana" w:hAnsi="Verdana"/>
          <w:lang w:val="en-US"/>
        </w:rPr>
        <w:t>. This communion with his atoning lifegiving death, was offered symbolically to the disciples at the last Passover meal which appears in all four Gospels. In these Eucharistic words, Jesus indicates that he takes over the role of the Suffering Servant by atoning for the sins of all through his vicarious death. Whilst Mark 10:38, 45 determines the meaning of Isa 53:10, during the instigation of the Lord’s Supper, Jesus enacted Isa 53:12. A sharp correlation can be drawn between Jesus and the servant who ‘poured out his soul to death’ and ‘bore the sins of many’. He bore the sins ‘in his body on the cross’ (1 Peter 2:24; see Isa 53:12a) and ‘poured out himself (soul) to death’ (Isa 53:12b) by pouring out his blood for the sins of the many ‘for the forgiveness of sins’ (Matt 26:28)</w:t>
      </w:r>
      <w:r w:rsidR="00094141">
        <w:rPr>
          <w:rStyle w:val="FootnoteReference"/>
          <w:rFonts w:ascii="Verdana" w:hAnsi="Verdana"/>
          <w:lang w:val="en-US"/>
        </w:rPr>
        <w:footnoteReference w:id="64"/>
      </w:r>
      <w:r>
        <w:rPr>
          <w:rFonts w:ascii="Verdana" w:hAnsi="Verdana"/>
          <w:lang w:val="en-US"/>
        </w:rPr>
        <w:t>. For this reason Jesus spoke of his body and blood and used the gifts of bread and wine to illustrate the surrender of himself</w:t>
      </w:r>
      <w:r w:rsidR="00094141">
        <w:rPr>
          <w:rStyle w:val="FootnoteReference"/>
          <w:rFonts w:ascii="Verdana" w:hAnsi="Verdana"/>
          <w:lang w:val="en-US"/>
        </w:rPr>
        <w:footnoteReference w:id="65"/>
      </w:r>
      <w:r>
        <w:rPr>
          <w:rFonts w:ascii="Verdana" w:hAnsi="Verdana"/>
          <w:lang w:val="en-US"/>
        </w:rPr>
        <w:t xml:space="preserve">. It has been argued that the distribution of the symbols for the body and blood is indicated in Isa 53:12a, as in the Hebrew text the word </w:t>
      </w:r>
      <w:r w:rsidRPr="00B0075B">
        <w:rPr>
          <w:rFonts w:ascii="Verdana" w:hAnsi="Verdana"/>
          <w:i/>
          <w:iCs/>
          <w:lang w:val="en-US"/>
        </w:rPr>
        <w:t>hilleq</w:t>
      </w:r>
      <w:r>
        <w:rPr>
          <w:rFonts w:ascii="Verdana" w:hAnsi="Verdana"/>
          <w:lang w:val="en-US"/>
        </w:rPr>
        <w:t xml:space="preserve"> ‘divide’ appears twice, once in referring to the distribution to the people and also to things acquired through the sacrifice of the servant</w:t>
      </w:r>
      <w:r w:rsidR="00094141">
        <w:rPr>
          <w:rStyle w:val="FootnoteReference"/>
          <w:rFonts w:ascii="Verdana" w:hAnsi="Verdana"/>
          <w:lang w:val="en-US"/>
        </w:rPr>
        <w:footnoteReference w:id="66"/>
      </w:r>
      <w:r>
        <w:rPr>
          <w:rFonts w:ascii="Verdana" w:hAnsi="Verdana"/>
          <w:lang w:val="en-US"/>
        </w:rPr>
        <w:t xml:space="preserve">. </w:t>
      </w:r>
    </w:p>
    <w:p w14:paraId="7AB3D92F" w14:textId="4CFD9EE9" w:rsidR="001A0B63" w:rsidRPr="0082178E" w:rsidRDefault="001A0B63" w:rsidP="00686BC0">
      <w:pPr>
        <w:rPr>
          <w:rFonts w:ascii="Verdana" w:hAnsi="Verdana"/>
          <w:lang w:val="en-US"/>
        </w:rPr>
      </w:pPr>
      <w:r w:rsidRPr="0082178E">
        <w:rPr>
          <w:rFonts w:ascii="Verdana" w:hAnsi="Verdana"/>
          <w:lang w:val="en-US"/>
        </w:rPr>
        <w:t>Final words</w:t>
      </w:r>
    </w:p>
    <w:p w14:paraId="39935AA5" w14:textId="570DFDBD" w:rsidR="00686BC0" w:rsidRDefault="0082178E" w:rsidP="00F23DB5">
      <w:pPr>
        <w:rPr>
          <w:rFonts w:ascii="Verdana" w:hAnsi="Verdana"/>
          <w:lang w:val="en-US"/>
        </w:rPr>
      </w:pPr>
      <w:r w:rsidRPr="0082178E">
        <w:rPr>
          <w:rFonts w:ascii="Verdana" w:hAnsi="Verdana"/>
          <w:lang w:val="en-US"/>
        </w:rPr>
        <w:t>So much of the writing of Deutero-Isaiah feels familiar and is testament to the importance of the prophet’s writings in both Judaism and Christianity. To cite just one example, in Silvano Arieti’s book ‘The Parnas’</w:t>
      </w:r>
      <w:r w:rsidR="00926ABF">
        <w:rPr>
          <w:rStyle w:val="FootnoteReference"/>
          <w:rFonts w:ascii="Verdana" w:hAnsi="Verdana"/>
          <w:lang w:val="en-US"/>
        </w:rPr>
        <w:footnoteReference w:id="67"/>
      </w:r>
      <w:r w:rsidRPr="0082178E">
        <w:rPr>
          <w:rFonts w:ascii="Verdana" w:hAnsi="Verdana"/>
          <w:lang w:val="en-US"/>
        </w:rPr>
        <w:t xml:space="preserve"> we are taken through the final days of Guiseppi Pardo, parnas (Jewish lay leader) of his native community of Pisa and his death at the hands of the Nazis. As the danger intensifies, Pardo uses the words of Deutero-Isaiah to comfort his friends as well as himself. Although the words on his lips at his death are those of the </w:t>
      </w:r>
      <w:r w:rsidRPr="0082178E">
        <w:rPr>
          <w:rFonts w:ascii="Verdana" w:hAnsi="Verdana"/>
          <w:i/>
          <w:iCs/>
          <w:lang w:val="en-US"/>
        </w:rPr>
        <w:t>Shema</w:t>
      </w:r>
      <w:r w:rsidRPr="0082178E">
        <w:rPr>
          <w:rFonts w:ascii="Verdana" w:hAnsi="Verdana"/>
          <w:lang w:val="en-US"/>
        </w:rPr>
        <w:t>, the images drawn from the words of the prophet serve to help him come to understand his purpose in life and his destiny. In Christianity, from the conversion of the Ethiopian eunuch (Acts 8) through to the daily communion services</w:t>
      </w:r>
      <w:r w:rsidR="0034538B">
        <w:rPr>
          <w:rFonts w:ascii="Verdana" w:hAnsi="Verdana"/>
          <w:lang w:val="en-US"/>
        </w:rPr>
        <w:t xml:space="preserve"> today</w:t>
      </w:r>
      <w:r w:rsidRPr="0082178E">
        <w:rPr>
          <w:rFonts w:ascii="Verdana" w:hAnsi="Verdana"/>
          <w:lang w:val="en-US"/>
        </w:rPr>
        <w:t xml:space="preserve">, the role of the Suffering Servant is evident. To whichever school of thought one leans toward, it is undeniable that this rich passage will continue to fuel faith dialogues and scholastic </w:t>
      </w:r>
      <w:r w:rsidR="00F23DB5" w:rsidRPr="0082178E">
        <w:rPr>
          <w:rFonts w:ascii="Verdana" w:hAnsi="Verdana"/>
          <w:lang w:val="en-US"/>
        </w:rPr>
        <w:t>endeavors</w:t>
      </w:r>
      <w:r w:rsidRPr="0082178E">
        <w:rPr>
          <w:rFonts w:ascii="Verdana" w:hAnsi="Verdana"/>
          <w:lang w:val="en-US"/>
        </w:rPr>
        <w:t>.</w:t>
      </w:r>
    </w:p>
    <w:p w14:paraId="67E879F8" w14:textId="77777777" w:rsidR="00CA5091" w:rsidRPr="00CA5091" w:rsidRDefault="00CA5091" w:rsidP="00CA5091">
      <w:pPr>
        <w:rPr>
          <w:rFonts w:ascii="Verdana" w:hAnsi="Verdana"/>
          <w:b/>
          <w:bCs/>
          <w:color w:val="000000"/>
        </w:rPr>
      </w:pPr>
      <w:r w:rsidRPr="00CA5091">
        <w:rPr>
          <w:rFonts w:ascii="Verdana" w:hAnsi="Verdana"/>
          <w:b/>
          <w:bCs/>
          <w:lang w:val="en-US"/>
        </w:rPr>
        <w:lastRenderedPageBreak/>
        <w:t>Bibliography</w:t>
      </w:r>
      <w:r w:rsidRPr="00CA5091">
        <w:rPr>
          <w:rFonts w:ascii="Verdana" w:hAnsi="Verdana"/>
          <w:b/>
          <w:bCs/>
          <w:color w:val="000000"/>
        </w:rPr>
        <w:t xml:space="preserve"> </w:t>
      </w:r>
    </w:p>
    <w:p w14:paraId="5C9C1CE6" w14:textId="77777777" w:rsidR="00CA5091" w:rsidRPr="00E031A0" w:rsidRDefault="00CA5091" w:rsidP="00CA5091">
      <w:pPr>
        <w:rPr>
          <w:rFonts w:ascii="Verdana" w:hAnsi="Verdana"/>
          <w:color w:val="000000"/>
        </w:rPr>
      </w:pPr>
      <w:bookmarkStart w:id="0" w:name="_Hlk80340570"/>
      <w:r w:rsidRPr="00E031A0">
        <w:rPr>
          <w:rFonts w:ascii="Verdana" w:hAnsi="Verdana"/>
          <w:color w:val="000000"/>
        </w:rPr>
        <w:t>Alter, R (2019). </w:t>
      </w:r>
      <w:r w:rsidRPr="00E031A0">
        <w:rPr>
          <w:rFonts w:ascii="Verdana" w:hAnsi="Verdana"/>
          <w:i/>
          <w:iCs/>
          <w:color w:val="000000"/>
        </w:rPr>
        <w:t>The Hebrew Bible: Volume 2; Prophets</w:t>
      </w:r>
      <w:r w:rsidRPr="00E031A0">
        <w:rPr>
          <w:rFonts w:ascii="Verdana" w:hAnsi="Verdana"/>
          <w:color w:val="000000"/>
        </w:rPr>
        <w:t xml:space="preserve">. New York: </w:t>
      </w:r>
      <w:bookmarkEnd w:id="0"/>
      <w:r w:rsidRPr="00E031A0">
        <w:rPr>
          <w:rFonts w:ascii="Verdana" w:hAnsi="Verdana"/>
          <w:color w:val="000000"/>
        </w:rPr>
        <w:t>W. W. Norton &amp; Company. pp617-848.</w:t>
      </w:r>
    </w:p>
    <w:p w14:paraId="6C0D7C6B" w14:textId="77777777" w:rsidR="00CA5091" w:rsidRPr="00E031A0" w:rsidRDefault="00CA5091" w:rsidP="00CA5091">
      <w:pPr>
        <w:rPr>
          <w:rFonts w:ascii="Verdana" w:hAnsi="Verdana"/>
          <w:color w:val="000000"/>
        </w:rPr>
      </w:pPr>
      <w:r w:rsidRPr="00E031A0">
        <w:rPr>
          <w:rFonts w:ascii="Verdana" w:hAnsi="Verdana"/>
          <w:color w:val="000000"/>
        </w:rPr>
        <w:t>Arieti, S (2000). </w:t>
      </w:r>
      <w:r w:rsidRPr="00E031A0">
        <w:rPr>
          <w:rFonts w:ascii="Verdana" w:hAnsi="Verdana"/>
          <w:i/>
          <w:iCs/>
          <w:color w:val="000000"/>
        </w:rPr>
        <w:t>The Parnas: A Scene from the Holocaust</w:t>
      </w:r>
      <w:r w:rsidRPr="00E031A0">
        <w:rPr>
          <w:rFonts w:ascii="Verdana" w:hAnsi="Verdana"/>
          <w:color w:val="000000"/>
        </w:rPr>
        <w:t>. Philadelphia: Paul Dry Books.</w:t>
      </w:r>
    </w:p>
    <w:p w14:paraId="5C6AFF0B" w14:textId="77777777" w:rsidR="00CA5091" w:rsidRPr="00E031A0" w:rsidRDefault="00CA5091" w:rsidP="00CA5091">
      <w:pPr>
        <w:rPr>
          <w:rFonts w:ascii="Verdana" w:hAnsi="Verdana"/>
          <w:color w:val="000000"/>
        </w:rPr>
      </w:pPr>
      <w:bookmarkStart w:id="1" w:name="_Hlk80344004"/>
      <w:r w:rsidRPr="00E031A0">
        <w:rPr>
          <w:rFonts w:ascii="Verdana" w:hAnsi="Verdana"/>
          <w:color w:val="000000"/>
        </w:rPr>
        <w:t>Betz, O. (1998). Jesus and Isaiah 53. In: Bellinger, W. H. and Farmer, W. R </w:t>
      </w:r>
      <w:r w:rsidRPr="00E031A0">
        <w:rPr>
          <w:rFonts w:ascii="Verdana" w:hAnsi="Verdana"/>
          <w:i/>
          <w:iCs/>
          <w:color w:val="000000"/>
        </w:rPr>
        <w:t>Jesus and the Suffering Servant: Isaiah 53 and Christian Origins</w:t>
      </w:r>
      <w:r w:rsidRPr="00E031A0">
        <w:rPr>
          <w:rFonts w:ascii="Verdana" w:hAnsi="Verdana"/>
          <w:color w:val="000000"/>
        </w:rPr>
        <w:t>. Harrisburg, PA</w:t>
      </w:r>
      <w:bookmarkEnd w:id="1"/>
      <w:r w:rsidRPr="00E031A0">
        <w:rPr>
          <w:rFonts w:ascii="Verdana" w:hAnsi="Verdana"/>
          <w:color w:val="000000"/>
        </w:rPr>
        <w:t>: Trinity Press International. pp70-87.</w:t>
      </w:r>
    </w:p>
    <w:p w14:paraId="0FC731AD" w14:textId="77777777" w:rsidR="00CA5091" w:rsidRPr="00E031A0" w:rsidRDefault="00CA5091" w:rsidP="00CA5091">
      <w:pPr>
        <w:rPr>
          <w:rFonts w:ascii="Verdana" w:hAnsi="Verdana"/>
          <w:color w:val="000000"/>
        </w:rPr>
      </w:pPr>
      <w:bookmarkStart w:id="2" w:name="_Hlk80342774"/>
      <w:r w:rsidRPr="00E031A0">
        <w:rPr>
          <w:rFonts w:ascii="Verdana" w:hAnsi="Verdana"/>
          <w:color w:val="000000"/>
        </w:rPr>
        <w:t>Brettler, M. and Levine, A-J. (2019). Isaiah’s Suffering Servant: Before and After Christianity. </w:t>
      </w:r>
      <w:r w:rsidRPr="00E031A0">
        <w:rPr>
          <w:rFonts w:ascii="Verdana" w:hAnsi="Verdana"/>
          <w:i/>
          <w:iCs/>
          <w:color w:val="000000"/>
        </w:rPr>
        <w:t>A Journal of Bible and Theology</w:t>
      </w:r>
      <w:r w:rsidRPr="00E031A0">
        <w:rPr>
          <w:rFonts w:ascii="Verdana" w:hAnsi="Verdana"/>
          <w:color w:val="000000"/>
        </w:rPr>
        <w:t xml:space="preserve">. </w:t>
      </w:r>
      <w:bookmarkEnd w:id="2"/>
      <w:r w:rsidRPr="00E031A0">
        <w:rPr>
          <w:rFonts w:ascii="Verdana" w:hAnsi="Verdana"/>
          <w:color w:val="000000"/>
        </w:rPr>
        <w:t>73 (2), pp158-173.</w:t>
      </w:r>
    </w:p>
    <w:p w14:paraId="67C963CE" w14:textId="77777777" w:rsidR="00CA5091" w:rsidRPr="00E031A0" w:rsidRDefault="00CA5091" w:rsidP="00CA5091">
      <w:pPr>
        <w:rPr>
          <w:rFonts w:ascii="Verdana" w:hAnsi="Verdana"/>
          <w:color w:val="000000"/>
        </w:rPr>
      </w:pPr>
      <w:bookmarkStart w:id="3" w:name="_Hlk80341380"/>
      <w:r w:rsidRPr="00E031A0">
        <w:rPr>
          <w:rFonts w:ascii="Verdana" w:hAnsi="Verdana"/>
          <w:color w:val="000000"/>
        </w:rPr>
        <w:t>Childs, B (2001). </w:t>
      </w:r>
      <w:r w:rsidRPr="00E031A0">
        <w:rPr>
          <w:rFonts w:ascii="Verdana" w:hAnsi="Verdana"/>
          <w:i/>
          <w:iCs/>
          <w:color w:val="000000"/>
        </w:rPr>
        <w:t>Isaiah</w:t>
      </w:r>
      <w:r w:rsidRPr="00E031A0">
        <w:rPr>
          <w:rFonts w:ascii="Verdana" w:hAnsi="Verdana"/>
          <w:color w:val="000000"/>
        </w:rPr>
        <w:t>. Kentucky</w:t>
      </w:r>
      <w:bookmarkEnd w:id="3"/>
      <w:r w:rsidRPr="00E031A0">
        <w:rPr>
          <w:rFonts w:ascii="Verdana" w:hAnsi="Verdana"/>
          <w:color w:val="000000"/>
        </w:rPr>
        <w:t>: Westminster John Knox Press.</w:t>
      </w:r>
    </w:p>
    <w:p w14:paraId="3406CB40" w14:textId="77777777" w:rsidR="00CA5091" w:rsidRPr="00E031A0" w:rsidRDefault="00CA5091" w:rsidP="00CA5091">
      <w:pPr>
        <w:rPr>
          <w:rFonts w:ascii="Verdana" w:hAnsi="Verdana"/>
          <w:color w:val="000000"/>
        </w:rPr>
      </w:pPr>
      <w:r w:rsidRPr="00E031A0">
        <w:rPr>
          <w:rFonts w:ascii="Verdana" w:hAnsi="Verdana"/>
          <w:color w:val="000000"/>
        </w:rPr>
        <w:t>Hays, C. B. (2011). Isaiah. In: Coogan, M. D </w:t>
      </w:r>
      <w:r w:rsidRPr="00E031A0">
        <w:rPr>
          <w:rFonts w:ascii="Verdana" w:hAnsi="Verdana"/>
          <w:i/>
          <w:iCs/>
          <w:color w:val="000000"/>
        </w:rPr>
        <w:t>The Oxford Encyclopedia of the Books of the Bible: Volume I</w:t>
      </w:r>
      <w:r w:rsidRPr="00E031A0">
        <w:rPr>
          <w:rFonts w:ascii="Verdana" w:hAnsi="Verdana"/>
          <w:color w:val="000000"/>
        </w:rPr>
        <w:t>. New York: Oxford University Press. pp405-406.</w:t>
      </w:r>
    </w:p>
    <w:p w14:paraId="03B021EE" w14:textId="77777777" w:rsidR="00CA5091" w:rsidRPr="00E031A0" w:rsidRDefault="00CA5091" w:rsidP="00CA5091">
      <w:pPr>
        <w:rPr>
          <w:rFonts w:ascii="Verdana" w:hAnsi="Verdana"/>
          <w:color w:val="000000"/>
        </w:rPr>
      </w:pPr>
      <w:bookmarkStart w:id="4" w:name="_Hlk80340466"/>
      <w:r w:rsidRPr="00E031A0">
        <w:rPr>
          <w:rFonts w:ascii="Verdana" w:hAnsi="Verdana"/>
          <w:color w:val="000000"/>
        </w:rPr>
        <w:t>Hermisson, H-J. (2004). The Fourth Servant Song in the Context of Second Isaiah. In: Janowski, B and Stuhlmacher, P </w:t>
      </w:r>
      <w:r w:rsidRPr="00E031A0">
        <w:rPr>
          <w:rFonts w:ascii="Verdana" w:hAnsi="Verdana"/>
          <w:i/>
          <w:iCs/>
          <w:color w:val="000000"/>
        </w:rPr>
        <w:t>The Suffering Servant: Isaiah 53 in Jewish and Christian Sources</w:t>
      </w:r>
      <w:r w:rsidRPr="00E031A0">
        <w:rPr>
          <w:rFonts w:ascii="Verdana" w:hAnsi="Verdana"/>
          <w:color w:val="000000"/>
        </w:rPr>
        <w:t>. Michigan</w:t>
      </w:r>
      <w:bookmarkEnd w:id="4"/>
      <w:r w:rsidRPr="00E031A0">
        <w:rPr>
          <w:rFonts w:ascii="Verdana" w:hAnsi="Verdana"/>
          <w:color w:val="000000"/>
        </w:rPr>
        <w:t>: Wm. B. Eerdmans Publishing Co. pp16-47.</w:t>
      </w:r>
    </w:p>
    <w:p w14:paraId="17126C79" w14:textId="77777777" w:rsidR="00CA5091" w:rsidRPr="00E031A0" w:rsidRDefault="00CA5091" w:rsidP="00CA5091">
      <w:pPr>
        <w:rPr>
          <w:rFonts w:ascii="Verdana" w:hAnsi="Verdana"/>
          <w:color w:val="000000"/>
        </w:rPr>
      </w:pPr>
      <w:r w:rsidRPr="00E031A0">
        <w:rPr>
          <w:rFonts w:ascii="Verdana" w:hAnsi="Verdana"/>
          <w:color w:val="000000"/>
        </w:rPr>
        <w:t>Hofius, O. (2004). The Fourth Servant Song in the New Testament Letters. In: Janowski, B and Stuhlmacher, P </w:t>
      </w:r>
      <w:r w:rsidRPr="00E031A0">
        <w:rPr>
          <w:rFonts w:ascii="Verdana" w:hAnsi="Verdana"/>
          <w:i/>
          <w:iCs/>
          <w:color w:val="000000"/>
        </w:rPr>
        <w:t>The Suffering Servant: Isaiah 53 in Jewish and Christian Sources</w:t>
      </w:r>
      <w:r w:rsidRPr="00E031A0">
        <w:rPr>
          <w:rFonts w:ascii="Verdana" w:hAnsi="Verdana"/>
          <w:color w:val="000000"/>
        </w:rPr>
        <w:t>. Michigan: Wm. B. Eerdmans Publishing Co. pp163-187.</w:t>
      </w:r>
    </w:p>
    <w:p w14:paraId="38D81C99" w14:textId="77777777" w:rsidR="00CA5091" w:rsidRPr="00E031A0" w:rsidRDefault="00CA5091" w:rsidP="00CA5091">
      <w:pPr>
        <w:rPr>
          <w:rFonts w:ascii="Verdana" w:hAnsi="Verdana"/>
          <w:color w:val="000000"/>
        </w:rPr>
      </w:pPr>
      <w:r w:rsidRPr="00E031A0">
        <w:rPr>
          <w:rFonts w:ascii="Verdana" w:hAnsi="Verdana"/>
          <w:color w:val="000000"/>
        </w:rPr>
        <w:t>Hooker, D. H. (1959). </w:t>
      </w:r>
      <w:r w:rsidRPr="00E031A0">
        <w:rPr>
          <w:rFonts w:ascii="Verdana" w:hAnsi="Verdana"/>
          <w:i/>
          <w:iCs/>
          <w:color w:val="000000"/>
        </w:rPr>
        <w:t>Jesus and the Servant</w:t>
      </w:r>
      <w:r w:rsidRPr="00E031A0">
        <w:rPr>
          <w:rFonts w:ascii="Verdana" w:hAnsi="Verdana"/>
          <w:color w:val="000000"/>
        </w:rPr>
        <w:t>. London: S.P.C.K</w:t>
      </w:r>
    </w:p>
    <w:p w14:paraId="55CDEDBA" w14:textId="77777777" w:rsidR="00CA5091" w:rsidRPr="00E031A0" w:rsidRDefault="00CA5091" w:rsidP="00CA5091">
      <w:pPr>
        <w:rPr>
          <w:rFonts w:ascii="Verdana" w:hAnsi="Verdana"/>
          <w:color w:val="000000"/>
        </w:rPr>
      </w:pPr>
      <w:bookmarkStart w:id="5" w:name="_Hlk80343548"/>
      <w:r w:rsidRPr="00E031A0">
        <w:rPr>
          <w:rFonts w:ascii="Verdana" w:hAnsi="Verdana"/>
          <w:color w:val="000000"/>
        </w:rPr>
        <w:t>Johnson, A. J (2015). </w:t>
      </w:r>
      <w:r w:rsidRPr="00E031A0">
        <w:rPr>
          <w:rFonts w:ascii="Verdana" w:hAnsi="Verdana"/>
          <w:i/>
          <w:iCs/>
          <w:color w:val="000000"/>
        </w:rPr>
        <w:t>Atonement: A Guide for the Perplexed</w:t>
      </w:r>
      <w:r w:rsidRPr="00E031A0">
        <w:rPr>
          <w:rFonts w:ascii="Verdana" w:hAnsi="Verdana"/>
          <w:color w:val="000000"/>
        </w:rPr>
        <w:t xml:space="preserve">. London: </w:t>
      </w:r>
      <w:bookmarkEnd w:id="5"/>
      <w:r w:rsidRPr="00E031A0">
        <w:rPr>
          <w:rFonts w:ascii="Verdana" w:hAnsi="Verdana"/>
          <w:color w:val="000000"/>
        </w:rPr>
        <w:t>Bloomsbury T&amp;T Clark.</w:t>
      </w:r>
    </w:p>
    <w:p w14:paraId="5825D1BC" w14:textId="77777777" w:rsidR="00CA5091" w:rsidRPr="00E031A0" w:rsidRDefault="00CA5091" w:rsidP="00CA5091">
      <w:pPr>
        <w:rPr>
          <w:rFonts w:ascii="Verdana" w:hAnsi="Verdana"/>
          <w:color w:val="000000"/>
        </w:rPr>
      </w:pPr>
      <w:bookmarkStart w:id="6" w:name="_Hlk80341900"/>
      <w:r w:rsidRPr="00E031A0">
        <w:rPr>
          <w:rFonts w:ascii="Verdana" w:hAnsi="Verdana"/>
          <w:color w:val="000000"/>
        </w:rPr>
        <w:t>Knohl, I. (2009). Suffering Servant: from Isaiah to the Dead Sea Scrolls. In: Green, D. A and Lieber L. S </w:t>
      </w:r>
      <w:r w:rsidRPr="00E031A0">
        <w:rPr>
          <w:rFonts w:ascii="Verdana" w:hAnsi="Verdana"/>
          <w:i/>
          <w:iCs/>
          <w:color w:val="000000"/>
        </w:rPr>
        <w:t>Scriptural Exegisis: The Shapes of Culture and the Religious Imagination: Essays in Honour of Michael Fishbane</w:t>
      </w:r>
      <w:r w:rsidRPr="00E031A0">
        <w:rPr>
          <w:rFonts w:ascii="Verdana" w:hAnsi="Verdana"/>
          <w:color w:val="000000"/>
        </w:rPr>
        <w:t>. Oxford</w:t>
      </w:r>
      <w:bookmarkEnd w:id="6"/>
      <w:r w:rsidRPr="00E031A0">
        <w:rPr>
          <w:rFonts w:ascii="Verdana" w:hAnsi="Verdana"/>
          <w:color w:val="000000"/>
        </w:rPr>
        <w:t>: Oxford Scholarship Online. DOI:10.1093/acprof:oso/9780199206575.003.0007.</w:t>
      </w:r>
    </w:p>
    <w:p w14:paraId="3DEBF8FB" w14:textId="77777777" w:rsidR="00CA5091" w:rsidRPr="00E031A0" w:rsidRDefault="00CA5091" w:rsidP="00CA5091">
      <w:pPr>
        <w:rPr>
          <w:rFonts w:ascii="Verdana" w:hAnsi="Verdana"/>
          <w:color w:val="000000"/>
        </w:rPr>
      </w:pPr>
      <w:bookmarkStart w:id="7" w:name="_Hlk80340354"/>
      <w:r w:rsidRPr="00E031A0">
        <w:rPr>
          <w:rFonts w:ascii="Verdana" w:hAnsi="Verdana"/>
          <w:color w:val="000000"/>
        </w:rPr>
        <w:t>Kugel, J. L (2007). </w:t>
      </w:r>
      <w:r w:rsidRPr="00E031A0">
        <w:rPr>
          <w:rFonts w:ascii="Verdana" w:hAnsi="Verdana"/>
          <w:i/>
          <w:iCs/>
          <w:color w:val="000000"/>
        </w:rPr>
        <w:t>How to Read the Bible: A Guide to Scripture Then and Now</w:t>
      </w:r>
      <w:r w:rsidRPr="00E031A0">
        <w:rPr>
          <w:rFonts w:ascii="Verdana" w:hAnsi="Verdana"/>
          <w:color w:val="000000"/>
        </w:rPr>
        <w:t>. New York</w:t>
      </w:r>
      <w:bookmarkEnd w:id="7"/>
      <w:r w:rsidRPr="00E031A0">
        <w:rPr>
          <w:rFonts w:ascii="Verdana" w:hAnsi="Verdana"/>
          <w:color w:val="000000"/>
        </w:rPr>
        <w:t>: Free Press.</w:t>
      </w:r>
    </w:p>
    <w:p w14:paraId="20BB8D4D" w14:textId="77777777" w:rsidR="00CA5091" w:rsidRPr="00E031A0" w:rsidRDefault="00CA5091" w:rsidP="00CA5091">
      <w:pPr>
        <w:rPr>
          <w:rFonts w:ascii="Verdana" w:hAnsi="Verdana"/>
          <w:color w:val="000000"/>
        </w:rPr>
      </w:pPr>
      <w:r w:rsidRPr="00E031A0">
        <w:rPr>
          <w:rFonts w:ascii="Verdana" w:hAnsi="Verdana"/>
          <w:color w:val="000000"/>
        </w:rPr>
        <w:t>Pugh, B (2014). </w:t>
      </w:r>
      <w:r w:rsidRPr="00E031A0">
        <w:rPr>
          <w:rFonts w:ascii="Verdana" w:hAnsi="Verdana"/>
          <w:i/>
          <w:iCs/>
          <w:color w:val="000000"/>
        </w:rPr>
        <w:t>Atonement Theories: A Way Through the Maze</w:t>
      </w:r>
      <w:r w:rsidRPr="00E031A0">
        <w:rPr>
          <w:rFonts w:ascii="Verdana" w:hAnsi="Verdana"/>
          <w:color w:val="000000"/>
        </w:rPr>
        <w:t>. Oregon: Cascade Books.</w:t>
      </w:r>
    </w:p>
    <w:p w14:paraId="56288DD3" w14:textId="77777777" w:rsidR="00CA5091" w:rsidRPr="00E031A0" w:rsidRDefault="00CA5091" w:rsidP="00CA5091">
      <w:pPr>
        <w:rPr>
          <w:rFonts w:ascii="Verdana" w:hAnsi="Verdana"/>
          <w:color w:val="000000"/>
        </w:rPr>
      </w:pPr>
      <w:bookmarkStart w:id="8" w:name="_Hlk80343621"/>
      <w:r w:rsidRPr="00E031A0">
        <w:rPr>
          <w:rFonts w:ascii="Verdana" w:hAnsi="Verdana"/>
          <w:color w:val="000000"/>
        </w:rPr>
        <w:t>Reichenbach, B. R. (1998). "By his stripes we are healed". </w:t>
      </w:r>
      <w:r w:rsidRPr="00E031A0">
        <w:rPr>
          <w:rFonts w:ascii="Verdana" w:hAnsi="Verdana"/>
          <w:i/>
          <w:iCs/>
          <w:color w:val="000000"/>
        </w:rPr>
        <w:t>Journal of the Evangelical Theological Society</w:t>
      </w:r>
      <w:r w:rsidRPr="00E031A0">
        <w:rPr>
          <w:rFonts w:ascii="Verdana" w:hAnsi="Verdana"/>
          <w:color w:val="000000"/>
        </w:rPr>
        <w:t xml:space="preserve">. </w:t>
      </w:r>
      <w:bookmarkEnd w:id="8"/>
      <w:r w:rsidRPr="00E031A0">
        <w:rPr>
          <w:rFonts w:ascii="Verdana" w:hAnsi="Verdana"/>
          <w:color w:val="000000"/>
        </w:rPr>
        <w:t>41 (4), pp551-560.</w:t>
      </w:r>
    </w:p>
    <w:p w14:paraId="6CD5C319" w14:textId="77777777" w:rsidR="00CA5091" w:rsidRPr="00E031A0" w:rsidRDefault="00CA5091" w:rsidP="00CA5091">
      <w:pPr>
        <w:rPr>
          <w:rFonts w:ascii="Verdana" w:hAnsi="Verdana"/>
          <w:color w:val="000000"/>
        </w:rPr>
      </w:pPr>
      <w:bookmarkStart w:id="9" w:name="_Hlk80341324"/>
      <w:r w:rsidRPr="00E031A0">
        <w:rPr>
          <w:rFonts w:ascii="Verdana" w:hAnsi="Verdana"/>
          <w:color w:val="000000"/>
        </w:rPr>
        <w:t>Sawyer, J. F. A. (1993). Isaiah. In: Metzger, B. M. and Coogan, M. D </w:t>
      </w:r>
      <w:r w:rsidRPr="00E031A0">
        <w:rPr>
          <w:rFonts w:ascii="Verdana" w:hAnsi="Verdana"/>
          <w:i/>
          <w:iCs/>
          <w:color w:val="000000"/>
        </w:rPr>
        <w:t>The Oxford Companion to the Bible</w:t>
      </w:r>
      <w:r w:rsidRPr="00E031A0">
        <w:rPr>
          <w:rFonts w:ascii="Verdana" w:hAnsi="Verdana"/>
          <w:color w:val="000000"/>
        </w:rPr>
        <w:t>. New York</w:t>
      </w:r>
      <w:bookmarkEnd w:id="9"/>
      <w:r w:rsidRPr="00E031A0">
        <w:rPr>
          <w:rFonts w:ascii="Verdana" w:hAnsi="Verdana"/>
          <w:color w:val="000000"/>
        </w:rPr>
        <w:t>: Oxford University Press. pp325-329.</w:t>
      </w:r>
    </w:p>
    <w:p w14:paraId="5FAA820D" w14:textId="77777777" w:rsidR="00CA5091" w:rsidRPr="00E031A0" w:rsidRDefault="00CA5091" w:rsidP="00CA5091">
      <w:pPr>
        <w:rPr>
          <w:rFonts w:ascii="Verdana" w:hAnsi="Verdana"/>
          <w:color w:val="000000"/>
        </w:rPr>
      </w:pPr>
      <w:bookmarkStart w:id="10" w:name="_Hlk80340762"/>
      <w:r w:rsidRPr="00E031A0">
        <w:rPr>
          <w:rFonts w:ascii="Verdana" w:hAnsi="Verdana"/>
          <w:color w:val="000000"/>
        </w:rPr>
        <w:t>Sawyer, J. F. A (2020). </w:t>
      </w:r>
      <w:r w:rsidRPr="00E031A0">
        <w:rPr>
          <w:rFonts w:ascii="Verdana" w:hAnsi="Verdana"/>
          <w:i/>
          <w:iCs/>
          <w:color w:val="000000"/>
        </w:rPr>
        <w:t>Isaiah Through the Centuries</w:t>
      </w:r>
      <w:r w:rsidRPr="00E031A0">
        <w:rPr>
          <w:rFonts w:ascii="Verdana" w:hAnsi="Verdana"/>
          <w:color w:val="000000"/>
        </w:rPr>
        <w:t>. Chichester</w:t>
      </w:r>
      <w:bookmarkEnd w:id="10"/>
      <w:r w:rsidRPr="00E031A0">
        <w:rPr>
          <w:rFonts w:ascii="Verdana" w:hAnsi="Verdana"/>
          <w:color w:val="000000"/>
        </w:rPr>
        <w:t>: Wiley Blackwell.</w:t>
      </w:r>
    </w:p>
    <w:p w14:paraId="2B4C2330" w14:textId="77777777" w:rsidR="00CA5091" w:rsidRPr="00E031A0" w:rsidRDefault="00CA5091" w:rsidP="00CA5091">
      <w:pPr>
        <w:rPr>
          <w:rFonts w:ascii="Verdana" w:hAnsi="Verdana"/>
          <w:color w:val="000000"/>
        </w:rPr>
      </w:pPr>
      <w:bookmarkStart w:id="11" w:name="_Hlk80342094"/>
      <w:r w:rsidRPr="00E031A0">
        <w:rPr>
          <w:rFonts w:ascii="Verdana" w:hAnsi="Verdana"/>
          <w:color w:val="000000"/>
        </w:rPr>
        <w:lastRenderedPageBreak/>
        <w:t>Sawyer, J. F. A. (2011). Isaiah. In: Lieb, M et al </w:t>
      </w:r>
      <w:r w:rsidRPr="00E031A0">
        <w:rPr>
          <w:rFonts w:ascii="Verdana" w:hAnsi="Verdana"/>
          <w:i/>
          <w:iCs/>
          <w:color w:val="000000"/>
        </w:rPr>
        <w:t>The Oxford Handbook of the Reception History of the Bible</w:t>
      </w:r>
      <w:r w:rsidRPr="00E031A0">
        <w:rPr>
          <w:rFonts w:ascii="Verdana" w:hAnsi="Verdana"/>
          <w:color w:val="000000"/>
        </w:rPr>
        <w:t>. Oxford</w:t>
      </w:r>
      <w:bookmarkEnd w:id="11"/>
      <w:r w:rsidRPr="00E031A0">
        <w:rPr>
          <w:rFonts w:ascii="Verdana" w:hAnsi="Verdana"/>
          <w:color w:val="000000"/>
        </w:rPr>
        <w:t>: Oxford Handbooks Online. DOI: 10.1093/oxfordhb/9780199204540.003.0005.</w:t>
      </w:r>
    </w:p>
    <w:p w14:paraId="22EEA295" w14:textId="77777777" w:rsidR="00CA5091" w:rsidRPr="00E031A0" w:rsidRDefault="00CA5091" w:rsidP="00CA5091">
      <w:pPr>
        <w:rPr>
          <w:rFonts w:ascii="Verdana" w:hAnsi="Verdana"/>
          <w:color w:val="000000"/>
        </w:rPr>
      </w:pPr>
      <w:r w:rsidRPr="00E031A0">
        <w:rPr>
          <w:rFonts w:ascii="Verdana" w:hAnsi="Verdana"/>
          <w:color w:val="000000"/>
        </w:rPr>
        <w:t>Sommer, B. D. (2014). Isaiah. In: Berlin, A. and Brettler, M. Z. </w:t>
      </w:r>
      <w:r w:rsidRPr="00E031A0">
        <w:rPr>
          <w:rFonts w:ascii="Verdana" w:hAnsi="Verdana"/>
          <w:i/>
          <w:iCs/>
          <w:color w:val="000000"/>
        </w:rPr>
        <w:t>The Jewish Study Bible</w:t>
      </w:r>
      <w:r w:rsidRPr="00E031A0">
        <w:rPr>
          <w:rFonts w:ascii="Verdana" w:hAnsi="Verdana"/>
          <w:color w:val="000000"/>
        </w:rPr>
        <w:t>. New York: Oxford University Press. pp763-900.</w:t>
      </w:r>
    </w:p>
    <w:p w14:paraId="37E0062C" w14:textId="77777777" w:rsidR="00CA5091" w:rsidRPr="00E031A0" w:rsidRDefault="00CA5091" w:rsidP="00CA5091">
      <w:pPr>
        <w:rPr>
          <w:rFonts w:ascii="Verdana" w:hAnsi="Verdana"/>
          <w:color w:val="000000"/>
        </w:rPr>
      </w:pPr>
      <w:r w:rsidRPr="00E031A0">
        <w:rPr>
          <w:rFonts w:ascii="Verdana" w:hAnsi="Verdana"/>
          <w:color w:val="000000"/>
        </w:rPr>
        <w:t>Stuhlmacher, P. (2004). Isaiah 53 in the Gospel and Acts. In: Janowski, B and Stuhlmacher, P </w:t>
      </w:r>
      <w:r w:rsidRPr="00E031A0">
        <w:rPr>
          <w:rFonts w:ascii="Verdana" w:hAnsi="Verdana"/>
          <w:i/>
          <w:iCs/>
          <w:color w:val="000000"/>
        </w:rPr>
        <w:t>The Suffering Servant: Isaiah 53 in Jewish and Christian Sources</w:t>
      </w:r>
      <w:r w:rsidRPr="00E031A0">
        <w:rPr>
          <w:rFonts w:ascii="Verdana" w:hAnsi="Verdana"/>
          <w:color w:val="000000"/>
        </w:rPr>
        <w:t>. Michigan: Wm. B. Eerdmans Publishing Co.</w:t>
      </w:r>
    </w:p>
    <w:p w14:paraId="285989DF" w14:textId="77777777" w:rsidR="00CA5091" w:rsidRPr="00E031A0" w:rsidRDefault="00CA5091" w:rsidP="00CA5091">
      <w:pPr>
        <w:rPr>
          <w:rFonts w:ascii="Verdana" w:hAnsi="Verdana"/>
          <w:color w:val="000000"/>
        </w:rPr>
      </w:pPr>
      <w:bookmarkStart w:id="12" w:name="_Hlk80342317"/>
      <w:r w:rsidRPr="00E031A0">
        <w:rPr>
          <w:rFonts w:ascii="Verdana" w:hAnsi="Verdana"/>
          <w:color w:val="000000"/>
        </w:rPr>
        <w:t>Towey, A (2014). </w:t>
      </w:r>
      <w:r w:rsidRPr="00E031A0">
        <w:rPr>
          <w:rFonts w:ascii="Verdana" w:hAnsi="Verdana"/>
          <w:i/>
          <w:iCs/>
          <w:color w:val="000000"/>
        </w:rPr>
        <w:t>An Introduction to Christian Theology</w:t>
      </w:r>
      <w:r w:rsidRPr="00E031A0">
        <w:rPr>
          <w:rFonts w:ascii="Verdana" w:hAnsi="Verdana"/>
          <w:color w:val="000000"/>
        </w:rPr>
        <w:t>. London</w:t>
      </w:r>
      <w:bookmarkEnd w:id="12"/>
      <w:r w:rsidRPr="00E031A0">
        <w:rPr>
          <w:rFonts w:ascii="Verdana" w:hAnsi="Verdana"/>
          <w:color w:val="000000"/>
        </w:rPr>
        <w:t>: Bloomsbury T&amp;T Clark.</w:t>
      </w:r>
    </w:p>
    <w:p w14:paraId="0E0AF938" w14:textId="77777777" w:rsidR="00CA5091" w:rsidRPr="00E031A0" w:rsidRDefault="00CA5091" w:rsidP="00CA5091">
      <w:pPr>
        <w:rPr>
          <w:rFonts w:ascii="Verdana" w:hAnsi="Verdana"/>
          <w:color w:val="000000"/>
        </w:rPr>
      </w:pPr>
      <w:r w:rsidRPr="00E031A0">
        <w:rPr>
          <w:rFonts w:ascii="Verdana" w:hAnsi="Verdana"/>
          <w:color w:val="000000"/>
        </w:rPr>
        <w:t>Watts, R. E. (1998). Jesus' Death, Isaiah 53, and Mark 10:45: A Crux Revisited. In: Bellinger, W. H. and Farmer, W. R </w:t>
      </w:r>
      <w:r w:rsidRPr="00E031A0">
        <w:rPr>
          <w:rFonts w:ascii="Verdana" w:hAnsi="Verdana"/>
          <w:i/>
          <w:iCs/>
          <w:color w:val="000000"/>
        </w:rPr>
        <w:t>Jesus and the Suffering Servant: Isaiah 53 and Christian Origins</w:t>
      </w:r>
      <w:r w:rsidRPr="00E031A0">
        <w:rPr>
          <w:rFonts w:ascii="Verdana" w:hAnsi="Verdana"/>
          <w:color w:val="000000"/>
        </w:rPr>
        <w:t>. Harrisburg, PA: Trinity Press International. pp125-151.</w:t>
      </w:r>
    </w:p>
    <w:p w14:paraId="56079E94" w14:textId="77777777" w:rsidR="00CA5091" w:rsidRPr="00E031A0" w:rsidRDefault="00CA5091" w:rsidP="00CA5091">
      <w:pPr>
        <w:rPr>
          <w:rFonts w:ascii="Verdana" w:hAnsi="Verdana"/>
          <w:color w:val="000000"/>
        </w:rPr>
      </w:pPr>
      <w:bookmarkStart w:id="13" w:name="_Hlk80340938"/>
      <w:r w:rsidRPr="00E031A0">
        <w:rPr>
          <w:rFonts w:ascii="Verdana" w:hAnsi="Verdana"/>
          <w:color w:val="000000"/>
        </w:rPr>
        <w:t>Whybray, R. N. (1983). </w:t>
      </w:r>
      <w:r w:rsidRPr="00E031A0">
        <w:rPr>
          <w:rFonts w:ascii="Verdana" w:hAnsi="Verdana"/>
          <w:i/>
          <w:iCs/>
          <w:color w:val="000000"/>
        </w:rPr>
        <w:t>The Second Isaiah</w:t>
      </w:r>
      <w:r w:rsidRPr="00E031A0">
        <w:rPr>
          <w:rFonts w:ascii="Verdana" w:hAnsi="Verdana"/>
          <w:color w:val="000000"/>
        </w:rPr>
        <w:t>. Sheffield</w:t>
      </w:r>
      <w:bookmarkEnd w:id="13"/>
      <w:r w:rsidRPr="00E031A0">
        <w:rPr>
          <w:rFonts w:ascii="Verdana" w:hAnsi="Verdana"/>
          <w:color w:val="000000"/>
        </w:rPr>
        <w:t>: JSOT Press.</w:t>
      </w:r>
    </w:p>
    <w:p w14:paraId="7D5B674F" w14:textId="77777777" w:rsidR="00CA5091" w:rsidRPr="00E031A0" w:rsidRDefault="00CA5091" w:rsidP="00CA5091">
      <w:pPr>
        <w:rPr>
          <w:rFonts w:ascii="Verdana" w:hAnsi="Verdana"/>
          <w:lang w:val="en-US"/>
        </w:rPr>
      </w:pPr>
      <w:bookmarkStart w:id="14" w:name="_Hlk80340861"/>
      <w:r w:rsidRPr="00E031A0">
        <w:rPr>
          <w:rFonts w:ascii="Verdana" w:hAnsi="Verdana"/>
          <w:color w:val="000000"/>
        </w:rPr>
        <w:t>Wright, N. T, Seemuth, D. P and Loop, J. (2019). </w:t>
      </w:r>
      <w:r w:rsidRPr="00E031A0">
        <w:rPr>
          <w:rFonts w:ascii="Verdana" w:hAnsi="Verdana"/>
          <w:i/>
          <w:iCs/>
          <w:color w:val="000000"/>
        </w:rPr>
        <w:t>The Servant King.</w:t>
      </w:r>
      <w:r w:rsidRPr="00E031A0">
        <w:rPr>
          <w:rFonts w:ascii="Verdana" w:hAnsi="Verdana"/>
          <w:color w:val="000000"/>
        </w:rPr>
        <w:t> </w:t>
      </w:r>
      <w:bookmarkEnd w:id="14"/>
      <w:r w:rsidRPr="00E031A0">
        <w:rPr>
          <w:rFonts w:ascii="Verdana" w:hAnsi="Verdana"/>
          <w:color w:val="000000"/>
        </w:rPr>
        <w:t>Available: https://www.udemy.com/course/the-servant-king/. Last accessed 15th Aug 2021.</w:t>
      </w:r>
    </w:p>
    <w:p w14:paraId="7EED126A" w14:textId="77777777" w:rsidR="00CA5091" w:rsidRPr="00F23DB5" w:rsidRDefault="00CA5091" w:rsidP="00F23DB5">
      <w:pPr>
        <w:rPr>
          <w:rFonts w:ascii="Verdana" w:hAnsi="Verdana"/>
          <w:lang w:val="en-US"/>
        </w:rPr>
      </w:pPr>
    </w:p>
    <w:sectPr w:rsidR="00CA5091" w:rsidRPr="00F23DB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96342" w14:textId="77777777" w:rsidR="00184E18" w:rsidRDefault="00184E18" w:rsidP="00FF42F2">
      <w:pPr>
        <w:spacing w:after="0" w:line="240" w:lineRule="auto"/>
      </w:pPr>
      <w:r>
        <w:separator/>
      </w:r>
    </w:p>
  </w:endnote>
  <w:endnote w:type="continuationSeparator" w:id="0">
    <w:p w14:paraId="7A1C261E" w14:textId="77777777" w:rsidR="00184E18" w:rsidRDefault="00184E18" w:rsidP="00FF4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C5677" w14:textId="77777777" w:rsidR="00184E18" w:rsidRDefault="00184E18" w:rsidP="00FF42F2">
      <w:pPr>
        <w:spacing w:after="0" w:line="240" w:lineRule="auto"/>
      </w:pPr>
      <w:r>
        <w:separator/>
      </w:r>
    </w:p>
  </w:footnote>
  <w:footnote w:type="continuationSeparator" w:id="0">
    <w:p w14:paraId="5318CEFC" w14:textId="77777777" w:rsidR="00184E18" w:rsidRDefault="00184E18" w:rsidP="00FF42F2">
      <w:pPr>
        <w:spacing w:after="0" w:line="240" w:lineRule="auto"/>
      </w:pPr>
      <w:r>
        <w:continuationSeparator/>
      </w:r>
    </w:p>
  </w:footnote>
  <w:footnote w:id="1">
    <w:p w14:paraId="46AF29A8" w14:textId="6E9A5126" w:rsidR="00A86E8C" w:rsidRPr="00A86E8C" w:rsidRDefault="00A86E8C">
      <w:pPr>
        <w:pStyle w:val="FootnoteText"/>
        <w:rPr>
          <w:lang w:val="en-US"/>
        </w:rPr>
      </w:pPr>
      <w:r w:rsidRPr="00A86E8C">
        <w:rPr>
          <w:rStyle w:val="FootnoteReference"/>
          <w:rFonts w:ascii="Verdana" w:hAnsi="Verdana"/>
        </w:rPr>
        <w:footnoteRef/>
      </w:r>
      <w:r w:rsidRPr="00A86E8C">
        <w:rPr>
          <w:rFonts w:ascii="Verdana" w:hAnsi="Verdana"/>
        </w:rPr>
        <w:t xml:space="preserve"> B. D </w:t>
      </w:r>
      <w:r w:rsidRPr="00A86E8C">
        <w:rPr>
          <w:rFonts w:ascii="Verdana" w:hAnsi="Verdana"/>
          <w:color w:val="000000"/>
        </w:rPr>
        <w:t>Sommer</w:t>
      </w:r>
      <w:r w:rsidR="00FB5131">
        <w:rPr>
          <w:rFonts w:ascii="Verdana" w:hAnsi="Verdana"/>
          <w:color w:val="000000"/>
        </w:rPr>
        <w:t>.</w:t>
      </w:r>
      <w:r>
        <w:rPr>
          <w:rFonts w:ascii="Verdana" w:hAnsi="Verdana"/>
          <w:color w:val="000000"/>
        </w:rPr>
        <w:t xml:space="preserve"> Isaiah. In: Berlin, A. and Brettler, M. Z. </w:t>
      </w:r>
      <w:r>
        <w:rPr>
          <w:rFonts w:ascii="Verdana" w:hAnsi="Verdana"/>
          <w:i/>
          <w:iCs/>
          <w:color w:val="000000"/>
        </w:rPr>
        <w:t>The Jewish Study Bible</w:t>
      </w:r>
      <w:r>
        <w:rPr>
          <w:rFonts w:ascii="Verdana" w:hAnsi="Verdana"/>
          <w:color w:val="000000"/>
        </w:rPr>
        <w:t>.</w:t>
      </w:r>
      <w:r>
        <w:rPr>
          <w:rFonts w:ascii="Verdana" w:hAnsi="Verdana"/>
          <w:color w:val="000000"/>
        </w:rPr>
        <w:t xml:space="preserve"> (2014)</w:t>
      </w:r>
      <w:r>
        <w:rPr>
          <w:rFonts w:ascii="Verdana" w:hAnsi="Verdana"/>
          <w:color w:val="000000"/>
        </w:rPr>
        <w:t xml:space="preserve"> New York</w:t>
      </w:r>
      <w:r>
        <w:rPr>
          <w:rFonts w:ascii="Verdana" w:hAnsi="Verdana"/>
          <w:color w:val="000000"/>
        </w:rPr>
        <w:t xml:space="preserve"> p.763</w:t>
      </w:r>
    </w:p>
  </w:footnote>
  <w:footnote w:id="2">
    <w:p w14:paraId="7A62E4CC" w14:textId="4E01BDE0" w:rsidR="00A86E8C" w:rsidRPr="00A86E8C" w:rsidRDefault="00A86E8C">
      <w:pPr>
        <w:pStyle w:val="FootnoteText"/>
        <w:rPr>
          <w:lang w:val="en-US"/>
        </w:rPr>
      </w:pPr>
      <w:r w:rsidRPr="00A86E8C">
        <w:rPr>
          <w:rStyle w:val="FootnoteReference"/>
          <w:rFonts w:ascii="Verdana" w:hAnsi="Verdana"/>
        </w:rPr>
        <w:footnoteRef/>
      </w:r>
      <w:r w:rsidRPr="00A86E8C">
        <w:rPr>
          <w:rFonts w:ascii="Verdana" w:hAnsi="Verdana"/>
        </w:rPr>
        <w:t xml:space="preserve"> J. </w:t>
      </w:r>
      <w:r w:rsidRPr="00A86E8C">
        <w:rPr>
          <w:rFonts w:ascii="Verdana" w:hAnsi="Verdana"/>
          <w:color w:val="000000"/>
        </w:rPr>
        <w:t>Sawyer</w:t>
      </w:r>
      <w:r>
        <w:rPr>
          <w:rFonts w:ascii="Verdana" w:hAnsi="Verdana"/>
          <w:color w:val="000000"/>
        </w:rPr>
        <w:t>, J. F. A. Isaiah. In: Lieb, M et al </w:t>
      </w:r>
      <w:r>
        <w:rPr>
          <w:rFonts w:ascii="Verdana" w:hAnsi="Verdana"/>
          <w:i/>
          <w:iCs/>
          <w:color w:val="000000"/>
        </w:rPr>
        <w:t>The Oxford Handbook of the Reception History of the Bible</w:t>
      </w:r>
      <w:r>
        <w:rPr>
          <w:rFonts w:ascii="Verdana" w:hAnsi="Verdana"/>
          <w:color w:val="000000"/>
        </w:rPr>
        <w:t xml:space="preserve">. </w:t>
      </w:r>
      <w:r>
        <w:rPr>
          <w:rFonts w:ascii="Verdana" w:hAnsi="Verdana"/>
          <w:color w:val="000000"/>
        </w:rPr>
        <w:t xml:space="preserve">(2011) </w:t>
      </w:r>
      <w:r>
        <w:rPr>
          <w:rFonts w:ascii="Verdana" w:hAnsi="Verdana"/>
          <w:color w:val="000000"/>
        </w:rPr>
        <w:t>Oxford</w:t>
      </w:r>
      <w:r>
        <w:rPr>
          <w:rFonts w:ascii="Verdana" w:hAnsi="Verdana"/>
          <w:color w:val="000000"/>
        </w:rPr>
        <w:t xml:space="preserve"> p.61</w:t>
      </w:r>
    </w:p>
  </w:footnote>
  <w:footnote w:id="3">
    <w:p w14:paraId="6F76346D" w14:textId="0A9EB46A" w:rsidR="00A86E8C" w:rsidRPr="00A86E8C" w:rsidRDefault="00A86E8C">
      <w:pPr>
        <w:pStyle w:val="FootnoteText"/>
        <w:rPr>
          <w:rFonts w:ascii="Verdana" w:hAnsi="Verdana"/>
          <w:lang w:val="en-US"/>
        </w:rPr>
      </w:pPr>
      <w:r w:rsidRPr="00A86E8C">
        <w:rPr>
          <w:rStyle w:val="FootnoteReference"/>
          <w:rFonts w:ascii="Verdana" w:hAnsi="Verdana"/>
        </w:rPr>
        <w:footnoteRef/>
      </w:r>
      <w:r w:rsidRPr="00A86E8C">
        <w:rPr>
          <w:rFonts w:ascii="Verdana" w:hAnsi="Verdana"/>
        </w:rPr>
        <w:t xml:space="preserve"> </w:t>
      </w:r>
      <w:r w:rsidRPr="00A86E8C">
        <w:rPr>
          <w:rFonts w:ascii="Verdana" w:hAnsi="Verdana"/>
          <w:lang w:val="en-US"/>
        </w:rPr>
        <w:t>Ibid p.61</w:t>
      </w:r>
    </w:p>
  </w:footnote>
  <w:footnote w:id="4">
    <w:p w14:paraId="70BB8E91" w14:textId="3F8BDD7F" w:rsidR="00FB5131" w:rsidRPr="00FB5131" w:rsidRDefault="00FB5131">
      <w:pPr>
        <w:pStyle w:val="FootnoteText"/>
        <w:rPr>
          <w:rFonts w:ascii="Verdana" w:hAnsi="Verdana"/>
          <w:lang w:val="en-US"/>
        </w:rPr>
      </w:pPr>
      <w:r>
        <w:rPr>
          <w:rStyle w:val="FootnoteReference"/>
        </w:rPr>
        <w:footnoteRef/>
      </w:r>
      <w:r>
        <w:t xml:space="preserve"> </w:t>
      </w:r>
      <w:r>
        <w:rPr>
          <w:rFonts w:ascii="Verdana" w:hAnsi="Verdana"/>
        </w:rPr>
        <w:t>Sommer. Isaiah p.763</w:t>
      </w:r>
    </w:p>
  </w:footnote>
  <w:footnote w:id="5">
    <w:p w14:paraId="179FE1F4" w14:textId="3FE37D1D" w:rsidR="00FB5131" w:rsidRPr="00FB5131" w:rsidRDefault="00FB5131">
      <w:pPr>
        <w:pStyle w:val="FootnoteText"/>
        <w:rPr>
          <w:lang w:val="en-US"/>
        </w:rPr>
      </w:pPr>
      <w:r>
        <w:rPr>
          <w:rStyle w:val="FootnoteReference"/>
        </w:rPr>
        <w:footnoteRef/>
      </w:r>
      <w:r>
        <w:t xml:space="preserve"> </w:t>
      </w:r>
      <w:r>
        <w:rPr>
          <w:rFonts w:ascii="Verdana" w:hAnsi="Verdana"/>
        </w:rPr>
        <w:t xml:space="preserve">J. L. </w:t>
      </w:r>
      <w:r>
        <w:rPr>
          <w:rFonts w:ascii="Verdana" w:hAnsi="Verdana"/>
          <w:color w:val="000000"/>
        </w:rPr>
        <w:t>Kugel. </w:t>
      </w:r>
      <w:r>
        <w:rPr>
          <w:rFonts w:ascii="Verdana" w:hAnsi="Verdana"/>
          <w:i/>
          <w:iCs/>
          <w:color w:val="000000"/>
        </w:rPr>
        <w:t>How to Read the Bible: A Guide to Scripture Then and Now</w:t>
      </w:r>
      <w:r>
        <w:rPr>
          <w:rFonts w:ascii="Verdana" w:hAnsi="Verdana"/>
          <w:color w:val="000000"/>
        </w:rPr>
        <w:t xml:space="preserve">. </w:t>
      </w:r>
      <w:r>
        <w:rPr>
          <w:rFonts w:ascii="Verdana" w:hAnsi="Verdana"/>
          <w:color w:val="000000"/>
        </w:rPr>
        <w:t xml:space="preserve">(2007) </w:t>
      </w:r>
      <w:r>
        <w:rPr>
          <w:rFonts w:ascii="Verdana" w:hAnsi="Verdana"/>
          <w:color w:val="000000"/>
        </w:rPr>
        <w:t>New York</w:t>
      </w:r>
      <w:r>
        <w:rPr>
          <w:rFonts w:ascii="Verdana" w:hAnsi="Verdana"/>
          <w:color w:val="000000"/>
        </w:rPr>
        <w:t xml:space="preserve"> p.539</w:t>
      </w:r>
    </w:p>
  </w:footnote>
  <w:footnote w:id="6">
    <w:p w14:paraId="66DA5F2E" w14:textId="2E815255" w:rsidR="00FB5131" w:rsidRPr="00FB5131" w:rsidRDefault="00FB5131">
      <w:pPr>
        <w:pStyle w:val="FootnoteText"/>
        <w:rPr>
          <w:lang w:val="en-US"/>
        </w:rPr>
      </w:pPr>
      <w:r>
        <w:rPr>
          <w:rStyle w:val="FootnoteReference"/>
        </w:rPr>
        <w:footnoteRef/>
      </w:r>
      <w:r>
        <w:t xml:space="preserve"> </w:t>
      </w:r>
      <w:r>
        <w:rPr>
          <w:rFonts w:ascii="Verdana" w:hAnsi="Verdana"/>
        </w:rPr>
        <w:t xml:space="preserve">H-J. </w:t>
      </w:r>
      <w:r>
        <w:rPr>
          <w:rFonts w:ascii="Verdana" w:hAnsi="Verdana"/>
          <w:color w:val="000000"/>
        </w:rPr>
        <w:t>Hermisson. The Fourth Servant Song in the Context of Second Isaiah. In: Janowski, B and Stuhlmacher, P </w:t>
      </w:r>
      <w:r>
        <w:rPr>
          <w:rFonts w:ascii="Verdana" w:hAnsi="Verdana"/>
          <w:i/>
          <w:iCs/>
          <w:color w:val="000000"/>
        </w:rPr>
        <w:t>The Suffering Servant: Isaiah 53 in Jewish and Christian Sources</w:t>
      </w:r>
      <w:r>
        <w:rPr>
          <w:rFonts w:ascii="Verdana" w:hAnsi="Verdana"/>
          <w:color w:val="000000"/>
        </w:rPr>
        <w:t xml:space="preserve">. </w:t>
      </w:r>
      <w:r>
        <w:rPr>
          <w:rFonts w:ascii="Verdana" w:hAnsi="Verdana"/>
          <w:color w:val="000000"/>
        </w:rPr>
        <w:t xml:space="preserve">(2004) </w:t>
      </w:r>
      <w:r>
        <w:rPr>
          <w:rFonts w:ascii="Verdana" w:hAnsi="Verdana"/>
          <w:color w:val="000000"/>
        </w:rPr>
        <w:t>Michigan</w:t>
      </w:r>
      <w:r>
        <w:rPr>
          <w:rFonts w:ascii="Verdana" w:hAnsi="Verdana"/>
          <w:color w:val="000000"/>
        </w:rPr>
        <w:t xml:space="preserve"> p.17</w:t>
      </w:r>
    </w:p>
  </w:footnote>
  <w:footnote w:id="7">
    <w:p w14:paraId="63443C90" w14:textId="1FDAF3FA" w:rsidR="00FB5131" w:rsidRPr="00FB5131" w:rsidRDefault="00FB5131">
      <w:pPr>
        <w:pStyle w:val="FootnoteText"/>
        <w:rPr>
          <w:lang w:val="en-US"/>
        </w:rPr>
      </w:pPr>
      <w:r>
        <w:rPr>
          <w:rStyle w:val="FootnoteReference"/>
        </w:rPr>
        <w:footnoteRef/>
      </w:r>
      <w:r>
        <w:t xml:space="preserve"> </w:t>
      </w:r>
      <w:r>
        <w:rPr>
          <w:rFonts w:ascii="Verdana" w:hAnsi="Verdana"/>
        </w:rPr>
        <w:t>Sommer. Isaiah p.76</w:t>
      </w:r>
      <w:r>
        <w:rPr>
          <w:rFonts w:ascii="Verdana" w:hAnsi="Verdana"/>
        </w:rPr>
        <w:t>5</w:t>
      </w:r>
    </w:p>
  </w:footnote>
  <w:footnote w:id="8">
    <w:p w14:paraId="79695DF2" w14:textId="63C777B4" w:rsidR="00FB5131" w:rsidRPr="00FB5131" w:rsidRDefault="00FB5131">
      <w:pPr>
        <w:pStyle w:val="FootnoteText"/>
        <w:rPr>
          <w:lang w:val="en-US"/>
        </w:rPr>
      </w:pPr>
      <w:r>
        <w:rPr>
          <w:rStyle w:val="FootnoteReference"/>
        </w:rPr>
        <w:footnoteRef/>
      </w:r>
      <w:r>
        <w:t xml:space="preserve"> </w:t>
      </w:r>
      <w:r>
        <w:rPr>
          <w:rFonts w:ascii="Verdana" w:hAnsi="Verdana"/>
        </w:rPr>
        <w:t xml:space="preserve">R. </w:t>
      </w:r>
      <w:r>
        <w:rPr>
          <w:rFonts w:ascii="Verdana" w:hAnsi="Verdana"/>
          <w:color w:val="000000"/>
        </w:rPr>
        <w:t>Alter</w:t>
      </w:r>
      <w:r w:rsidR="001505A3">
        <w:rPr>
          <w:rFonts w:ascii="Verdana" w:hAnsi="Verdana"/>
          <w:color w:val="000000"/>
        </w:rPr>
        <w:t xml:space="preserve">. </w:t>
      </w:r>
      <w:r>
        <w:rPr>
          <w:rFonts w:ascii="Verdana" w:hAnsi="Verdana"/>
          <w:i/>
          <w:iCs/>
          <w:color w:val="000000"/>
        </w:rPr>
        <w:t>The Hebrew Bible: Volume 2; Prophets</w:t>
      </w:r>
      <w:r>
        <w:rPr>
          <w:rFonts w:ascii="Verdana" w:hAnsi="Verdana"/>
          <w:color w:val="000000"/>
        </w:rPr>
        <w:t xml:space="preserve">. </w:t>
      </w:r>
      <w:r>
        <w:rPr>
          <w:rFonts w:ascii="Verdana" w:hAnsi="Verdana"/>
          <w:color w:val="000000"/>
        </w:rPr>
        <w:t xml:space="preserve">(2019) </w:t>
      </w:r>
      <w:r>
        <w:rPr>
          <w:rFonts w:ascii="Verdana" w:hAnsi="Verdana"/>
          <w:color w:val="000000"/>
        </w:rPr>
        <w:t>New York</w:t>
      </w:r>
      <w:r>
        <w:rPr>
          <w:rFonts w:ascii="Verdana" w:hAnsi="Verdana"/>
          <w:color w:val="000000"/>
        </w:rPr>
        <w:t xml:space="preserve"> p.617-618</w:t>
      </w:r>
    </w:p>
  </w:footnote>
  <w:footnote w:id="9">
    <w:p w14:paraId="1174080B" w14:textId="0FF8BDF5" w:rsidR="002B1603" w:rsidRPr="002B1603" w:rsidRDefault="002B1603">
      <w:pPr>
        <w:pStyle w:val="FootnoteText"/>
        <w:rPr>
          <w:lang w:val="en-US"/>
        </w:rPr>
      </w:pPr>
      <w:r>
        <w:rPr>
          <w:rStyle w:val="FootnoteReference"/>
        </w:rPr>
        <w:footnoteRef/>
      </w:r>
      <w:r>
        <w:t xml:space="preserve"> </w:t>
      </w:r>
      <w:r w:rsidR="001505A3">
        <w:rPr>
          <w:rFonts w:ascii="Verdana" w:hAnsi="Verdana"/>
        </w:rPr>
        <w:t>Sommer. Isaiah p.76</w:t>
      </w:r>
      <w:r w:rsidR="001505A3">
        <w:rPr>
          <w:rFonts w:ascii="Verdana" w:hAnsi="Verdana"/>
        </w:rPr>
        <w:t>6</w:t>
      </w:r>
    </w:p>
  </w:footnote>
  <w:footnote w:id="10">
    <w:p w14:paraId="36871F71" w14:textId="2BC89AFC" w:rsidR="001505A3" w:rsidRPr="001505A3" w:rsidRDefault="001505A3">
      <w:pPr>
        <w:pStyle w:val="FootnoteText"/>
        <w:rPr>
          <w:lang w:val="en-US"/>
        </w:rPr>
      </w:pPr>
      <w:r>
        <w:rPr>
          <w:rStyle w:val="FootnoteReference"/>
        </w:rPr>
        <w:footnoteRef/>
      </w:r>
      <w:r>
        <w:t xml:space="preserve"> </w:t>
      </w:r>
      <w:r>
        <w:rPr>
          <w:rFonts w:ascii="Verdana" w:hAnsi="Verdana"/>
        </w:rPr>
        <w:t xml:space="preserve">R. </w:t>
      </w:r>
      <w:r>
        <w:rPr>
          <w:rFonts w:ascii="Verdana" w:hAnsi="Verdana"/>
          <w:color w:val="000000"/>
        </w:rPr>
        <w:t xml:space="preserve">Alter. </w:t>
      </w:r>
      <w:r>
        <w:rPr>
          <w:rFonts w:ascii="Verdana" w:hAnsi="Verdana"/>
          <w:i/>
          <w:iCs/>
          <w:color w:val="000000"/>
        </w:rPr>
        <w:t>The Hebrew Bible: Volume</w:t>
      </w:r>
      <w:r>
        <w:rPr>
          <w:rFonts w:ascii="Verdana" w:hAnsi="Verdana"/>
          <w:i/>
          <w:iCs/>
          <w:color w:val="000000"/>
        </w:rPr>
        <w:t xml:space="preserve"> </w:t>
      </w:r>
      <w:r>
        <w:rPr>
          <w:rFonts w:ascii="Verdana" w:hAnsi="Verdana"/>
          <w:color w:val="000000"/>
        </w:rPr>
        <w:t>p.618</w:t>
      </w:r>
    </w:p>
  </w:footnote>
  <w:footnote w:id="11">
    <w:p w14:paraId="16F443CB" w14:textId="55DE15D2" w:rsidR="001505A3" w:rsidRPr="001505A3" w:rsidRDefault="001505A3">
      <w:pPr>
        <w:pStyle w:val="FootnoteText"/>
        <w:rPr>
          <w:lang w:val="en-US"/>
        </w:rPr>
      </w:pPr>
      <w:r>
        <w:rPr>
          <w:rStyle w:val="FootnoteReference"/>
        </w:rPr>
        <w:footnoteRef/>
      </w:r>
      <w:r>
        <w:t xml:space="preserve"> </w:t>
      </w:r>
      <w:r>
        <w:rPr>
          <w:rFonts w:ascii="Verdana" w:hAnsi="Verdana"/>
          <w:color w:val="000000"/>
        </w:rPr>
        <w:t>J. F. A Sawyer</w:t>
      </w:r>
      <w:r>
        <w:rPr>
          <w:rFonts w:ascii="Verdana" w:hAnsi="Verdana"/>
          <w:color w:val="000000"/>
        </w:rPr>
        <w:t>.</w:t>
      </w:r>
      <w:r>
        <w:rPr>
          <w:rFonts w:ascii="Verdana" w:hAnsi="Verdana"/>
          <w:color w:val="000000"/>
        </w:rPr>
        <w:t xml:space="preserve"> </w:t>
      </w:r>
      <w:r>
        <w:rPr>
          <w:rFonts w:ascii="Verdana" w:hAnsi="Verdana"/>
          <w:i/>
          <w:iCs/>
          <w:color w:val="000000"/>
        </w:rPr>
        <w:t>Isaiah Through the Centuries</w:t>
      </w:r>
      <w:r>
        <w:rPr>
          <w:rFonts w:ascii="Verdana" w:hAnsi="Verdana"/>
          <w:color w:val="000000"/>
        </w:rPr>
        <w:t>. (2020) Chichester</w:t>
      </w:r>
      <w:r>
        <w:rPr>
          <w:rFonts w:ascii="Verdana" w:hAnsi="Verdana"/>
          <w:color w:val="000000"/>
        </w:rPr>
        <w:t xml:space="preserve"> p.309</w:t>
      </w:r>
    </w:p>
  </w:footnote>
  <w:footnote w:id="12">
    <w:p w14:paraId="714E6174" w14:textId="5AF20F56" w:rsidR="001505A3" w:rsidRPr="001505A3" w:rsidRDefault="001505A3">
      <w:pPr>
        <w:pStyle w:val="FootnoteText"/>
        <w:rPr>
          <w:lang w:val="en-US"/>
        </w:rPr>
      </w:pPr>
      <w:r>
        <w:rPr>
          <w:rStyle w:val="FootnoteReference"/>
        </w:rPr>
        <w:footnoteRef/>
      </w:r>
      <w:r>
        <w:t xml:space="preserve"> </w:t>
      </w:r>
      <w:r>
        <w:rPr>
          <w:rFonts w:ascii="Verdana" w:hAnsi="Verdana"/>
        </w:rPr>
        <w:t xml:space="preserve">N. T. </w:t>
      </w:r>
      <w:r>
        <w:rPr>
          <w:rFonts w:ascii="Verdana" w:hAnsi="Verdana"/>
          <w:color w:val="000000"/>
        </w:rPr>
        <w:t xml:space="preserve">Wright, </w:t>
      </w:r>
      <w:r>
        <w:rPr>
          <w:rFonts w:ascii="Verdana" w:hAnsi="Verdana"/>
          <w:color w:val="000000"/>
        </w:rPr>
        <w:t xml:space="preserve">D. P. </w:t>
      </w:r>
      <w:r>
        <w:rPr>
          <w:rFonts w:ascii="Verdana" w:hAnsi="Verdana"/>
          <w:color w:val="000000"/>
        </w:rPr>
        <w:t xml:space="preserve">Seemuth and </w:t>
      </w:r>
      <w:r>
        <w:rPr>
          <w:rFonts w:ascii="Verdana" w:hAnsi="Verdana"/>
          <w:color w:val="000000"/>
        </w:rPr>
        <w:t xml:space="preserve">J. </w:t>
      </w:r>
      <w:r>
        <w:rPr>
          <w:rFonts w:ascii="Verdana" w:hAnsi="Verdana"/>
          <w:color w:val="000000"/>
        </w:rPr>
        <w:t>Loop</w:t>
      </w:r>
      <w:r>
        <w:rPr>
          <w:rFonts w:ascii="Verdana" w:hAnsi="Verdana"/>
          <w:color w:val="000000"/>
        </w:rPr>
        <w:t xml:space="preserve">. </w:t>
      </w:r>
      <w:r>
        <w:rPr>
          <w:rFonts w:ascii="Verdana" w:hAnsi="Verdana"/>
          <w:i/>
          <w:iCs/>
          <w:color w:val="000000"/>
        </w:rPr>
        <w:t>The Servant King.</w:t>
      </w:r>
      <w:r w:rsidRPr="001505A3">
        <w:rPr>
          <w:rFonts w:ascii="Verdana" w:hAnsi="Verdana"/>
          <w:color w:val="000000"/>
        </w:rPr>
        <w:t xml:space="preserve"> </w:t>
      </w:r>
      <w:r>
        <w:rPr>
          <w:rFonts w:ascii="Verdana" w:hAnsi="Verdana"/>
          <w:color w:val="000000"/>
        </w:rPr>
        <w:t>(2019) </w:t>
      </w:r>
      <w:r>
        <w:rPr>
          <w:rFonts w:ascii="Verdana" w:hAnsi="Verdana"/>
          <w:color w:val="000000"/>
        </w:rPr>
        <w:t>Episode 2 (4:06min)</w:t>
      </w:r>
      <w:r>
        <w:rPr>
          <w:rFonts w:ascii="Verdana" w:hAnsi="Verdana"/>
          <w:color w:val="000000"/>
        </w:rPr>
        <w:t> </w:t>
      </w:r>
    </w:p>
  </w:footnote>
  <w:footnote w:id="13">
    <w:p w14:paraId="6236F9FC" w14:textId="72E2B02A" w:rsidR="001505A3" w:rsidRPr="001505A3" w:rsidRDefault="001505A3">
      <w:pPr>
        <w:pStyle w:val="FootnoteText"/>
        <w:rPr>
          <w:lang w:val="en-US"/>
        </w:rPr>
      </w:pPr>
      <w:r>
        <w:rPr>
          <w:rStyle w:val="FootnoteReference"/>
        </w:rPr>
        <w:footnoteRef/>
      </w:r>
      <w:r>
        <w:t xml:space="preserve"> </w:t>
      </w:r>
      <w:r>
        <w:rPr>
          <w:rFonts w:ascii="Verdana" w:hAnsi="Verdana"/>
          <w:color w:val="000000"/>
        </w:rPr>
        <w:t>R. N. Whybray. </w:t>
      </w:r>
      <w:r>
        <w:rPr>
          <w:rFonts w:ascii="Verdana" w:hAnsi="Verdana"/>
          <w:i/>
          <w:iCs/>
          <w:color w:val="000000"/>
        </w:rPr>
        <w:t>The Second Isaiah</w:t>
      </w:r>
      <w:r>
        <w:rPr>
          <w:rFonts w:ascii="Verdana" w:hAnsi="Verdana"/>
          <w:color w:val="000000"/>
        </w:rPr>
        <w:t xml:space="preserve">. </w:t>
      </w:r>
      <w:r>
        <w:rPr>
          <w:rFonts w:ascii="Verdana" w:hAnsi="Verdana"/>
          <w:color w:val="000000"/>
        </w:rPr>
        <w:t xml:space="preserve">(1983) </w:t>
      </w:r>
      <w:r>
        <w:rPr>
          <w:rFonts w:ascii="Verdana" w:hAnsi="Verdana"/>
          <w:color w:val="000000"/>
        </w:rPr>
        <w:t>Sheffield</w:t>
      </w:r>
      <w:r>
        <w:rPr>
          <w:rFonts w:ascii="Verdana" w:hAnsi="Verdana"/>
          <w:color w:val="000000"/>
        </w:rPr>
        <w:t xml:space="preserve"> p.45</w:t>
      </w:r>
    </w:p>
  </w:footnote>
  <w:footnote w:id="14">
    <w:p w14:paraId="1FD491FB" w14:textId="67B53B43" w:rsidR="001505A3" w:rsidRPr="001505A3" w:rsidRDefault="001505A3">
      <w:pPr>
        <w:pStyle w:val="FootnoteText"/>
        <w:rPr>
          <w:rFonts w:ascii="Verdana" w:hAnsi="Verdana"/>
          <w:lang w:val="en-US"/>
        </w:rPr>
      </w:pPr>
      <w:r>
        <w:rPr>
          <w:rStyle w:val="FootnoteReference"/>
        </w:rPr>
        <w:footnoteRef/>
      </w:r>
      <w:r>
        <w:t xml:space="preserve"> </w:t>
      </w:r>
      <w:r>
        <w:rPr>
          <w:rFonts w:ascii="Verdana" w:hAnsi="Verdana"/>
          <w:lang w:val="en-US"/>
        </w:rPr>
        <w:t>Ibid p.45</w:t>
      </w:r>
    </w:p>
  </w:footnote>
  <w:footnote w:id="15">
    <w:p w14:paraId="19AA91B9" w14:textId="5C1B9BAD" w:rsidR="001505A3" w:rsidRPr="001505A3" w:rsidRDefault="001505A3">
      <w:pPr>
        <w:pStyle w:val="FootnoteText"/>
        <w:rPr>
          <w:lang w:val="en-US"/>
        </w:rPr>
      </w:pPr>
      <w:r>
        <w:rPr>
          <w:rStyle w:val="FootnoteReference"/>
        </w:rPr>
        <w:footnoteRef/>
      </w:r>
      <w:r>
        <w:t xml:space="preserve"> </w:t>
      </w:r>
      <w:r>
        <w:rPr>
          <w:rFonts w:ascii="Verdana" w:hAnsi="Verdana"/>
        </w:rPr>
        <w:t>Sommer. Isaiah p.76</w:t>
      </w:r>
      <w:r>
        <w:rPr>
          <w:rFonts w:ascii="Verdana" w:hAnsi="Verdana"/>
        </w:rPr>
        <w:t>5</w:t>
      </w:r>
    </w:p>
  </w:footnote>
  <w:footnote w:id="16">
    <w:p w14:paraId="22A35CE6" w14:textId="784B2ECC" w:rsidR="001505A3" w:rsidRPr="001505A3" w:rsidRDefault="001505A3">
      <w:pPr>
        <w:pStyle w:val="FootnoteText"/>
        <w:rPr>
          <w:lang w:val="en-US"/>
        </w:rPr>
      </w:pPr>
      <w:r>
        <w:rPr>
          <w:rStyle w:val="FootnoteReference"/>
        </w:rPr>
        <w:footnoteRef/>
      </w:r>
      <w:r>
        <w:t xml:space="preserve"> </w:t>
      </w:r>
      <w:r>
        <w:rPr>
          <w:rFonts w:ascii="Verdana" w:hAnsi="Verdana"/>
          <w:color w:val="000000"/>
        </w:rPr>
        <w:t xml:space="preserve">Wright, </w:t>
      </w:r>
      <w:r>
        <w:rPr>
          <w:rFonts w:ascii="Verdana" w:hAnsi="Verdana"/>
          <w:color w:val="000000"/>
        </w:rPr>
        <w:t>et al.</w:t>
      </w:r>
      <w:r>
        <w:rPr>
          <w:rFonts w:ascii="Verdana" w:hAnsi="Verdana"/>
          <w:color w:val="000000"/>
        </w:rPr>
        <w:t> </w:t>
      </w:r>
      <w:r>
        <w:rPr>
          <w:rFonts w:ascii="Verdana" w:hAnsi="Verdana"/>
          <w:i/>
          <w:iCs/>
          <w:color w:val="000000"/>
        </w:rPr>
        <w:t>The Servant King.</w:t>
      </w:r>
      <w:r>
        <w:rPr>
          <w:rFonts w:ascii="Verdana" w:hAnsi="Verdana"/>
          <w:color w:val="000000"/>
        </w:rPr>
        <w:t xml:space="preserve"> Episode 2 (</w:t>
      </w:r>
      <w:r>
        <w:rPr>
          <w:rFonts w:ascii="Verdana" w:hAnsi="Verdana"/>
          <w:color w:val="000000"/>
        </w:rPr>
        <w:t>5</w:t>
      </w:r>
      <w:r>
        <w:rPr>
          <w:rFonts w:ascii="Verdana" w:hAnsi="Verdana"/>
          <w:color w:val="000000"/>
        </w:rPr>
        <w:t>:0</w:t>
      </w:r>
      <w:r>
        <w:rPr>
          <w:rFonts w:ascii="Verdana" w:hAnsi="Verdana"/>
          <w:color w:val="000000"/>
        </w:rPr>
        <w:t>7</w:t>
      </w:r>
      <w:r>
        <w:rPr>
          <w:rFonts w:ascii="Verdana" w:hAnsi="Verdana"/>
          <w:color w:val="000000"/>
        </w:rPr>
        <w:t>min) </w:t>
      </w:r>
    </w:p>
  </w:footnote>
  <w:footnote w:id="17">
    <w:p w14:paraId="0BF46856" w14:textId="0E18A05D" w:rsidR="001505A3" w:rsidRPr="001505A3" w:rsidRDefault="001505A3">
      <w:pPr>
        <w:pStyle w:val="FootnoteText"/>
        <w:rPr>
          <w:lang w:val="en-US"/>
        </w:rPr>
      </w:pPr>
      <w:r>
        <w:rPr>
          <w:rStyle w:val="FootnoteReference"/>
        </w:rPr>
        <w:footnoteRef/>
      </w:r>
      <w:r>
        <w:t xml:space="preserve"> </w:t>
      </w:r>
      <w:r>
        <w:rPr>
          <w:rFonts w:ascii="Verdana" w:hAnsi="Verdana"/>
          <w:color w:val="000000"/>
        </w:rPr>
        <w:t>Whybray. </w:t>
      </w:r>
      <w:r>
        <w:rPr>
          <w:rFonts w:ascii="Verdana" w:hAnsi="Verdana"/>
          <w:i/>
          <w:iCs/>
          <w:color w:val="000000"/>
        </w:rPr>
        <w:t>The Second Isaiah</w:t>
      </w:r>
      <w:r>
        <w:rPr>
          <w:rFonts w:ascii="Verdana" w:hAnsi="Verdana"/>
          <w:color w:val="000000"/>
        </w:rPr>
        <w:t xml:space="preserve"> p.66</w:t>
      </w:r>
    </w:p>
  </w:footnote>
  <w:footnote w:id="18">
    <w:p w14:paraId="020B724A" w14:textId="470E3E50" w:rsidR="00801143" w:rsidRPr="00801143" w:rsidRDefault="00801143">
      <w:pPr>
        <w:pStyle w:val="FootnoteText"/>
        <w:rPr>
          <w:lang w:val="en-US"/>
        </w:rPr>
      </w:pPr>
      <w:r>
        <w:rPr>
          <w:rStyle w:val="FootnoteReference"/>
        </w:rPr>
        <w:footnoteRef/>
      </w:r>
      <w:r>
        <w:t xml:space="preserve"> </w:t>
      </w:r>
      <w:r>
        <w:rPr>
          <w:rFonts w:ascii="Verdana" w:hAnsi="Verdana"/>
          <w:color w:val="000000"/>
        </w:rPr>
        <w:t>Wright, et al. </w:t>
      </w:r>
      <w:r>
        <w:rPr>
          <w:rFonts w:ascii="Verdana" w:hAnsi="Verdana"/>
          <w:i/>
          <w:iCs/>
          <w:color w:val="000000"/>
        </w:rPr>
        <w:t>The Servant King.</w:t>
      </w:r>
      <w:r>
        <w:rPr>
          <w:rFonts w:ascii="Verdana" w:hAnsi="Verdana"/>
          <w:color w:val="000000"/>
        </w:rPr>
        <w:t xml:space="preserve"> Episode 2 (</w:t>
      </w:r>
      <w:r>
        <w:rPr>
          <w:rFonts w:ascii="Verdana" w:hAnsi="Verdana"/>
          <w:color w:val="000000"/>
        </w:rPr>
        <w:t>13</w:t>
      </w:r>
      <w:r>
        <w:rPr>
          <w:rFonts w:ascii="Verdana" w:hAnsi="Verdana"/>
          <w:color w:val="000000"/>
        </w:rPr>
        <w:t>:07min) </w:t>
      </w:r>
    </w:p>
  </w:footnote>
  <w:footnote w:id="19">
    <w:p w14:paraId="68A3C465" w14:textId="275995B4" w:rsidR="00801143" w:rsidRPr="00801143" w:rsidRDefault="00801143">
      <w:pPr>
        <w:pStyle w:val="FootnoteText"/>
        <w:rPr>
          <w:rFonts w:ascii="Verdana" w:hAnsi="Verdana"/>
          <w:lang w:val="en-US"/>
        </w:rPr>
      </w:pPr>
      <w:r>
        <w:rPr>
          <w:rStyle w:val="FootnoteReference"/>
        </w:rPr>
        <w:footnoteRef/>
      </w:r>
      <w:r>
        <w:t xml:space="preserve"> </w:t>
      </w:r>
      <w:r>
        <w:rPr>
          <w:rFonts w:ascii="Verdana" w:hAnsi="Verdana"/>
          <w:lang w:val="en-US"/>
        </w:rPr>
        <w:t>Ibid (13:32)</w:t>
      </w:r>
    </w:p>
  </w:footnote>
  <w:footnote w:id="20">
    <w:p w14:paraId="3E7B0F6D" w14:textId="7126C7CB" w:rsidR="00801143" w:rsidRPr="00801143" w:rsidRDefault="00801143">
      <w:pPr>
        <w:pStyle w:val="FootnoteText"/>
        <w:rPr>
          <w:lang w:val="en-US"/>
        </w:rPr>
      </w:pPr>
      <w:r>
        <w:rPr>
          <w:rStyle w:val="FootnoteReference"/>
        </w:rPr>
        <w:footnoteRef/>
      </w:r>
      <w:r>
        <w:t xml:space="preserve"> </w:t>
      </w:r>
      <w:r>
        <w:rPr>
          <w:rFonts w:ascii="Verdana" w:hAnsi="Verdana"/>
          <w:color w:val="000000"/>
        </w:rPr>
        <w:t>J. F. A. Sawyer</w:t>
      </w:r>
      <w:r>
        <w:rPr>
          <w:rFonts w:ascii="Verdana" w:hAnsi="Verdana"/>
          <w:color w:val="000000"/>
        </w:rPr>
        <w:t>.</w:t>
      </w:r>
      <w:r>
        <w:rPr>
          <w:rFonts w:ascii="Verdana" w:hAnsi="Verdana"/>
          <w:color w:val="000000"/>
        </w:rPr>
        <w:t xml:space="preserve"> Isaiah. In: Metzger, B. M. and Coogan, M. D </w:t>
      </w:r>
      <w:r>
        <w:rPr>
          <w:rFonts w:ascii="Verdana" w:hAnsi="Verdana"/>
          <w:i/>
          <w:iCs/>
          <w:color w:val="000000"/>
        </w:rPr>
        <w:t>The Oxford Companion to the Bible</w:t>
      </w:r>
      <w:r>
        <w:rPr>
          <w:rFonts w:ascii="Verdana" w:hAnsi="Verdana"/>
          <w:color w:val="000000"/>
        </w:rPr>
        <w:t>.</w:t>
      </w:r>
      <w:r w:rsidRPr="00801143">
        <w:rPr>
          <w:rFonts w:ascii="Verdana" w:hAnsi="Verdana"/>
          <w:color w:val="000000"/>
        </w:rPr>
        <w:t xml:space="preserve"> </w:t>
      </w:r>
      <w:r>
        <w:rPr>
          <w:rFonts w:ascii="Verdana" w:hAnsi="Verdana"/>
          <w:color w:val="000000"/>
        </w:rPr>
        <w:t>(1993) New York</w:t>
      </w:r>
      <w:r>
        <w:rPr>
          <w:rFonts w:ascii="Verdana" w:hAnsi="Verdana"/>
          <w:color w:val="000000"/>
        </w:rPr>
        <w:t xml:space="preserve"> p.328</w:t>
      </w:r>
    </w:p>
  </w:footnote>
  <w:footnote w:id="21">
    <w:p w14:paraId="1039BD3F" w14:textId="71B55232" w:rsidR="00801143" w:rsidRPr="00801143" w:rsidRDefault="00801143">
      <w:pPr>
        <w:pStyle w:val="FootnoteText"/>
        <w:rPr>
          <w:lang w:val="en-US"/>
        </w:rPr>
      </w:pPr>
      <w:r>
        <w:rPr>
          <w:rStyle w:val="FootnoteReference"/>
        </w:rPr>
        <w:footnoteRef/>
      </w:r>
      <w:r>
        <w:t xml:space="preserve"> </w:t>
      </w:r>
      <w:r>
        <w:rPr>
          <w:rFonts w:ascii="Verdana" w:hAnsi="Verdana"/>
          <w:color w:val="000000"/>
        </w:rPr>
        <w:t>B</w:t>
      </w:r>
      <w:r>
        <w:rPr>
          <w:rFonts w:ascii="Verdana" w:hAnsi="Verdana"/>
          <w:color w:val="000000"/>
        </w:rPr>
        <w:t xml:space="preserve">. </w:t>
      </w:r>
      <w:r>
        <w:rPr>
          <w:rFonts w:ascii="Verdana" w:hAnsi="Verdana"/>
          <w:color w:val="000000"/>
        </w:rPr>
        <w:t>Childs</w:t>
      </w:r>
      <w:r>
        <w:rPr>
          <w:rFonts w:ascii="Verdana" w:hAnsi="Verdana"/>
          <w:color w:val="000000"/>
        </w:rPr>
        <w:t>.</w:t>
      </w:r>
      <w:r>
        <w:rPr>
          <w:rFonts w:ascii="Verdana" w:hAnsi="Verdana"/>
          <w:color w:val="000000"/>
        </w:rPr>
        <w:t xml:space="preserve"> </w:t>
      </w:r>
      <w:r>
        <w:rPr>
          <w:rFonts w:ascii="Verdana" w:hAnsi="Verdana"/>
          <w:i/>
          <w:iCs/>
          <w:color w:val="000000"/>
        </w:rPr>
        <w:t>Isaiah</w:t>
      </w:r>
      <w:r>
        <w:rPr>
          <w:rFonts w:ascii="Verdana" w:hAnsi="Verdana"/>
          <w:color w:val="000000"/>
        </w:rPr>
        <w:t>.</w:t>
      </w:r>
      <w:r w:rsidRPr="00801143">
        <w:rPr>
          <w:rFonts w:ascii="Verdana" w:hAnsi="Verdana"/>
          <w:color w:val="000000"/>
        </w:rPr>
        <w:t xml:space="preserve"> </w:t>
      </w:r>
      <w:r>
        <w:rPr>
          <w:rFonts w:ascii="Verdana" w:hAnsi="Verdana"/>
          <w:color w:val="000000"/>
        </w:rPr>
        <w:t>(2001) Kentucky</w:t>
      </w:r>
      <w:r>
        <w:rPr>
          <w:rFonts w:ascii="Verdana" w:hAnsi="Verdana"/>
          <w:color w:val="000000"/>
        </w:rPr>
        <w:t xml:space="preserve"> p.410</w:t>
      </w:r>
    </w:p>
  </w:footnote>
  <w:footnote w:id="22">
    <w:p w14:paraId="3FA9CAEA" w14:textId="3315E1D3" w:rsidR="00801143" w:rsidRPr="00801143" w:rsidRDefault="00801143">
      <w:pPr>
        <w:pStyle w:val="FootnoteText"/>
        <w:rPr>
          <w:lang w:val="en-US"/>
        </w:rPr>
      </w:pPr>
      <w:r>
        <w:rPr>
          <w:rStyle w:val="FootnoteReference"/>
        </w:rPr>
        <w:footnoteRef/>
      </w:r>
      <w:r>
        <w:t xml:space="preserve"> </w:t>
      </w:r>
      <w:r>
        <w:rPr>
          <w:rFonts w:ascii="Verdana" w:hAnsi="Verdana"/>
          <w:color w:val="000000"/>
        </w:rPr>
        <w:t>Wright, et al. </w:t>
      </w:r>
      <w:r>
        <w:rPr>
          <w:rFonts w:ascii="Verdana" w:hAnsi="Verdana"/>
          <w:i/>
          <w:iCs/>
          <w:color w:val="000000"/>
        </w:rPr>
        <w:t>The Servant King.</w:t>
      </w:r>
      <w:r>
        <w:rPr>
          <w:rFonts w:ascii="Verdana" w:hAnsi="Verdana"/>
          <w:color w:val="000000"/>
        </w:rPr>
        <w:t xml:space="preserve"> Episode </w:t>
      </w:r>
      <w:r>
        <w:rPr>
          <w:rFonts w:ascii="Verdana" w:hAnsi="Verdana"/>
          <w:color w:val="000000"/>
        </w:rPr>
        <w:t>9</w:t>
      </w:r>
    </w:p>
  </w:footnote>
  <w:footnote w:id="23">
    <w:p w14:paraId="64BA426E" w14:textId="41F94E1F" w:rsidR="00801143" w:rsidRPr="00801143" w:rsidRDefault="00801143">
      <w:pPr>
        <w:pStyle w:val="FootnoteText"/>
        <w:rPr>
          <w:lang w:val="en-US"/>
        </w:rPr>
      </w:pPr>
      <w:r>
        <w:rPr>
          <w:rStyle w:val="FootnoteReference"/>
        </w:rPr>
        <w:footnoteRef/>
      </w:r>
      <w:r>
        <w:t xml:space="preserve"> </w:t>
      </w:r>
      <w:r>
        <w:rPr>
          <w:rFonts w:ascii="Verdana" w:hAnsi="Verdana"/>
          <w:color w:val="000000"/>
        </w:rPr>
        <w:t>Sawyer. Isaiah. In: Metzger, B. M. and Coogan, M. D </w:t>
      </w:r>
      <w:r>
        <w:rPr>
          <w:rFonts w:ascii="Verdana" w:hAnsi="Verdana"/>
          <w:i/>
          <w:iCs/>
          <w:color w:val="000000"/>
        </w:rPr>
        <w:t>The Oxford Companion to the Bible</w:t>
      </w:r>
      <w:r>
        <w:rPr>
          <w:rFonts w:ascii="Verdana" w:hAnsi="Verdana"/>
          <w:color w:val="000000"/>
        </w:rPr>
        <w:t xml:space="preserve"> p.328</w:t>
      </w:r>
    </w:p>
  </w:footnote>
  <w:footnote w:id="24">
    <w:p w14:paraId="43B0A07A" w14:textId="018AB7E8" w:rsidR="00801143" w:rsidRPr="00801143" w:rsidRDefault="00801143">
      <w:pPr>
        <w:pStyle w:val="FootnoteText"/>
        <w:rPr>
          <w:lang w:val="en-US"/>
        </w:rPr>
      </w:pPr>
      <w:r>
        <w:rPr>
          <w:rStyle w:val="FootnoteReference"/>
        </w:rPr>
        <w:footnoteRef/>
      </w:r>
      <w:r>
        <w:t xml:space="preserve"> </w:t>
      </w:r>
      <w:r>
        <w:rPr>
          <w:rFonts w:ascii="Verdana" w:hAnsi="Verdana"/>
        </w:rPr>
        <w:t>Sommer. Isaiah p.</w:t>
      </w:r>
      <w:r>
        <w:rPr>
          <w:rFonts w:ascii="Verdana" w:hAnsi="Verdana"/>
        </w:rPr>
        <w:t>872</w:t>
      </w:r>
    </w:p>
  </w:footnote>
  <w:footnote w:id="25">
    <w:p w14:paraId="2FF3ED92" w14:textId="074C1B7D" w:rsidR="00801143" w:rsidRPr="00801143" w:rsidRDefault="00801143">
      <w:pPr>
        <w:pStyle w:val="FootnoteText"/>
        <w:rPr>
          <w:rFonts w:ascii="Verdana" w:hAnsi="Verdana"/>
          <w:lang w:val="en-US"/>
        </w:rPr>
      </w:pPr>
      <w:r>
        <w:rPr>
          <w:rStyle w:val="FootnoteReference"/>
        </w:rPr>
        <w:footnoteRef/>
      </w:r>
      <w:r>
        <w:t xml:space="preserve"> </w:t>
      </w:r>
      <w:r>
        <w:rPr>
          <w:rFonts w:ascii="Verdana" w:hAnsi="Verdana"/>
          <w:color w:val="000000"/>
        </w:rPr>
        <w:t xml:space="preserve">Sawyer. </w:t>
      </w:r>
      <w:r>
        <w:rPr>
          <w:rFonts w:ascii="Verdana" w:hAnsi="Verdana"/>
          <w:i/>
          <w:iCs/>
          <w:color w:val="000000"/>
        </w:rPr>
        <w:t>Isaiah Through the Centuries</w:t>
      </w:r>
      <w:r>
        <w:rPr>
          <w:rFonts w:ascii="Verdana" w:hAnsi="Verdana"/>
          <w:color w:val="000000"/>
        </w:rPr>
        <w:t xml:space="preserve"> p.309</w:t>
      </w:r>
    </w:p>
  </w:footnote>
  <w:footnote w:id="26">
    <w:p w14:paraId="1F19E635" w14:textId="6AB2BA6E" w:rsidR="00801143" w:rsidRPr="00801143" w:rsidRDefault="00801143">
      <w:pPr>
        <w:pStyle w:val="FootnoteText"/>
        <w:rPr>
          <w:lang w:val="en-US"/>
        </w:rPr>
      </w:pPr>
      <w:r>
        <w:rPr>
          <w:rStyle w:val="FootnoteReference"/>
        </w:rPr>
        <w:footnoteRef/>
      </w:r>
      <w:r>
        <w:t xml:space="preserve"> </w:t>
      </w:r>
      <w:r>
        <w:rPr>
          <w:rFonts w:ascii="Verdana" w:hAnsi="Verdana"/>
        </w:rPr>
        <w:t>Sommer. Isaiah p.872</w:t>
      </w:r>
    </w:p>
  </w:footnote>
  <w:footnote w:id="27">
    <w:p w14:paraId="25AFCA52" w14:textId="3B4D0287" w:rsidR="00801143" w:rsidRPr="00801143" w:rsidRDefault="00801143">
      <w:pPr>
        <w:pStyle w:val="FootnoteText"/>
        <w:rPr>
          <w:rFonts w:ascii="Verdana" w:hAnsi="Verdana"/>
          <w:lang w:val="en-US"/>
        </w:rPr>
      </w:pPr>
      <w:r>
        <w:rPr>
          <w:rStyle w:val="FootnoteReference"/>
        </w:rPr>
        <w:footnoteRef/>
      </w:r>
      <w:r>
        <w:t xml:space="preserve"> </w:t>
      </w:r>
      <w:r>
        <w:rPr>
          <w:rFonts w:ascii="Verdana" w:hAnsi="Verdana"/>
          <w:lang w:val="en-US"/>
        </w:rPr>
        <w:t>Ibid p.872</w:t>
      </w:r>
    </w:p>
  </w:footnote>
  <w:footnote w:id="28">
    <w:p w14:paraId="524686E5" w14:textId="123E008F" w:rsidR="00801143" w:rsidRPr="00801143" w:rsidRDefault="00801143">
      <w:pPr>
        <w:pStyle w:val="FootnoteText"/>
        <w:rPr>
          <w:lang w:val="en-US"/>
        </w:rPr>
      </w:pPr>
      <w:r>
        <w:rPr>
          <w:rStyle w:val="FootnoteReference"/>
        </w:rPr>
        <w:footnoteRef/>
      </w:r>
      <w:r>
        <w:t xml:space="preserve"> </w:t>
      </w:r>
      <w:r>
        <w:rPr>
          <w:rFonts w:ascii="Verdana" w:hAnsi="Verdana"/>
          <w:color w:val="000000"/>
        </w:rPr>
        <w:t xml:space="preserve">Sawyer. </w:t>
      </w:r>
      <w:r>
        <w:rPr>
          <w:rFonts w:ascii="Verdana" w:hAnsi="Verdana"/>
          <w:i/>
          <w:iCs/>
          <w:color w:val="000000"/>
        </w:rPr>
        <w:t>Isaiah Through the Centuries</w:t>
      </w:r>
      <w:r>
        <w:rPr>
          <w:rFonts w:ascii="Verdana" w:hAnsi="Verdana"/>
          <w:color w:val="000000"/>
        </w:rPr>
        <w:t xml:space="preserve"> p.309</w:t>
      </w:r>
    </w:p>
  </w:footnote>
  <w:footnote w:id="29">
    <w:p w14:paraId="3C5A7C0F" w14:textId="29BA8A83" w:rsidR="00801143" w:rsidRPr="00801143" w:rsidRDefault="00801143">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309</w:t>
      </w:r>
    </w:p>
  </w:footnote>
  <w:footnote w:id="30">
    <w:p w14:paraId="27E3A378" w14:textId="1F87076C" w:rsidR="00801143" w:rsidRPr="00801143" w:rsidRDefault="00801143">
      <w:pPr>
        <w:pStyle w:val="FootnoteText"/>
        <w:rPr>
          <w:lang w:val="en-US"/>
        </w:rPr>
      </w:pPr>
      <w:r>
        <w:rPr>
          <w:rStyle w:val="FootnoteReference"/>
        </w:rPr>
        <w:footnoteRef/>
      </w:r>
      <w:r>
        <w:t xml:space="preserve"> </w:t>
      </w:r>
      <w:r>
        <w:rPr>
          <w:rFonts w:ascii="Verdana" w:hAnsi="Verdana"/>
          <w:color w:val="000000"/>
        </w:rPr>
        <w:t>Sawyer. Isaiah. In: Metzger, B. M. and Coogan, M. D </w:t>
      </w:r>
      <w:r>
        <w:rPr>
          <w:rFonts w:ascii="Verdana" w:hAnsi="Verdana"/>
          <w:i/>
          <w:iCs/>
          <w:color w:val="000000"/>
        </w:rPr>
        <w:t>The Oxford Companion to the Bible</w:t>
      </w:r>
      <w:r>
        <w:rPr>
          <w:rFonts w:ascii="Verdana" w:hAnsi="Verdana"/>
          <w:color w:val="000000"/>
        </w:rPr>
        <w:t xml:space="preserve"> p.328</w:t>
      </w:r>
    </w:p>
  </w:footnote>
  <w:footnote w:id="31">
    <w:p w14:paraId="08B30E56" w14:textId="0EE858EB" w:rsidR="00801143" w:rsidRPr="00801143" w:rsidRDefault="00801143">
      <w:pPr>
        <w:pStyle w:val="FootnoteText"/>
        <w:rPr>
          <w:lang w:val="en-US"/>
        </w:rPr>
      </w:pPr>
      <w:r>
        <w:rPr>
          <w:rStyle w:val="FootnoteReference"/>
        </w:rPr>
        <w:footnoteRef/>
      </w:r>
      <w:r>
        <w:t xml:space="preserve"> </w:t>
      </w:r>
      <w:r>
        <w:rPr>
          <w:rFonts w:ascii="Verdana" w:hAnsi="Verdana"/>
          <w:color w:val="000000"/>
        </w:rPr>
        <w:t>Wright, et al. </w:t>
      </w:r>
      <w:r>
        <w:rPr>
          <w:rFonts w:ascii="Verdana" w:hAnsi="Verdana"/>
          <w:i/>
          <w:iCs/>
          <w:color w:val="000000"/>
        </w:rPr>
        <w:t>The Servant King.</w:t>
      </w:r>
      <w:r>
        <w:rPr>
          <w:rFonts w:ascii="Verdana" w:hAnsi="Verdana"/>
          <w:color w:val="000000"/>
        </w:rPr>
        <w:t xml:space="preserve"> Episode 9</w:t>
      </w:r>
    </w:p>
  </w:footnote>
  <w:footnote w:id="32">
    <w:p w14:paraId="43974921" w14:textId="0847F842" w:rsidR="00801143" w:rsidRPr="00801143" w:rsidRDefault="00801143">
      <w:pPr>
        <w:pStyle w:val="FootnoteText"/>
        <w:rPr>
          <w:lang w:val="en-US"/>
        </w:rPr>
      </w:pPr>
      <w:r>
        <w:rPr>
          <w:rStyle w:val="FootnoteReference"/>
        </w:rPr>
        <w:footnoteRef/>
      </w:r>
      <w:r>
        <w:t xml:space="preserve"> </w:t>
      </w:r>
      <w:r>
        <w:rPr>
          <w:rFonts w:ascii="Verdana" w:hAnsi="Verdana"/>
          <w:color w:val="000000"/>
        </w:rPr>
        <w:t>Sawyer. Isaiah. In: Metzger, B. M. and Coogan, M. D </w:t>
      </w:r>
      <w:r>
        <w:rPr>
          <w:rFonts w:ascii="Verdana" w:hAnsi="Verdana"/>
          <w:i/>
          <w:iCs/>
          <w:color w:val="000000"/>
        </w:rPr>
        <w:t>The Oxford Companion to the Bible</w:t>
      </w:r>
      <w:r>
        <w:rPr>
          <w:rFonts w:ascii="Verdana" w:hAnsi="Verdana"/>
          <w:color w:val="000000"/>
        </w:rPr>
        <w:t xml:space="preserve"> p.328</w:t>
      </w:r>
    </w:p>
  </w:footnote>
  <w:footnote w:id="33">
    <w:p w14:paraId="3041E839" w14:textId="1B588818" w:rsidR="00B22128" w:rsidRPr="00B22128" w:rsidRDefault="00B22128">
      <w:pPr>
        <w:pStyle w:val="FootnoteText"/>
        <w:rPr>
          <w:lang w:val="en-US"/>
        </w:rPr>
      </w:pPr>
      <w:r>
        <w:rPr>
          <w:rStyle w:val="FootnoteReference"/>
        </w:rPr>
        <w:footnoteRef/>
      </w:r>
      <w:r>
        <w:t xml:space="preserve"> </w:t>
      </w:r>
      <w:r>
        <w:rPr>
          <w:rFonts w:ascii="Verdana" w:hAnsi="Verdana"/>
          <w:color w:val="000000"/>
        </w:rPr>
        <w:t>Wright, et al. </w:t>
      </w:r>
      <w:r>
        <w:rPr>
          <w:rFonts w:ascii="Verdana" w:hAnsi="Verdana"/>
          <w:i/>
          <w:iCs/>
          <w:color w:val="000000"/>
        </w:rPr>
        <w:t>The Servant King.</w:t>
      </w:r>
      <w:r>
        <w:rPr>
          <w:rFonts w:ascii="Verdana" w:hAnsi="Verdana"/>
          <w:color w:val="000000"/>
        </w:rPr>
        <w:t xml:space="preserve"> Episode 9</w:t>
      </w:r>
    </w:p>
  </w:footnote>
  <w:footnote w:id="34">
    <w:p w14:paraId="618BF446" w14:textId="46B4D2EE" w:rsidR="00B22128" w:rsidRPr="00B22128" w:rsidRDefault="00B22128">
      <w:pPr>
        <w:pStyle w:val="FootnoteText"/>
        <w:rPr>
          <w:lang w:val="en-US"/>
        </w:rPr>
      </w:pPr>
      <w:r>
        <w:rPr>
          <w:rStyle w:val="FootnoteReference"/>
        </w:rPr>
        <w:footnoteRef/>
      </w:r>
      <w:r>
        <w:t xml:space="preserve"> </w:t>
      </w:r>
      <w:r>
        <w:rPr>
          <w:rFonts w:ascii="Verdana" w:hAnsi="Verdana"/>
          <w:color w:val="000000"/>
        </w:rPr>
        <w:t>I. Knohl. Suffering Servant: from Isaiah to the Dead Sea Scrolls. In: Green, D. A and Lieber L. S </w:t>
      </w:r>
      <w:r>
        <w:rPr>
          <w:rFonts w:ascii="Verdana" w:hAnsi="Verdana"/>
          <w:i/>
          <w:iCs/>
          <w:color w:val="000000"/>
        </w:rPr>
        <w:t>Scriptural Exegisis: The Shapes of Culture and the Religious Imagination: Essays in Honour of Michael Fishbane</w:t>
      </w:r>
      <w:r>
        <w:rPr>
          <w:rFonts w:ascii="Verdana" w:hAnsi="Verdana"/>
          <w:color w:val="000000"/>
        </w:rPr>
        <w:t xml:space="preserve">. </w:t>
      </w:r>
      <w:r>
        <w:rPr>
          <w:rFonts w:ascii="Verdana" w:hAnsi="Verdana"/>
          <w:color w:val="000000"/>
        </w:rPr>
        <w:t xml:space="preserve">(2009) </w:t>
      </w:r>
      <w:r>
        <w:rPr>
          <w:rFonts w:ascii="Verdana" w:hAnsi="Verdana"/>
          <w:color w:val="000000"/>
        </w:rPr>
        <w:t>Oxford</w:t>
      </w:r>
      <w:r>
        <w:rPr>
          <w:rFonts w:ascii="Verdana" w:hAnsi="Verdana"/>
          <w:color w:val="000000"/>
        </w:rPr>
        <w:t xml:space="preserve"> p.89</w:t>
      </w:r>
    </w:p>
  </w:footnote>
  <w:footnote w:id="35">
    <w:p w14:paraId="286545C8" w14:textId="3ABFD1B0" w:rsidR="00B22128" w:rsidRPr="00B22128" w:rsidRDefault="00B22128">
      <w:pPr>
        <w:pStyle w:val="FootnoteText"/>
        <w:rPr>
          <w:lang w:val="en-US"/>
        </w:rPr>
      </w:pPr>
      <w:r>
        <w:rPr>
          <w:rStyle w:val="FootnoteReference"/>
        </w:rPr>
        <w:footnoteRef/>
      </w:r>
      <w:r>
        <w:t xml:space="preserve"> </w:t>
      </w:r>
      <w:r>
        <w:rPr>
          <w:rFonts w:ascii="Verdana" w:hAnsi="Verdana"/>
          <w:color w:val="000000"/>
        </w:rPr>
        <w:t>Knohl. Suffering Servant</w:t>
      </w:r>
      <w:r>
        <w:rPr>
          <w:rFonts w:ascii="Verdana" w:hAnsi="Verdana"/>
          <w:color w:val="000000"/>
        </w:rPr>
        <w:t xml:space="preserve"> p.90</w:t>
      </w:r>
    </w:p>
  </w:footnote>
  <w:footnote w:id="36">
    <w:p w14:paraId="389C7B87" w14:textId="6117F45B" w:rsidR="00B22128" w:rsidRPr="00B22128" w:rsidRDefault="00B22128">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94</w:t>
      </w:r>
    </w:p>
  </w:footnote>
  <w:footnote w:id="37">
    <w:p w14:paraId="70436659" w14:textId="370265E6" w:rsidR="00B22128" w:rsidRPr="00B22128" w:rsidRDefault="00B22128">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.93</w:t>
      </w:r>
    </w:p>
  </w:footnote>
  <w:footnote w:id="38">
    <w:p w14:paraId="4F2AA9BB" w14:textId="720E41A0" w:rsidR="00B22128" w:rsidRPr="00B22128" w:rsidRDefault="00B22128">
      <w:pPr>
        <w:pStyle w:val="FootnoteText"/>
        <w:rPr>
          <w:lang w:val="en-US"/>
        </w:rPr>
      </w:pPr>
      <w:r>
        <w:rPr>
          <w:rStyle w:val="FootnoteReference"/>
        </w:rPr>
        <w:footnoteRef/>
      </w:r>
      <w:r>
        <w:t xml:space="preserve"> </w:t>
      </w:r>
      <w:r>
        <w:rPr>
          <w:rFonts w:ascii="Verdana" w:hAnsi="Verdana"/>
          <w:color w:val="000000"/>
        </w:rPr>
        <w:t>J. F. A. Sawyer</w:t>
      </w:r>
      <w:r>
        <w:rPr>
          <w:rFonts w:ascii="Verdana" w:hAnsi="Verdana"/>
          <w:color w:val="000000"/>
        </w:rPr>
        <w:t>.</w:t>
      </w:r>
      <w:r>
        <w:rPr>
          <w:rFonts w:ascii="Verdana" w:hAnsi="Verdana"/>
          <w:color w:val="000000"/>
        </w:rPr>
        <w:t xml:space="preserve"> Isaiah. In: Lieb, M et al </w:t>
      </w:r>
      <w:r>
        <w:rPr>
          <w:rFonts w:ascii="Verdana" w:hAnsi="Verdana"/>
          <w:i/>
          <w:iCs/>
          <w:color w:val="000000"/>
        </w:rPr>
        <w:t>The Oxford Handbook of the Reception History of the Bible</w:t>
      </w:r>
      <w:r>
        <w:rPr>
          <w:rFonts w:ascii="Verdana" w:hAnsi="Verdana"/>
          <w:color w:val="000000"/>
        </w:rPr>
        <w:t>. (2011). Oxford</w:t>
      </w:r>
      <w:r>
        <w:rPr>
          <w:rFonts w:ascii="Verdana" w:hAnsi="Verdana"/>
          <w:color w:val="000000"/>
        </w:rPr>
        <w:t xml:space="preserve"> p.60</w:t>
      </w:r>
    </w:p>
  </w:footnote>
  <w:footnote w:id="39">
    <w:p w14:paraId="4BA5232A" w14:textId="6D64A4AA" w:rsidR="00B22128" w:rsidRPr="00B22128" w:rsidRDefault="00B22128">
      <w:pPr>
        <w:pStyle w:val="FootnoteText"/>
        <w:rPr>
          <w:lang w:val="en-US"/>
        </w:rPr>
      </w:pPr>
      <w:r>
        <w:rPr>
          <w:rStyle w:val="FootnoteReference"/>
        </w:rPr>
        <w:footnoteRef/>
      </w:r>
      <w:r>
        <w:t xml:space="preserve"> </w:t>
      </w:r>
      <w:r>
        <w:rPr>
          <w:rFonts w:ascii="Verdana" w:hAnsi="Verdana"/>
          <w:color w:val="000000"/>
        </w:rPr>
        <w:t>Wright, et al. </w:t>
      </w:r>
      <w:r>
        <w:rPr>
          <w:rFonts w:ascii="Verdana" w:hAnsi="Verdana"/>
          <w:i/>
          <w:iCs/>
          <w:color w:val="000000"/>
        </w:rPr>
        <w:t>The Servant King.</w:t>
      </w:r>
      <w:r>
        <w:rPr>
          <w:rFonts w:ascii="Verdana" w:hAnsi="Verdana"/>
          <w:color w:val="000000"/>
        </w:rPr>
        <w:t xml:space="preserve"> Episode 9</w:t>
      </w:r>
    </w:p>
  </w:footnote>
  <w:footnote w:id="40">
    <w:p w14:paraId="3C9AABA4" w14:textId="20910C30" w:rsidR="00B22128" w:rsidRPr="00B22128" w:rsidRDefault="00B22128">
      <w:pPr>
        <w:pStyle w:val="FootnoteText"/>
        <w:rPr>
          <w:lang w:val="en-US"/>
        </w:rPr>
      </w:pPr>
      <w:r>
        <w:rPr>
          <w:rStyle w:val="FootnoteReference"/>
        </w:rPr>
        <w:footnoteRef/>
      </w:r>
      <w:r>
        <w:t xml:space="preserve"> </w:t>
      </w:r>
      <w:r>
        <w:rPr>
          <w:rFonts w:ascii="Verdana" w:hAnsi="Verdana"/>
          <w:color w:val="000000"/>
        </w:rPr>
        <w:t xml:space="preserve">Childs. </w:t>
      </w:r>
      <w:r>
        <w:rPr>
          <w:rFonts w:ascii="Verdana" w:hAnsi="Verdana"/>
          <w:i/>
          <w:iCs/>
          <w:color w:val="000000"/>
        </w:rPr>
        <w:t>Isaiah</w:t>
      </w:r>
      <w:r>
        <w:rPr>
          <w:rFonts w:ascii="Verdana" w:hAnsi="Verdana"/>
          <w:color w:val="000000"/>
        </w:rPr>
        <w:t xml:space="preserve"> p.410</w:t>
      </w:r>
    </w:p>
  </w:footnote>
  <w:footnote w:id="41">
    <w:p w14:paraId="79BD1737" w14:textId="3C15470F" w:rsidR="00B22128" w:rsidRPr="00B22128" w:rsidRDefault="00B22128">
      <w:pPr>
        <w:pStyle w:val="FootnoteText"/>
        <w:rPr>
          <w:lang w:val="en-US"/>
        </w:rPr>
      </w:pPr>
      <w:r>
        <w:rPr>
          <w:rStyle w:val="FootnoteReference"/>
        </w:rPr>
        <w:footnoteRef/>
      </w:r>
      <w:r>
        <w:t xml:space="preserve"> </w:t>
      </w:r>
      <w:r>
        <w:rPr>
          <w:rFonts w:ascii="Verdana" w:hAnsi="Verdana"/>
          <w:color w:val="000000"/>
        </w:rPr>
        <w:t>Wright, et al. </w:t>
      </w:r>
      <w:r>
        <w:rPr>
          <w:rFonts w:ascii="Verdana" w:hAnsi="Verdana"/>
          <w:i/>
          <w:iCs/>
          <w:color w:val="000000"/>
        </w:rPr>
        <w:t>The Servant King.</w:t>
      </w:r>
      <w:r>
        <w:rPr>
          <w:rFonts w:ascii="Verdana" w:hAnsi="Verdana"/>
          <w:color w:val="000000"/>
        </w:rPr>
        <w:t xml:space="preserve"> Episode 9</w:t>
      </w:r>
    </w:p>
  </w:footnote>
  <w:footnote w:id="42">
    <w:p w14:paraId="2D185D5A" w14:textId="348E485A" w:rsidR="00B22128" w:rsidRPr="00B22128" w:rsidRDefault="00B22128">
      <w:pPr>
        <w:pStyle w:val="FootnoteText"/>
        <w:rPr>
          <w:lang w:val="en-US"/>
        </w:rPr>
      </w:pPr>
      <w:r>
        <w:rPr>
          <w:rStyle w:val="FootnoteReference"/>
        </w:rPr>
        <w:footnoteRef/>
      </w:r>
      <w:r>
        <w:t xml:space="preserve"> </w:t>
      </w:r>
      <w:r>
        <w:rPr>
          <w:rFonts w:ascii="Verdana" w:hAnsi="Verdana"/>
          <w:lang w:val="en-US"/>
        </w:rPr>
        <w:t>Ibid</w:t>
      </w:r>
      <w:r>
        <w:rPr>
          <w:rFonts w:ascii="Verdana" w:hAnsi="Verdana"/>
          <w:lang w:val="en-US"/>
        </w:rPr>
        <w:t xml:space="preserve"> Episode 9</w:t>
      </w:r>
    </w:p>
  </w:footnote>
  <w:footnote w:id="43">
    <w:p w14:paraId="118E202D" w14:textId="1099B481" w:rsidR="00B22128" w:rsidRPr="00B22128" w:rsidRDefault="00B22128">
      <w:pPr>
        <w:pStyle w:val="FootnoteText"/>
        <w:rPr>
          <w:lang w:val="en-US"/>
        </w:rPr>
      </w:pPr>
      <w:r>
        <w:rPr>
          <w:rStyle w:val="FootnoteReference"/>
        </w:rPr>
        <w:footnoteRef/>
      </w:r>
      <w:r>
        <w:t xml:space="preserve"> </w:t>
      </w:r>
      <w:r>
        <w:rPr>
          <w:rFonts w:ascii="Verdana" w:hAnsi="Verdana"/>
          <w:color w:val="000000"/>
        </w:rPr>
        <w:t xml:space="preserve">Childs. </w:t>
      </w:r>
      <w:r>
        <w:rPr>
          <w:rFonts w:ascii="Verdana" w:hAnsi="Verdana"/>
          <w:i/>
          <w:iCs/>
          <w:color w:val="000000"/>
        </w:rPr>
        <w:t>Isaiah</w:t>
      </w:r>
      <w:r>
        <w:rPr>
          <w:rFonts w:ascii="Verdana" w:hAnsi="Verdana"/>
          <w:color w:val="000000"/>
        </w:rPr>
        <w:t xml:space="preserve"> p.410</w:t>
      </w:r>
    </w:p>
  </w:footnote>
  <w:footnote w:id="44">
    <w:p w14:paraId="4E2C1740" w14:textId="4085B114" w:rsidR="0051634B" w:rsidRPr="0051634B" w:rsidRDefault="0051634B">
      <w:pPr>
        <w:pStyle w:val="FootnoteText"/>
        <w:rPr>
          <w:lang w:val="en-US"/>
        </w:rPr>
      </w:pPr>
      <w:r>
        <w:rPr>
          <w:rStyle w:val="FootnoteReference"/>
        </w:rPr>
        <w:footnoteRef/>
      </w:r>
      <w:r>
        <w:t xml:space="preserve"> </w:t>
      </w:r>
      <w:r>
        <w:rPr>
          <w:rFonts w:ascii="Verdana" w:hAnsi="Verdana"/>
          <w:color w:val="000000"/>
        </w:rPr>
        <w:t>A</w:t>
      </w:r>
      <w:r>
        <w:rPr>
          <w:rFonts w:ascii="Verdana" w:hAnsi="Verdana"/>
          <w:color w:val="000000"/>
        </w:rPr>
        <w:t xml:space="preserve"> </w:t>
      </w:r>
      <w:r>
        <w:rPr>
          <w:rFonts w:ascii="Verdana" w:hAnsi="Verdana"/>
          <w:color w:val="000000"/>
        </w:rPr>
        <w:t>Towey</w:t>
      </w:r>
      <w:r>
        <w:rPr>
          <w:rFonts w:ascii="Verdana" w:hAnsi="Verdana"/>
          <w:color w:val="000000"/>
        </w:rPr>
        <w:t>.</w:t>
      </w:r>
      <w:r>
        <w:rPr>
          <w:rFonts w:ascii="Verdana" w:hAnsi="Verdana"/>
          <w:color w:val="000000"/>
        </w:rPr>
        <w:t xml:space="preserve"> </w:t>
      </w:r>
      <w:r>
        <w:rPr>
          <w:rFonts w:ascii="Verdana" w:hAnsi="Verdana"/>
          <w:i/>
          <w:iCs/>
          <w:color w:val="000000"/>
        </w:rPr>
        <w:t>An Introduction to Christian Theology</w:t>
      </w:r>
      <w:r>
        <w:rPr>
          <w:rFonts w:ascii="Verdana" w:hAnsi="Verdana"/>
          <w:color w:val="000000"/>
        </w:rPr>
        <w:t xml:space="preserve"> (2014) London</w:t>
      </w:r>
      <w:r>
        <w:rPr>
          <w:rFonts w:ascii="Verdana" w:hAnsi="Verdana"/>
          <w:color w:val="000000"/>
        </w:rPr>
        <w:t xml:space="preserve"> p.95</w:t>
      </w:r>
    </w:p>
  </w:footnote>
  <w:footnote w:id="45">
    <w:p w14:paraId="1BE202DB" w14:textId="11D2787D" w:rsidR="0051634B" w:rsidRPr="0051634B" w:rsidRDefault="0051634B">
      <w:pPr>
        <w:pStyle w:val="FootnoteText"/>
        <w:rPr>
          <w:lang w:val="en-US"/>
        </w:rPr>
      </w:pPr>
      <w:r>
        <w:rPr>
          <w:rStyle w:val="FootnoteReference"/>
        </w:rPr>
        <w:footnoteRef/>
      </w:r>
      <w:r>
        <w:t xml:space="preserve"> </w:t>
      </w:r>
      <w:r>
        <w:rPr>
          <w:rFonts w:ascii="Verdana" w:hAnsi="Verdana"/>
        </w:rPr>
        <w:t>Sommer. Isaiah p.872</w:t>
      </w:r>
    </w:p>
  </w:footnote>
  <w:footnote w:id="46">
    <w:p w14:paraId="50D885EA" w14:textId="1C72E74B" w:rsidR="0051634B" w:rsidRPr="0051634B" w:rsidRDefault="0051634B">
      <w:pPr>
        <w:pStyle w:val="FootnoteText"/>
        <w:rPr>
          <w:lang w:val="en-US"/>
        </w:rPr>
      </w:pPr>
      <w:r>
        <w:rPr>
          <w:rStyle w:val="FootnoteReference"/>
        </w:rPr>
        <w:footnoteRef/>
      </w:r>
      <w:r>
        <w:t xml:space="preserve"> </w:t>
      </w:r>
      <w:r>
        <w:rPr>
          <w:rFonts w:ascii="Verdana" w:hAnsi="Verdana"/>
          <w:color w:val="000000"/>
        </w:rPr>
        <w:t xml:space="preserve">Sawyer. </w:t>
      </w:r>
      <w:r>
        <w:rPr>
          <w:rFonts w:ascii="Verdana" w:hAnsi="Verdana"/>
          <w:i/>
          <w:iCs/>
          <w:color w:val="000000"/>
        </w:rPr>
        <w:t>Isaiah Through the Centuries</w:t>
      </w:r>
      <w:r>
        <w:rPr>
          <w:rFonts w:ascii="Verdana" w:hAnsi="Verdana"/>
          <w:color w:val="000000"/>
        </w:rPr>
        <w:t xml:space="preserve"> p.309</w:t>
      </w:r>
    </w:p>
  </w:footnote>
  <w:footnote w:id="47">
    <w:p w14:paraId="272976FB" w14:textId="37E299FF" w:rsidR="0051634B" w:rsidRPr="0051634B" w:rsidRDefault="0051634B" w:rsidP="000C31E9">
      <w:pPr>
        <w:pStyle w:val="FootnoteText"/>
        <w:tabs>
          <w:tab w:val="left" w:pos="983"/>
        </w:tabs>
        <w:rPr>
          <w:lang w:val="en-US"/>
        </w:rPr>
      </w:pPr>
      <w:r>
        <w:rPr>
          <w:rStyle w:val="FootnoteReference"/>
        </w:rPr>
        <w:footnoteRef/>
      </w:r>
      <w:r w:rsidR="000C31E9">
        <w:rPr>
          <w:rFonts w:ascii="Verdana" w:hAnsi="Verdana"/>
        </w:rPr>
        <w:t xml:space="preserve"> </w:t>
      </w:r>
      <w:r w:rsidR="000C31E9">
        <w:rPr>
          <w:rFonts w:ascii="Verdana" w:hAnsi="Verdana"/>
          <w:color w:val="000000"/>
        </w:rPr>
        <w:t>Hermisson. The Fourth Servant Song in the Context of Second Isaiah. p.1</w:t>
      </w:r>
      <w:r w:rsidR="000C31E9">
        <w:rPr>
          <w:rFonts w:ascii="Verdana" w:hAnsi="Verdana"/>
          <w:color w:val="000000"/>
        </w:rPr>
        <w:t>6</w:t>
      </w:r>
    </w:p>
  </w:footnote>
  <w:footnote w:id="48">
    <w:p w14:paraId="5007FC62" w14:textId="36294FD8" w:rsidR="000C31E9" w:rsidRPr="000C31E9" w:rsidRDefault="000C31E9">
      <w:pPr>
        <w:pStyle w:val="FootnoteText"/>
        <w:rPr>
          <w:lang w:val="en-US"/>
        </w:rPr>
      </w:pPr>
      <w:r>
        <w:rPr>
          <w:rStyle w:val="FootnoteReference"/>
        </w:rPr>
        <w:footnoteRef/>
      </w:r>
      <w:r>
        <w:t xml:space="preserve"> </w:t>
      </w:r>
      <w:r>
        <w:rPr>
          <w:rFonts w:ascii="Verdana" w:hAnsi="Verdana"/>
          <w:color w:val="000000"/>
        </w:rPr>
        <w:t xml:space="preserve">Childs. </w:t>
      </w:r>
      <w:r>
        <w:rPr>
          <w:rFonts w:ascii="Verdana" w:hAnsi="Verdana"/>
          <w:i/>
          <w:iCs/>
          <w:color w:val="000000"/>
        </w:rPr>
        <w:t>Isaiah</w:t>
      </w:r>
      <w:r>
        <w:rPr>
          <w:rFonts w:ascii="Verdana" w:hAnsi="Verdana"/>
          <w:color w:val="000000"/>
        </w:rPr>
        <w:t xml:space="preserve"> p.4</w:t>
      </w:r>
      <w:r>
        <w:rPr>
          <w:rFonts w:ascii="Verdana" w:hAnsi="Verdana"/>
          <w:color w:val="000000"/>
        </w:rPr>
        <w:t>2</w:t>
      </w:r>
      <w:r>
        <w:rPr>
          <w:rFonts w:ascii="Verdana" w:hAnsi="Verdana"/>
          <w:color w:val="000000"/>
        </w:rPr>
        <w:t>0</w:t>
      </w:r>
    </w:p>
  </w:footnote>
  <w:footnote w:id="49">
    <w:p w14:paraId="336CEE4E" w14:textId="73E12B13" w:rsidR="000C31E9" w:rsidRPr="000C31E9" w:rsidRDefault="000C31E9">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420</w:t>
      </w:r>
    </w:p>
  </w:footnote>
  <w:footnote w:id="50">
    <w:p w14:paraId="671F7268" w14:textId="7A217A1F" w:rsidR="000C31E9" w:rsidRPr="000C31E9" w:rsidRDefault="000C31E9">
      <w:pPr>
        <w:pStyle w:val="FootnoteText"/>
        <w:rPr>
          <w:lang w:val="en-US"/>
        </w:rPr>
      </w:pPr>
      <w:r>
        <w:rPr>
          <w:rStyle w:val="FootnoteReference"/>
        </w:rPr>
        <w:footnoteRef/>
      </w:r>
      <w:r>
        <w:t xml:space="preserve"> </w:t>
      </w:r>
      <w:r>
        <w:rPr>
          <w:rFonts w:ascii="Verdana" w:hAnsi="Verdana"/>
          <w:lang w:val="en-US"/>
        </w:rPr>
        <w:t>Ibid p.420</w:t>
      </w:r>
    </w:p>
  </w:footnote>
  <w:footnote w:id="51">
    <w:p w14:paraId="799127C9" w14:textId="371D0B09" w:rsidR="000C31E9" w:rsidRPr="000C31E9" w:rsidRDefault="000C31E9">
      <w:pPr>
        <w:pStyle w:val="FootnoteText"/>
        <w:rPr>
          <w:lang w:val="en-US"/>
        </w:rPr>
      </w:pPr>
      <w:r>
        <w:rPr>
          <w:rStyle w:val="FootnoteReference"/>
        </w:rPr>
        <w:footnoteRef/>
      </w:r>
      <w:r>
        <w:t xml:space="preserve"> M. </w:t>
      </w:r>
      <w:r>
        <w:rPr>
          <w:rFonts w:ascii="Verdana" w:hAnsi="Verdana"/>
          <w:color w:val="000000"/>
        </w:rPr>
        <w:t>Brettler</w:t>
      </w:r>
      <w:r>
        <w:rPr>
          <w:rFonts w:ascii="Verdana" w:hAnsi="Verdana"/>
          <w:color w:val="000000"/>
        </w:rPr>
        <w:t xml:space="preserve"> </w:t>
      </w:r>
      <w:r>
        <w:rPr>
          <w:rFonts w:ascii="Verdana" w:hAnsi="Verdana"/>
          <w:color w:val="000000"/>
        </w:rPr>
        <w:t>and A-J</w:t>
      </w:r>
      <w:r>
        <w:rPr>
          <w:rFonts w:ascii="Verdana" w:hAnsi="Verdana"/>
          <w:color w:val="000000"/>
        </w:rPr>
        <w:t xml:space="preserve">. </w:t>
      </w:r>
      <w:r>
        <w:rPr>
          <w:rFonts w:ascii="Verdana" w:hAnsi="Verdana"/>
          <w:color w:val="000000"/>
        </w:rPr>
        <w:t>Levine</w:t>
      </w:r>
      <w:r>
        <w:rPr>
          <w:rFonts w:ascii="Verdana" w:hAnsi="Verdana"/>
          <w:color w:val="000000"/>
        </w:rPr>
        <w:t>.</w:t>
      </w:r>
      <w:r>
        <w:rPr>
          <w:rFonts w:ascii="Verdana" w:hAnsi="Verdana"/>
          <w:color w:val="000000"/>
        </w:rPr>
        <w:t xml:space="preserve"> Isaiah’s Suffering Servant: Before and After Christianity. </w:t>
      </w:r>
      <w:r>
        <w:rPr>
          <w:rFonts w:ascii="Verdana" w:hAnsi="Verdana"/>
          <w:i/>
          <w:iCs/>
          <w:color w:val="000000"/>
        </w:rPr>
        <w:t>A Journal of Bible and Theology</w:t>
      </w:r>
      <w:r>
        <w:rPr>
          <w:rFonts w:ascii="Verdana" w:hAnsi="Verdana"/>
          <w:color w:val="000000"/>
        </w:rPr>
        <w:t>.</w:t>
      </w:r>
      <w:r w:rsidRPr="000C31E9">
        <w:rPr>
          <w:rFonts w:ascii="Verdana" w:hAnsi="Verdana"/>
          <w:color w:val="000000"/>
        </w:rPr>
        <w:t xml:space="preserve"> </w:t>
      </w:r>
      <w:r>
        <w:rPr>
          <w:rFonts w:ascii="Verdana" w:hAnsi="Verdana"/>
          <w:color w:val="000000"/>
        </w:rPr>
        <w:t>(2019)</w:t>
      </w:r>
      <w:r>
        <w:rPr>
          <w:rFonts w:ascii="Verdana" w:hAnsi="Verdana"/>
          <w:color w:val="000000"/>
        </w:rPr>
        <w:t xml:space="preserve"> p.167</w:t>
      </w:r>
    </w:p>
  </w:footnote>
  <w:footnote w:id="52">
    <w:p w14:paraId="1C731D6E" w14:textId="49031337" w:rsidR="000C31E9" w:rsidRPr="000C31E9" w:rsidRDefault="000C31E9">
      <w:pPr>
        <w:pStyle w:val="FootnoteText"/>
        <w:rPr>
          <w:lang w:val="en-US"/>
        </w:rPr>
      </w:pPr>
      <w:r>
        <w:rPr>
          <w:rStyle w:val="FootnoteReference"/>
        </w:rPr>
        <w:footnoteRef/>
      </w:r>
      <w:r>
        <w:t xml:space="preserve"> </w:t>
      </w:r>
      <w:r>
        <w:rPr>
          <w:rFonts w:ascii="Verdana" w:hAnsi="Verdana"/>
          <w:color w:val="000000"/>
        </w:rPr>
        <w:t xml:space="preserve">Childs. </w:t>
      </w:r>
      <w:r>
        <w:rPr>
          <w:rFonts w:ascii="Verdana" w:hAnsi="Verdana"/>
          <w:i/>
          <w:iCs/>
          <w:color w:val="000000"/>
        </w:rPr>
        <w:t>Isaiah</w:t>
      </w:r>
      <w:r>
        <w:rPr>
          <w:rFonts w:ascii="Verdana" w:hAnsi="Verdana"/>
          <w:color w:val="000000"/>
        </w:rPr>
        <w:t xml:space="preserve"> p.42</w:t>
      </w:r>
      <w:r>
        <w:rPr>
          <w:rFonts w:ascii="Verdana" w:hAnsi="Verdana"/>
          <w:color w:val="000000"/>
        </w:rPr>
        <w:t>1</w:t>
      </w:r>
    </w:p>
  </w:footnote>
  <w:footnote w:id="53">
    <w:p w14:paraId="3C3DC79A" w14:textId="04542594" w:rsidR="000C31E9" w:rsidRPr="000C31E9" w:rsidRDefault="000C31E9">
      <w:pPr>
        <w:pStyle w:val="FootnoteText"/>
        <w:rPr>
          <w:lang w:val="en-US"/>
        </w:rPr>
      </w:pPr>
      <w:r>
        <w:rPr>
          <w:rStyle w:val="FootnoteReference"/>
        </w:rPr>
        <w:footnoteRef/>
      </w:r>
      <w:r>
        <w:t xml:space="preserve"> </w:t>
      </w:r>
      <w:r>
        <w:rPr>
          <w:rFonts w:ascii="Verdana" w:hAnsi="Verdana"/>
          <w:lang w:val="en-US"/>
        </w:rPr>
        <w:t>Ibid p.42</w:t>
      </w:r>
      <w:r>
        <w:rPr>
          <w:rFonts w:ascii="Verdana" w:hAnsi="Verdana"/>
          <w:lang w:val="en-US"/>
        </w:rPr>
        <w:t>1</w:t>
      </w:r>
    </w:p>
  </w:footnote>
  <w:footnote w:id="54">
    <w:p w14:paraId="4BD93E9D" w14:textId="00ECFD96" w:rsidR="000C31E9" w:rsidRPr="000C31E9" w:rsidRDefault="000C31E9">
      <w:pPr>
        <w:pStyle w:val="FootnoteText"/>
        <w:rPr>
          <w:lang w:val="en-US"/>
        </w:rPr>
      </w:pPr>
      <w:r>
        <w:rPr>
          <w:rStyle w:val="FootnoteReference"/>
        </w:rPr>
        <w:footnoteRef/>
      </w:r>
      <w:r>
        <w:t xml:space="preserve"> </w:t>
      </w:r>
      <w:r>
        <w:rPr>
          <w:rFonts w:ascii="Verdana" w:hAnsi="Verdana"/>
          <w:color w:val="000000"/>
        </w:rPr>
        <w:t>Kugel. </w:t>
      </w:r>
      <w:r>
        <w:rPr>
          <w:rFonts w:ascii="Verdana" w:hAnsi="Verdana"/>
          <w:i/>
          <w:iCs/>
          <w:color w:val="000000"/>
        </w:rPr>
        <w:t>How to Read the Bible</w:t>
      </w:r>
      <w:r>
        <w:rPr>
          <w:rFonts w:ascii="Verdana" w:hAnsi="Verdana"/>
          <w:i/>
          <w:iCs/>
          <w:color w:val="000000"/>
        </w:rPr>
        <w:t xml:space="preserve"> </w:t>
      </w:r>
      <w:r>
        <w:rPr>
          <w:rFonts w:ascii="Verdana" w:hAnsi="Verdana"/>
          <w:color w:val="000000"/>
        </w:rPr>
        <w:t>p.557</w:t>
      </w:r>
    </w:p>
  </w:footnote>
  <w:footnote w:id="55">
    <w:p w14:paraId="56ADF3C8" w14:textId="70C27983" w:rsidR="000C31E9" w:rsidRPr="000C31E9" w:rsidRDefault="000C31E9">
      <w:pPr>
        <w:pStyle w:val="FootnoteText"/>
        <w:rPr>
          <w:lang w:val="en-US"/>
        </w:rPr>
      </w:pPr>
      <w:r>
        <w:rPr>
          <w:rStyle w:val="FootnoteReference"/>
        </w:rPr>
        <w:footnoteRef/>
      </w:r>
      <w:r>
        <w:t xml:space="preserve"> </w:t>
      </w:r>
      <w:r>
        <w:rPr>
          <w:rFonts w:ascii="Verdana" w:hAnsi="Verdana"/>
          <w:color w:val="000000"/>
        </w:rPr>
        <w:t xml:space="preserve">Childs. </w:t>
      </w:r>
      <w:r>
        <w:rPr>
          <w:rFonts w:ascii="Verdana" w:hAnsi="Verdana"/>
          <w:i/>
          <w:iCs/>
          <w:color w:val="000000"/>
        </w:rPr>
        <w:t>Isaiah</w:t>
      </w:r>
      <w:r>
        <w:rPr>
          <w:rFonts w:ascii="Verdana" w:hAnsi="Verdana"/>
          <w:color w:val="000000"/>
        </w:rPr>
        <w:t xml:space="preserve"> p.421</w:t>
      </w:r>
    </w:p>
  </w:footnote>
  <w:footnote w:id="56">
    <w:p w14:paraId="6DA2CC73" w14:textId="77CBC198" w:rsidR="00EB2258" w:rsidRPr="00EB2258" w:rsidRDefault="00EB2258">
      <w:pPr>
        <w:pStyle w:val="FootnoteText"/>
        <w:rPr>
          <w:lang w:val="en-US"/>
        </w:rPr>
      </w:pPr>
      <w:r>
        <w:rPr>
          <w:rStyle w:val="FootnoteReference"/>
        </w:rPr>
        <w:footnoteRef/>
      </w:r>
      <w:r>
        <w:t xml:space="preserve"> </w:t>
      </w:r>
      <w:r>
        <w:rPr>
          <w:rFonts w:ascii="Verdana" w:hAnsi="Verdana"/>
          <w:color w:val="000000"/>
        </w:rPr>
        <w:t>Sawyer. Isaiah. In: Lieb, M et al </w:t>
      </w:r>
      <w:r>
        <w:rPr>
          <w:rFonts w:ascii="Verdana" w:hAnsi="Verdana"/>
          <w:i/>
          <w:iCs/>
          <w:color w:val="000000"/>
        </w:rPr>
        <w:t>The Oxford Handbook of the Reception History of the Bible</w:t>
      </w:r>
      <w:r>
        <w:rPr>
          <w:rFonts w:ascii="Verdana" w:hAnsi="Verdana"/>
          <w:color w:val="000000"/>
        </w:rPr>
        <w:t xml:space="preserve"> p.60</w:t>
      </w:r>
    </w:p>
  </w:footnote>
  <w:footnote w:id="57">
    <w:p w14:paraId="12A070D5" w14:textId="5C4E1652" w:rsidR="00E71391" w:rsidRPr="00E71391" w:rsidRDefault="00E71391">
      <w:pPr>
        <w:pStyle w:val="FootnoteText"/>
        <w:rPr>
          <w:lang w:val="en-US"/>
        </w:rPr>
      </w:pPr>
      <w:r>
        <w:rPr>
          <w:rStyle w:val="FootnoteReference"/>
        </w:rPr>
        <w:footnoteRef/>
      </w:r>
      <w:r>
        <w:t xml:space="preserve"> </w:t>
      </w:r>
      <w:r>
        <w:rPr>
          <w:rFonts w:ascii="Verdana" w:hAnsi="Verdana"/>
          <w:color w:val="000000"/>
        </w:rPr>
        <w:t xml:space="preserve">Sawyer. </w:t>
      </w:r>
      <w:r>
        <w:rPr>
          <w:rFonts w:ascii="Verdana" w:hAnsi="Verdana"/>
          <w:i/>
          <w:iCs/>
          <w:color w:val="000000"/>
        </w:rPr>
        <w:t>Isaiah Through the Centuries</w:t>
      </w:r>
      <w:r>
        <w:rPr>
          <w:rFonts w:ascii="Verdana" w:hAnsi="Verdana"/>
          <w:color w:val="000000"/>
        </w:rPr>
        <w:t xml:space="preserve"> p.3</w:t>
      </w:r>
      <w:r>
        <w:rPr>
          <w:rFonts w:ascii="Verdana" w:hAnsi="Verdana"/>
          <w:color w:val="000000"/>
        </w:rPr>
        <w:t>16</w:t>
      </w:r>
    </w:p>
  </w:footnote>
  <w:footnote w:id="58">
    <w:p w14:paraId="682C4FB4" w14:textId="38A4D23C" w:rsidR="00E71391" w:rsidRPr="00E71391" w:rsidRDefault="00E71391">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316</w:t>
      </w:r>
    </w:p>
  </w:footnote>
  <w:footnote w:id="59">
    <w:p w14:paraId="055023ED" w14:textId="47757854" w:rsidR="00E71391" w:rsidRPr="00E71391" w:rsidRDefault="00E71391">
      <w:pPr>
        <w:pStyle w:val="FootnoteText"/>
        <w:rPr>
          <w:lang w:val="en-US"/>
        </w:rPr>
      </w:pPr>
      <w:r>
        <w:rPr>
          <w:rStyle w:val="FootnoteReference"/>
        </w:rPr>
        <w:footnoteRef/>
      </w:r>
      <w:r>
        <w:t xml:space="preserve"> </w:t>
      </w:r>
      <w:r w:rsidRPr="00E71391">
        <w:rPr>
          <w:rFonts w:ascii="Verdana" w:hAnsi="Verdana"/>
        </w:rPr>
        <w:t>M.</w:t>
      </w:r>
      <w:r>
        <w:t xml:space="preserve"> </w:t>
      </w:r>
      <w:r>
        <w:rPr>
          <w:rFonts w:ascii="Verdana" w:hAnsi="Verdana"/>
          <w:color w:val="000000"/>
        </w:rPr>
        <w:t>Brettler and A-J. Levine. Isaiah’s Suffering Servant: Before and After Christianity p.16</w:t>
      </w:r>
      <w:r>
        <w:rPr>
          <w:rFonts w:ascii="Verdana" w:hAnsi="Verdana"/>
          <w:color w:val="000000"/>
        </w:rPr>
        <w:t>5</w:t>
      </w:r>
    </w:p>
  </w:footnote>
  <w:footnote w:id="60">
    <w:p w14:paraId="74E8B1C6" w14:textId="409C4DFF" w:rsidR="00E71391" w:rsidRPr="00E71391" w:rsidRDefault="00E71391">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166</w:t>
      </w:r>
    </w:p>
  </w:footnote>
  <w:footnote w:id="61">
    <w:p w14:paraId="3BC7D332" w14:textId="273F9AB0" w:rsidR="00E71391" w:rsidRPr="00E71391" w:rsidRDefault="00E71391">
      <w:pPr>
        <w:pStyle w:val="FootnoteText"/>
        <w:rPr>
          <w:lang w:val="en-US"/>
        </w:rPr>
      </w:pPr>
      <w:r>
        <w:rPr>
          <w:rStyle w:val="FootnoteReference"/>
        </w:rPr>
        <w:footnoteRef/>
      </w:r>
      <w:r>
        <w:t xml:space="preserve"> </w:t>
      </w:r>
      <w:r>
        <w:rPr>
          <w:rFonts w:ascii="Verdana" w:hAnsi="Verdana"/>
          <w:color w:val="000000"/>
        </w:rPr>
        <w:t>A. J Johnson</w:t>
      </w:r>
      <w:r>
        <w:rPr>
          <w:rFonts w:ascii="Verdana" w:hAnsi="Verdana"/>
          <w:color w:val="000000"/>
        </w:rPr>
        <w:t>.</w:t>
      </w:r>
      <w:r>
        <w:rPr>
          <w:rFonts w:ascii="Verdana" w:hAnsi="Verdana"/>
          <w:color w:val="000000"/>
        </w:rPr>
        <w:t xml:space="preserve"> </w:t>
      </w:r>
      <w:r>
        <w:rPr>
          <w:rFonts w:ascii="Verdana" w:hAnsi="Verdana"/>
          <w:i/>
          <w:iCs/>
          <w:color w:val="000000"/>
        </w:rPr>
        <w:t>Atonement: A Guide for the Perplexed</w:t>
      </w:r>
      <w:r>
        <w:rPr>
          <w:rFonts w:ascii="Verdana" w:hAnsi="Verdana"/>
          <w:color w:val="000000"/>
        </w:rPr>
        <w:t>. (2015). London</w:t>
      </w:r>
      <w:r>
        <w:rPr>
          <w:rFonts w:ascii="Verdana" w:hAnsi="Verdana"/>
          <w:color w:val="000000"/>
        </w:rPr>
        <w:t xml:space="preserve"> p.156</w:t>
      </w:r>
    </w:p>
  </w:footnote>
  <w:footnote w:id="62">
    <w:p w14:paraId="54741288" w14:textId="1D03F07D" w:rsidR="00E71391" w:rsidRPr="00E71391" w:rsidRDefault="00E71391">
      <w:pPr>
        <w:pStyle w:val="FootnoteText"/>
        <w:rPr>
          <w:lang w:val="en-US"/>
        </w:rPr>
      </w:pPr>
      <w:r>
        <w:rPr>
          <w:rStyle w:val="FootnoteReference"/>
        </w:rPr>
        <w:footnoteRef/>
      </w:r>
      <w:r>
        <w:t xml:space="preserve"> </w:t>
      </w:r>
      <w:r>
        <w:rPr>
          <w:rFonts w:ascii="Verdana" w:hAnsi="Verdana"/>
        </w:rPr>
        <w:t xml:space="preserve">B. R. </w:t>
      </w:r>
      <w:r>
        <w:rPr>
          <w:rFonts w:ascii="Verdana" w:hAnsi="Verdana"/>
          <w:color w:val="000000"/>
        </w:rPr>
        <w:t xml:space="preserve">Reichenbach, B. R. "By his stripes we are healed". (1998) </w:t>
      </w:r>
      <w:r>
        <w:rPr>
          <w:rFonts w:ascii="Verdana" w:hAnsi="Verdana"/>
          <w:i/>
          <w:iCs/>
          <w:color w:val="000000"/>
        </w:rPr>
        <w:t>Journal of the Evangelical Theological Society</w:t>
      </w:r>
      <w:r>
        <w:rPr>
          <w:rFonts w:ascii="Verdana" w:hAnsi="Verdana"/>
          <w:color w:val="000000"/>
        </w:rPr>
        <w:t xml:space="preserve"> p.551</w:t>
      </w:r>
    </w:p>
  </w:footnote>
  <w:footnote w:id="63">
    <w:p w14:paraId="783DC682" w14:textId="6F14CFBD" w:rsidR="00094141" w:rsidRPr="00094141" w:rsidRDefault="00094141">
      <w:pPr>
        <w:pStyle w:val="FootnoteText"/>
        <w:rPr>
          <w:lang w:val="en-US"/>
        </w:rPr>
      </w:pPr>
      <w:r>
        <w:rPr>
          <w:rStyle w:val="FootnoteReference"/>
        </w:rPr>
        <w:footnoteRef/>
      </w:r>
      <w:r>
        <w:t xml:space="preserve"> </w:t>
      </w:r>
      <w:r>
        <w:rPr>
          <w:rFonts w:ascii="Verdana" w:hAnsi="Verdana"/>
          <w:color w:val="000000"/>
        </w:rPr>
        <w:t xml:space="preserve">Sawyer. </w:t>
      </w:r>
      <w:r>
        <w:rPr>
          <w:rFonts w:ascii="Verdana" w:hAnsi="Verdana"/>
          <w:i/>
          <w:iCs/>
          <w:color w:val="000000"/>
        </w:rPr>
        <w:t>Isaiah Through the Centuries</w:t>
      </w:r>
      <w:r>
        <w:rPr>
          <w:rFonts w:ascii="Verdana" w:hAnsi="Verdana"/>
          <w:color w:val="000000"/>
        </w:rPr>
        <w:t xml:space="preserve"> p.3</w:t>
      </w:r>
      <w:r>
        <w:rPr>
          <w:rFonts w:ascii="Verdana" w:hAnsi="Verdana"/>
          <w:color w:val="000000"/>
        </w:rPr>
        <w:t>20</w:t>
      </w:r>
    </w:p>
  </w:footnote>
  <w:footnote w:id="64">
    <w:p w14:paraId="69F735C4" w14:textId="6E6E69EB" w:rsidR="00094141" w:rsidRPr="00094141" w:rsidRDefault="00094141">
      <w:pPr>
        <w:pStyle w:val="FootnoteText"/>
        <w:rPr>
          <w:lang w:val="en-US"/>
        </w:rPr>
      </w:pPr>
      <w:r>
        <w:rPr>
          <w:rStyle w:val="FootnoteReference"/>
        </w:rPr>
        <w:footnoteRef/>
      </w:r>
      <w:r>
        <w:t xml:space="preserve"> </w:t>
      </w:r>
      <w:r>
        <w:rPr>
          <w:rFonts w:ascii="Verdana" w:hAnsi="Verdana"/>
          <w:color w:val="000000"/>
        </w:rPr>
        <w:t>O. Betz</w:t>
      </w:r>
      <w:r>
        <w:rPr>
          <w:rFonts w:ascii="Verdana" w:hAnsi="Verdana"/>
          <w:color w:val="000000"/>
        </w:rPr>
        <w:t>.</w:t>
      </w:r>
      <w:r>
        <w:rPr>
          <w:rFonts w:ascii="Verdana" w:hAnsi="Verdana"/>
          <w:color w:val="000000"/>
        </w:rPr>
        <w:t xml:space="preserve"> Jesus and Isaiah 53. In: Bellinger, W. H. and Farmer, W. R </w:t>
      </w:r>
      <w:r>
        <w:rPr>
          <w:rFonts w:ascii="Verdana" w:hAnsi="Verdana"/>
          <w:i/>
          <w:iCs/>
          <w:color w:val="000000"/>
        </w:rPr>
        <w:t>Jesus and the Suffering Servant: Isaiah 53 and Christian Origins</w:t>
      </w:r>
      <w:r>
        <w:rPr>
          <w:rFonts w:ascii="Verdana" w:hAnsi="Verdana"/>
          <w:color w:val="000000"/>
        </w:rPr>
        <w:t>.</w:t>
      </w:r>
      <w:r w:rsidRPr="00094141">
        <w:rPr>
          <w:rFonts w:ascii="Verdana" w:hAnsi="Verdana"/>
          <w:color w:val="000000"/>
        </w:rPr>
        <w:t xml:space="preserve"> </w:t>
      </w:r>
      <w:r>
        <w:rPr>
          <w:rFonts w:ascii="Verdana" w:hAnsi="Verdana"/>
          <w:color w:val="000000"/>
        </w:rPr>
        <w:t>(1998). Harrisburg</w:t>
      </w:r>
      <w:r>
        <w:rPr>
          <w:rFonts w:ascii="Verdana" w:hAnsi="Verdana"/>
          <w:color w:val="000000"/>
        </w:rPr>
        <w:t xml:space="preserve"> p.86</w:t>
      </w:r>
    </w:p>
  </w:footnote>
  <w:footnote w:id="65">
    <w:p w14:paraId="65E363E8" w14:textId="2C143454" w:rsidR="00094141" w:rsidRPr="00094141" w:rsidRDefault="00094141">
      <w:pPr>
        <w:pStyle w:val="FootnoteText"/>
        <w:rPr>
          <w:lang w:val="en-US"/>
        </w:rPr>
      </w:pPr>
      <w:r>
        <w:rPr>
          <w:rStyle w:val="FootnoteReference"/>
        </w:rPr>
        <w:footnoteRef/>
      </w:r>
      <w:r>
        <w:t xml:space="preserve"> </w:t>
      </w:r>
      <w:r>
        <w:rPr>
          <w:rFonts w:ascii="Verdana" w:hAnsi="Verdana"/>
          <w:lang w:val="en-US"/>
        </w:rPr>
        <w:t>Ibid p.</w:t>
      </w:r>
      <w:r>
        <w:rPr>
          <w:rFonts w:ascii="Verdana" w:hAnsi="Verdana"/>
          <w:lang w:val="en-US"/>
        </w:rPr>
        <w:t>86</w:t>
      </w:r>
    </w:p>
  </w:footnote>
  <w:footnote w:id="66">
    <w:p w14:paraId="21D16E54" w14:textId="27FEFA01" w:rsidR="00094141" w:rsidRPr="00094141" w:rsidRDefault="00094141">
      <w:pPr>
        <w:pStyle w:val="FootnoteText"/>
        <w:rPr>
          <w:lang w:val="en-US"/>
        </w:rPr>
      </w:pPr>
      <w:r>
        <w:rPr>
          <w:rStyle w:val="FootnoteReference"/>
        </w:rPr>
        <w:footnoteRef/>
      </w:r>
      <w:r>
        <w:t xml:space="preserve"> </w:t>
      </w:r>
      <w:r>
        <w:rPr>
          <w:rFonts w:ascii="Verdana" w:hAnsi="Verdana"/>
          <w:lang w:val="en-US"/>
        </w:rPr>
        <w:t>Ibid p.86</w:t>
      </w:r>
    </w:p>
  </w:footnote>
  <w:footnote w:id="67">
    <w:p w14:paraId="35ACEC29" w14:textId="45ECB809" w:rsidR="00CA5091" w:rsidRPr="00926ABF" w:rsidRDefault="00926ABF">
      <w:pPr>
        <w:pStyle w:val="FootnoteText"/>
        <w:rPr>
          <w:rFonts w:ascii="Verdana" w:hAnsi="Verdana"/>
          <w:lang w:val="en-US"/>
        </w:rPr>
      </w:pPr>
      <w:r>
        <w:rPr>
          <w:rStyle w:val="FootnoteReference"/>
        </w:rPr>
        <w:footnoteRef/>
      </w:r>
      <w:r>
        <w:t xml:space="preserve"> </w:t>
      </w:r>
      <w:r>
        <w:rPr>
          <w:rFonts w:ascii="Verdana" w:hAnsi="Verdana"/>
          <w:lang w:val="en-US"/>
        </w:rPr>
        <w:t>I was reading this moving book coincidentally at the time of writing.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1B93" w14:textId="207337AD" w:rsidR="00FF42F2" w:rsidRPr="00FF42F2" w:rsidRDefault="00FF42F2">
    <w:pPr>
      <w:pStyle w:val="Header"/>
      <w:rPr>
        <w:rFonts w:ascii="Verdana" w:hAnsi="Verdana"/>
      </w:rPr>
    </w:pPr>
    <w:r w:rsidRPr="00FF42F2">
      <w:rPr>
        <w:rFonts w:ascii="Verdana" w:hAnsi="Verdana"/>
      </w:rPr>
      <w:t>HPRS7015 From Patriarchs to Prophets</w:t>
    </w:r>
    <w:r>
      <w:rPr>
        <w:rFonts w:ascii="Verdana" w:hAnsi="Verdana"/>
      </w:rPr>
      <w:tab/>
    </w:r>
    <w:r>
      <w:rPr>
        <w:rFonts w:ascii="Verdana" w:hAnsi="Verdana"/>
      </w:rPr>
      <w:tab/>
      <w:t>Sarah Connelly 1703421</w:t>
    </w:r>
  </w:p>
  <w:p w14:paraId="1537AC6A" w14:textId="77777777" w:rsidR="00FF42F2" w:rsidRDefault="00FF42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83DC9"/>
    <w:multiLevelType w:val="multilevel"/>
    <w:tmpl w:val="216E0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F2"/>
    <w:rsid w:val="00005707"/>
    <w:rsid w:val="00034ED4"/>
    <w:rsid w:val="00094141"/>
    <w:rsid w:val="000C31E9"/>
    <w:rsid w:val="001505A3"/>
    <w:rsid w:val="00184E18"/>
    <w:rsid w:val="001A0B63"/>
    <w:rsid w:val="00237FB6"/>
    <w:rsid w:val="002B1603"/>
    <w:rsid w:val="0034538B"/>
    <w:rsid w:val="00416F87"/>
    <w:rsid w:val="00434F17"/>
    <w:rsid w:val="0051634B"/>
    <w:rsid w:val="00635E0D"/>
    <w:rsid w:val="00686BC0"/>
    <w:rsid w:val="00801143"/>
    <w:rsid w:val="0082178E"/>
    <w:rsid w:val="00926ABF"/>
    <w:rsid w:val="00A86E8C"/>
    <w:rsid w:val="00B22128"/>
    <w:rsid w:val="00CA5091"/>
    <w:rsid w:val="00E71391"/>
    <w:rsid w:val="00EB2258"/>
    <w:rsid w:val="00EE305A"/>
    <w:rsid w:val="00F23DB5"/>
    <w:rsid w:val="00FB5131"/>
    <w:rsid w:val="00FF4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58E54"/>
  <w15:chartTrackingRefBased/>
  <w15:docId w15:val="{A68DF789-B618-4E6B-B1F6-36DE3CB52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F42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F42F2"/>
  </w:style>
  <w:style w:type="character" w:customStyle="1" w:styleId="normaltextrun">
    <w:name w:val="normaltextrun"/>
    <w:basedOn w:val="DefaultParagraphFont"/>
    <w:rsid w:val="00FF42F2"/>
  </w:style>
  <w:style w:type="character" w:customStyle="1" w:styleId="eop">
    <w:name w:val="eop"/>
    <w:basedOn w:val="DefaultParagraphFont"/>
    <w:rsid w:val="00FF42F2"/>
  </w:style>
  <w:style w:type="paragraph" w:styleId="Header">
    <w:name w:val="header"/>
    <w:basedOn w:val="Normal"/>
    <w:link w:val="HeaderChar"/>
    <w:uiPriority w:val="99"/>
    <w:unhideWhenUsed/>
    <w:rsid w:val="00FF4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2F2"/>
  </w:style>
  <w:style w:type="paragraph" w:styleId="Footer">
    <w:name w:val="footer"/>
    <w:basedOn w:val="Normal"/>
    <w:link w:val="FooterChar"/>
    <w:uiPriority w:val="99"/>
    <w:unhideWhenUsed/>
    <w:rsid w:val="00FF4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2F2"/>
  </w:style>
  <w:style w:type="character" w:customStyle="1" w:styleId="text">
    <w:name w:val="text"/>
    <w:basedOn w:val="DefaultParagraphFont"/>
    <w:rsid w:val="00686BC0"/>
  </w:style>
  <w:style w:type="paragraph" w:styleId="FootnoteText">
    <w:name w:val="footnote text"/>
    <w:basedOn w:val="Normal"/>
    <w:link w:val="FootnoteTextChar"/>
    <w:uiPriority w:val="99"/>
    <w:semiHidden/>
    <w:unhideWhenUsed/>
    <w:rsid w:val="00A86E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6E8C"/>
    <w:rPr>
      <w:sz w:val="20"/>
      <w:szCs w:val="20"/>
    </w:rPr>
  </w:style>
  <w:style w:type="character" w:styleId="FootnoteReference">
    <w:name w:val="footnote reference"/>
    <w:basedOn w:val="DefaultParagraphFont"/>
    <w:uiPriority w:val="99"/>
    <w:semiHidden/>
    <w:unhideWhenUsed/>
    <w:rsid w:val="00A86E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12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BCB90E-059A-4D63-A9FD-66075EE48D8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0C7ED-CE76-4852-BC97-8440D53E3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3502</Words>
  <Characters>17443</Characters>
  <Application>Microsoft Office Word</Application>
  <DocSecurity>0</DocSecurity>
  <Lines>281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Magdalen Connelly (1703421)</dc:creator>
  <cp:keywords/>
  <dc:description/>
  <cp:lastModifiedBy>Sarah Magdalen Connelly (1703421)</cp:lastModifiedBy>
  <cp:revision>15</cp:revision>
  <dcterms:created xsi:type="dcterms:W3CDTF">2021-08-19T10:42:00Z</dcterms:created>
  <dcterms:modified xsi:type="dcterms:W3CDTF">2021-08-20T09:49:00Z</dcterms:modified>
</cp:coreProperties>
</file>