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DECEA" w14:textId="450C2A4F" w:rsidR="00000000" w:rsidRDefault="002449E7" w:rsidP="002449E7">
      <w:pPr>
        <w:jc w:val="center"/>
        <w:rPr>
          <w:rFonts w:ascii="Arial" w:hAnsi="Arial" w:cs="Arial"/>
          <w:b/>
          <w:bCs/>
          <w:sz w:val="36"/>
          <w:szCs w:val="36"/>
        </w:rPr>
      </w:pPr>
      <w:r w:rsidRPr="002449E7">
        <w:rPr>
          <w:rFonts w:ascii="Arial" w:hAnsi="Arial" w:cs="Arial"/>
          <w:b/>
          <w:bCs/>
          <w:sz w:val="36"/>
          <w:szCs w:val="36"/>
        </w:rPr>
        <w:t>Evaluating the role of consideration in Contract Law</w:t>
      </w:r>
    </w:p>
    <w:p w14:paraId="5EA88870" w14:textId="77777777" w:rsidR="002449E7" w:rsidRDefault="002449E7" w:rsidP="002449E7">
      <w:pPr>
        <w:jc w:val="center"/>
        <w:rPr>
          <w:rFonts w:ascii="Arial" w:hAnsi="Arial" w:cs="Arial"/>
          <w:b/>
          <w:bCs/>
          <w:sz w:val="36"/>
          <w:szCs w:val="36"/>
        </w:rPr>
      </w:pPr>
    </w:p>
    <w:p w14:paraId="13B6D72E" w14:textId="0757A0CA" w:rsidR="002449E7" w:rsidRDefault="002449E7" w:rsidP="002449E7">
      <w:pPr>
        <w:jc w:val="center"/>
        <w:rPr>
          <w:rFonts w:ascii="Arial" w:hAnsi="Arial" w:cs="Arial"/>
          <w:i/>
          <w:iCs/>
          <w:sz w:val="36"/>
          <w:szCs w:val="36"/>
        </w:rPr>
      </w:pPr>
      <w:r w:rsidRPr="002449E7">
        <w:rPr>
          <w:rFonts w:ascii="Arial" w:hAnsi="Arial" w:cs="Arial"/>
          <w:i/>
          <w:iCs/>
          <w:sz w:val="36"/>
          <w:szCs w:val="36"/>
        </w:rPr>
        <w:t>By Kian Damian Evans</w:t>
      </w:r>
    </w:p>
    <w:p w14:paraId="781791EB" w14:textId="77777777" w:rsidR="002449E7" w:rsidRDefault="002449E7" w:rsidP="002449E7">
      <w:pPr>
        <w:jc w:val="center"/>
        <w:rPr>
          <w:rFonts w:ascii="Arial" w:hAnsi="Arial" w:cs="Arial"/>
          <w:i/>
          <w:iCs/>
          <w:sz w:val="36"/>
          <w:szCs w:val="36"/>
        </w:rPr>
      </w:pPr>
    </w:p>
    <w:p w14:paraId="016D6374" w14:textId="77777777" w:rsidR="002449E7" w:rsidRDefault="002449E7" w:rsidP="002449E7">
      <w:pPr>
        <w:jc w:val="center"/>
        <w:rPr>
          <w:rFonts w:ascii="Arial" w:hAnsi="Arial" w:cs="Arial"/>
          <w:i/>
          <w:iCs/>
          <w:sz w:val="36"/>
          <w:szCs w:val="36"/>
        </w:rPr>
      </w:pPr>
    </w:p>
    <w:p w14:paraId="27B45765" w14:textId="77777777" w:rsidR="002449E7" w:rsidRDefault="002449E7" w:rsidP="002449E7">
      <w:pPr>
        <w:jc w:val="center"/>
        <w:rPr>
          <w:rFonts w:ascii="Arial" w:hAnsi="Arial" w:cs="Arial"/>
          <w:i/>
          <w:iCs/>
          <w:sz w:val="36"/>
          <w:szCs w:val="36"/>
        </w:rPr>
      </w:pPr>
    </w:p>
    <w:p w14:paraId="54731A7E" w14:textId="77777777" w:rsidR="002449E7" w:rsidRDefault="002449E7" w:rsidP="002449E7">
      <w:pPr>
        <w:jc w:val="center"/>
        <w:rPr>
          <w:rFonts w:ascii="Arial" w:hAnsi="Arial" w:cs="Arial"/>
          <w:i/>
          <w:iCs/>
          <w:sz w:val="36"/>
          <w:szCs w:val="36"/>
        </w:rPr>
      </w:pPr>
    </w:p>
    <w:p w14:paraId="5BB95DCA" w14:textId="77777777" w:rsidR="002449E7" w:rsidRDefault="002449E7" w:rsidP="002449E7">
      <w:pPr>
        <w:jc w:val="center"/>
        <w:rPr>
          <w:rFonts w:ascii="Arial" w:hAnsi="Arial" w:cs="Arial"/>
          <w:i/>
          <w:iCs/>
          <w:sz w:val="36"/>
          <w:szCs w:val="36"/>
        </w:rPr>
      </w:pPr>
    </w:p>
    <w:p w14:paraId="241C06E5" w14:textId="77777777" w:rsidR="002449E7" w:rsidRDefault="002449E7" w:rsidP="002449E7">
      <w:pPr>
        <w:jc w:val="center"/>
        <w:rPr>
          <w:rFonts w:ascii="Arial" w:hAnsi="Arial" w:cs="Arial"/>
          <w:i/>
          <w:iCs/>
          <w:sz w:val="36"/>
          <w:szCs w:val="36"/>
        </w:rPr>
      </w:pPr>
    </w:p>
    <w:p w14:paraId="7D1BBAF1" w14:textId="77777777" w:rsidR="002449E7" w:rsidRDefault="002449E7" w:rsidP="002449E7">
      <w:pPr>
        <w:jc w:val="center"/>
        <w:rPr>
          <w:rFonts w:ascii="Arial" w:hAnsi="Arial" w:cs="Arial"/>
          <w:i/>
          <w:iCs/>
          <w:sz w:val="36"/>
          <w:szCs w:val="36"/>
        </w:rPr>
      </w:pPr>
    </w:p>
    <w:p w14:paraId="3DB16485" w14:textId="77777777" w:rsidR="002449E7" w:rsidRDefault="002449E7" w:rsidP="002449E7">
      <w:pPr>
        <w:jc w:val="center"/>
        <w:rPr>
          <w:rFonts w:ascii="Arial" w:hAnsi="Arial" w:cs="Arial"/>
          <w:i/>
          <w:iCs/>
          <w:sz w:val="36"/>
          <w:szCs w:val="36"/>
        </w:rPr>
      </w:pPr>
    </w:p>
    <w:p w14:paraId="53E43D70" w14:textId="77777777" w:rsidR="002449E7" w:rsidRDefault="002449E7" w:rsidP="002449E7">
      <w:pPr>
        <w:jc w:val="center"/>
        <w:rPr>
          <w:rFonts w:ascii="Arial" w:hAnsi="Arial" w:cs="Arial"/>
          <w:i/>
          <w:iCs/>
          <w:sz w:val="36"/>
          <w:szCs w:val="36"/>
        </w:rPr>
      </w:pPr>
    </w:p>
    <w:p w14:paraId="409A8445" w14:textId="77777777" w:rsidR="002449E7" w:rsidRDefault="002449E7" w:rsidP="002449E7">
      <w:pPr>
        <w:jc w:val="center"/>
        <w:rPr>
          <w:rFonts w:ascii="Arial" w:hAnsi="Arial" w:cs="Arial"/>
          <w:i/>
          <w:iCs/>
          <w:sz w:val="36"/>
          <w:szCs w:val="36"/>
        </w:rPr>
      </w:pPr>
    </w:p>
    <w:p w14:paraId="2DCF1AF4" w14:textId="77777777" w:rsidR="002449E7" w:rsidRDefault="002449E7" w:rsidP="002449E7">
      <w:pPr>
        <w:jc w:val="center"/>
        <w:rPr>
          <w:rFonts w:ascii="Arial" w:hAnsi="Arial" w:cs="Arial"/>
          <w:i/>
          <w:iCs/>
          <w:sz w:val="36"/>
          <w:szCs w:val="36"/>
        </w:rPr>
      </w:pPr>
    </w:p>
    <w:p w14:paraId="12E4A2A9" w14:textId="77777777" w:rsidR="002449E7" w:rsidRDefault="002449E7" w:rsidP="002449E7">
      <w:pPr>
        <w:jc w:val="center"/>
        <w:rPr>
          <w:rFonts w:ascii="Arial" w:hAnsi="Arial" w:cs="Arial"/>
          <w:i/>
          <w:iCs/>
          <w:sz w:val="36"/>
          <w:szCs w:val="36"/>
        </w:rPr>
      </w:pPr>
    </w:p>
    <w:p w14:paraId="1A8FAD3D" w14:textId="77777777" w:rsidR="002449E7" w:rsidRDefault="002449E7" w:rsidP="002449E7">
      <w:pPr>
        <w:jc w:val="center"/>
        <w:rPr>
          <w:rFonts w:ascii="Arial" w:hAnsi="Arial" w:cs="Arial"/>
          <w:i/>
          <w:iCs/>
          <w:sz w:val="36"/>
          <w:szCs w:val="36"/>
        </w:rPr>
      </w:pPr>
    </w:p>
    <w:p w14:paraId="34C4BE01" w14:textId="77777777" w:rsidR="002449E7" w:rsidRDefault="002449E7" w:rsidP="002449E7">
      <w:pPr>
        <w:jc w:val="center"/>
        <w:rPr>
          <w:rFonts w:ascii="Arial" w:hAnsi="Arial" w:cs="Arial"/>
          <w:i/>
          <w:iCs/>
          <w:sz w:val="36"/>
          <w:szCs w:val="36"/>
        </w:rPr>
      </w:pPr>
    </w:p>
    <w:p w14:paraId="4A00736E" w14:textId="77777777" w:rsidR="002449E7" w:rsidRDefault="002449E7" w:rsidP="002449E7">
      <w:pPr>
        <w:jc w:val="center"/>
        <w:rPr>
          <w:rFonts w:ascii="Arial" w:hAnsi="Arial" w:cs="Arial"/>
          <w:i/>
          <w:iCs/>
          <w:sz w:val="36"/>
          <w:szCs w:val="36"/>
        </w:rPr>
      </w:pPr>
    </w:p>
    <w:p w14:paraId="0B50FA8C" w14:textId="77777777" w:rsidR="002449E7" w:rsidRDefault="002449E7" w:rsidP="002449E7">
      <w:pPr>
        <w:jc w:val="center"/>
        <w:rPr>
          <w:rFonts w:ascii="Arial" w:hAnsi="Arial" w:cs="Arial"/>
          <w:i/>
          <w:iCs/>
          <w:sz w:val="36"/>
          <w:szCs w:val="36"/>
        </w:rPr>
      </w:pPr>
    </w:p>
    <w:p w14:paraId="253F4CB6" w14:textId="77777777" w:rsidR="002449E7" w:rsidRDefault="002449E7" w:rsidP="002449E7">
      <w:pPr>
        <w:jc w:val="center"/>
        <w:rPr>
          <w:rFonts w:ascii="Arial" w:hAnsi="Arial" w:cs="Arial"/>
          <w:i/>
          <w:iCs/>
          <w:sz w:val="36"/>
          <w:szCs w:val="36"/>
        </w:rPr>
      </w:pPr>
    </w:p>
    <w:p w14:paraId="19C347F9" w14:textId="77777777" w:rsidR="002449E7" w:rsidRDefault="002449E7" w:rsidP="002449E7">
      <w:pPr>
        <w:jc w:val="center"/>
        <w:rPr>
          <w:rFonts w:ascii="Arial" w:hAnsi="Arial" w:cs="Arial"/>
          <w:i/>
          <w:iCs/>
          <w:sz w:val="36"/>
          <w:szCs w:val="36"/>
        </w:rPr>
      </w:pPr>
    </w:p>
    <w:p w14:paraId="4A8DD5D6" w14:textId="77777777" w:rsidR="002449E7" w:rsidRDefault="002449E7" w:rsidP="002449E7">
      <w:pPr>
        <w:jc w:val="center"/>
        <w:rPr>
          <w:rFonts w:ascii="Arial" w:hAnsi="Arial" w:cs="Arial"/>
          <w:i/>
          <w:iCs/>
          <w:sz w:val="36"/>
          <w:szCs w:val="36"/>
        </w:rPr>
      </w:pPr>
    </w:p>
    <w:p w14:paraId="5118F49C" w14:textId="77777777" w:rsidR="002449E7" w:rsidRDefault="002449E7" w:rsidP="002449E7">
      <w:pPr>
        <w:jc w:val="center"/>
        <w:rPr>
          <w:rFonts w:ascii="Arial" w:hAnsi="Arial" w:cs="Arial"/>
          <w:i/>
          <w:iCs/>
          <w:sz w:val="36"/>
          <w:szCs w:val="36"/>
        </w:rPr>
      </w:pPr>
    </w:p>
    <w:p w14:paraId="7CCF1730" w14:textId="77777777" w:rsidR="002449E7" w:rsidRDefault="002449E7" w:rsidP="002449E7">
      <w:pPr>
        <w:jc w:val="center"/>
        <w:rPr>
          <w:rFonts w:ascii="Arial" w:hAnsi="Arial" w:cs="Arial"/>
          <w:i/>
          <w:iCs/>
          <w:sz w:val="36"/>
          <w:szCs w:val="36"/>
        </w:rPr>
      </w:pPr>
    </w:p>
    <w:p w14:paraId="7DE1EF79" w14:textId="77777777" w:rsidR="002449E7" w:rsidRDefault="002449E7" w:rsidP="002449E7">
      <w:pPr>
        <w:jc w:val="center"/>
        <w:rPr>
          <w:rFonts w:ascii="Arial" w:hAnsi="Arial" w:cs="Arial"/>
          <w:i/>
          <w:iCs/>
          <w:sz w:val="36"/>
          <w:szCs w:val="36"/>
        </w:rPr>
      </w:pPr>
    </w:p>
    <w:p w14:paraId="0B42C0AE" w14:textId="77777777" w:rsidR="002449E7" w:rsidRDefault="002449E7" w:rsidP="002449E7">
      <w:pPr>
        <w:jc w:val="center"/>
        <w:rPr>
          <w:rFonts w:ascii="Arial" w:hAnsi="Arial" w:cs="Arial"/>
          <w:i/>
          <w:iCs/>
          <w:sz w:val="36"/>
          <w:szCs w:val="36"/>
        </w:rPr>
      </w:pPr>
    </w:p>
    <w:p w14:paraId="18A4814B" w14:textId="77777777" w:rsidR="002449E7" w:rsidRDefault="002449E7" w:rsidP="002449E7">
      <w:pPr>
        <w:jc w:val="center"/>
        <w:rPr>
          <w:rFonts w:ascii="Arial" w:hAnsi="Arial" w:cs="Arial"/>
          <w:i/>
          <w:iCs/>
          <w:sz w:val="36"/>
          <w:szCs w:val="36"/>
        </w:rPr>
      </w:pPr>
    </w:p>
    <w:p w14:paraId="0E174A68" w14:textId="77777777" w:rsidR="002449E7" w:rsidRDefault="002449E7" w:rsidP="002449E7">
      <w:pPr>
        <w:jc w:val="center"/>
        <w:rPr>
          <w:rFonts w:ascii="Arial" w:hAnsi="Arial" w:cs="Arial"/>
          <w:i/>
          <w:iCs/>
          <w:sz w:val="36"/>
          <w:szCs w:val="36"/>
        </w:rPr>
      </w:pPr>
    </w:p>
    <w:p w14:paraId="1E216008" w14:textId="77777777" w:rsidR="002449E7" w:rsidRDefault="002449E7" w:rsidP="002449E7">
      <w:pPr>
        <w:jc w:val="center"/>
        <w:rPr>
          <w:rFonts w:ascii="Arial" w:hAnsi="Arial" w:cs="Arial"/>
          <w:i/>
          <w:iCs/>
          <w:sz w:val="36"/>
          <w:szCs w:val="36"/>
        </w:rPr>
      </w:pPr>
    </w:p>
    <w:p w14:paraId="6DEA120B" w14:textId="77777777" w:rsidR="002449E7" w:rsidRDefault="002449E7" w:rsidP="002449E7">
      <w:pPr>
        <w:jc w:val="center"/>
        <w:rPr>
          <w:rFonts w:ascii="Arial" w:hAnsi="Arial" w:cs="Arial"/>
          <w:i/>
          <w:iCs/>
          <w:sz w:val="36"/>
          <w:szCs w:val="36"/>
        </w:rPr>
      </w:pPr>
    </w:p>
    <w:p w14:paraId="247384CE" w14:textId="77777777" w:rsidR="002449E7" w:rsidRDefault="002449E7" w:rsidP="002449E7">
      <w:pPr>
        <w:jc w:val="center"/>
        <w:rPr>
          <w:rFonts w:ascii="Arial" w:hAnsi="Arial" w:cs="Arial"/>
          <w:i/>
          <w:iCs/>
          <w:sz w:val="36"/>
          <w:szCs w:val="36"/>
        </w:rPr>
      </w:pPr>
    </w:p>
    <w:p w14:paraId="58A4EFDB" w14:textId="77777777" w:rsidR="002449E7" w:rsidRDefault="002449E7" w:rsidP="002449E7">
      <w:pPr>
        <w:jc w:val="center"/>
        <w:rPr>
          <w:rFonts w:ascii="Arial" w:hAnsi="Arial" w:cs="Arial"/>
          <w:i/>
          <w:iCs/>
          <w:sz w:val="36"/>
          <w:szCs w:val="36"/>
        </w:rPr>
      </w:pPr>
    </w:p>
    <w:p w14:paraId="6AF60DE1" w14:textId="06E2A192" w:rsidR="002449E7" w:rsidRDefault="002449E7" w:rsidP="002449E7">
      <w:pPr>
        <w:jc w:val="center"/>
        <w:rPr>
          <w:rFonts w:ascii="Arial" w:hAnsi="Arial" w:cs="Arial"/>
          <w:sz w:val="36"/>
          <w:szCs w:val="36"/>
        </w:rPr>
      </w:pPr>
      <w:r w:rsidRPr="002449E7">
        <w:rPr>
          <w:rFonts w:ascii="Arial" w:hAnsi="Arial" w:cs="Arial"/>
          <w:sz w:val="36"/>
          <w:szCs w:val="36"/>
        </w:rPr>
        <w:t>15/03/2024</w:t>
      </w:r>
      <w:r>
        <w:rPr>
          <w:rFonts w:ascii="Arial" w:hAnsi="Arial" w:cs="Arial"/>
          <w:sz w:val="36"/>
          <w:szCs w:val="36"/>
        </w:rPr>
        <w:t xml:space="preserve"> UWTSD </w:t>
      </w:r>
    </w:p>
    <w:p w14:paraId="557E65F1" w14:textId="77777777" w:rsidR="00A56A7D" w:rsidRDefault="00A56A7D" w:rsidP="002449E7">
      <w:pPr>
        <w:rPr>
          <w:rFonts w:ascii="Arial" w:hAnsi="Arial" w:cs="Arial"/>
        </w:rPr>
      </w:pPr>
    </w:p>
    <w:p w14:paraId="74406D14" w14:textId="66D82079" w:rsidR="003D74D0" w:rsidRPr="001908A3" w:rsidRDefault="00DC3646" w:rsidP="002449E7">
      <w:pPr>
        <w:rPr>
          <w:rFonts w:ascii="Arial" w:hAnsi="Arial" w:cs="Arial"/>
          <w:b/>
          <w:bCs/>
          <w:i/>
          <w:iCs/>
        </w:rPr>
      </w:pPr>
      <w:r w:rsidRPr="001908A3">
        <w:rPr>
          <w:rFonts w:ascii="Arial" w:hAnsi="Arial" w:cs="Arial"/>
          <w:b/>
          <w:bCs/>
          <w:i/>
          <w:iCs/>
        </w:rPr>
        <w:lastRenderedPageBreak/>
        <w:t>CONTENTS</w:t>
      </w:r>
    </w:p>
    <w:p w14:paraId="2AE2C2CC" w14:textId="77777777" w:rsidR="00DC3646" w:rsidRPr="001908A3" w:rsidRDefault="00DC3646" w:rsidP="00DC3646">
      <w:pPr>
        <w:rPr>
          <w:rFonts w:ascii="Arial" w:hAnsi="Arial" w:cs="Arial"/>
        </w:rPr>
      </w:pPr>
      <w:r w:rsidRPr="001908A3">
        <w:rPr>
          <w:rFonts w:ascii="Arial" w:hAnsi="Arial" w:cs="Arial"/>
        </w:rPr>
        <w:t>Introduction</w:t>
      </w:r>
    </w:p>
    <w:p w14:paraId="5857E0B4" w14:textId="77777777" w:rsidR="00DC3646" w:rsidRPr="001908A3" w:rsidRDefault="00DC3646" w:rsidP="00DC3646">
      <w:pPr>
        <w:rPr>
          <w:rFonts w:ascii="Arial" w:hAnsi="Arial" w:cs="Arial"/>
        </w:rPr>
      </w:pPr>
      <w:r w:rsidRPr="001908A3">
        <w:rPr>
          <w:rFonts w:ascii="Arial" w:hAnsi="Arial" w:cs="Arial"/>
        </w:rPr>
        <w:t>1.1 Purpose of the Report</w:t>
      </w:r>
    </w:p>
    <w:p w14:paraId="3E543601" w14:textId="77777777" w:rsidR="00DC3646" w:rsidRPr="001908A3" w:rsidRDefault="00DC3646" w:rsidP="00DC3646">
      <w:pPr>
        <w:rPr>
          <w:rFonts w:ascii="Arial" w:hAnsi="Arial" w:cs="Arial"/>
        </w:rPr>
      </w:pPr>
      <w:r w:rsidRPr="001908A3">
        <w:rPr>
          <w:rFonts w:ascii="Arial" w:hAnsi="Arial" w:cs="Arial"/>
        </w:rPr>
        <w:t>1.2 Overview of Contract Law Considerations</w:t>
      </w:r>
    </w:p>
    <w:p w14:paraId="3FA88B52" w14:textId="77777777" w:rsidR="00DC3646" w:rsidRPr="001908A3" w:rsidRDefault="00DC3646" w:rsidP="00DC3646">
      <w:pPr>
        <w:rPr>
          <w:rFonts w:ascii="Arial" w:hAnsi="Arial" w:cs="Arial"/>
        </w:rPr>
      </w:pPr>
      <w:r w:rsidRPr="001908A3">
        <w:rPr>
          <w:rFonts w:ascii="Arial" w:hAnsi="Arial" w:cs="Arial"/>
        </w:rPr>
        <w:t>Formation of a Contract</w:t>
      </w:r>
    </w:p>
    <w:p w14:paraId="3FF5A327" w14:textId="77777777" w:rsidR="00DC3646" w:rsidRPr="001908A3" w:rsidRDefault="00DC3646" w:rsidP="00DC3646">
      <w:pPr>
        <w:rPr>
          <w:rFonts w:ascii="Arial" w:hAnsi="Arial" w:cs="Arial"/>
        </w:rPr>
      </w:pPr>
      <w:r w:rsidRPr="001908A3">
        <w:rPr>
          <w:rFonts w:ascii="Arial" w:hAnsi="Arial" w:cs="Arial"/>
        </w:rPr>
        <w:t>2.1 Essential Steps in Contract Formation</w:t>
      </w:r>
    </w:p>
    <w:p w14:paraId="4D80EB41" w14:textId="77777777" w:rsidR="00DC3646" w:rsidRPr="001908A3" w:rsidRDefault="00DC3646" w:rsidP="00DC3646">
      <w:pPr>
        <w:rPr>
          <w:rFonts w:ascii="Arial" w:hAnsi="Arial" w:cs="Arial"/>
        </w:rPr>
      </w:pPr>
      <w:r w:rsidRPr="001908A3">
        <w:rPr>
          <w:rFonts w:ascii="Arial" w:hAnsi="Arial" w:cs="Arial"/>
        </w:rPr>
        <w:t>2.2 Offer, Acceptance, and Consideration</w:t>
      </w:r>
    </w:p>
    <w:p w14:paraId="65CDFF84" w14:textId="77777777" w:rsidR="00DC3646" w:rsidRPr="001908A3" w:rsidRDefault="00DC3646" w:rsidP="00DC3646">
      <w:pPr>
        <w:rPr>
          <w:rFonts w:ascii="Arial" w:hAnsi="Arial" w:cs="Arial"/>
        </w:rPr>
      </w:pPr>
      <w:r w:rsidRPr="001908A3">
        <w:rPr>
          <w:rFonts w:ascii="Arial" w:hAnsi="Arial" w:cs="Arial"/>
        </w:rPr>
        <w:t>2.3 Case Example: Felthouse v Bindley</w:t>
      </w:r>
    </w:p>
    <w:p w14:paraId="2AD0622A" w14:textId="77777777" w:rsidR="00DC3646" w:rsidRPr="001908A3" w:rsidRDefault="00DC3646" w:rsidP="00DC3646">
      <w:pPr>
        <w:rPr>
          <w:rFonts w:ascii="Arial" w:hAnsi="Arial" w:cs="Arial"/>
        </w:rPr>
      </w:pPr>
      <w:r w:rsidRPr="001908A3">
        <w:rPr>
          <w:rFonts w:ascii="Arial" w:hAnsi="Arial" w:cs="Arial"/>
        </w:rPr>
        <w:t>Consideration</w:t>
      </w:r>
    </w:p>
    <w:p w14:paraId="1752BEBA" w14:textId="77777777" w:rsidR="00DC3646" w:rsidRPr="001908A3" w:rsidRDefault="00DC3646" w:rsidP="00DC3646">
      <w:pPr>
        <w:rPr>
          <w:rFonts w:ascii="Arial" w:hAnsi="Arial" w:cs="Arial"/>
        </w:rPr>
      </w:pPr>
      <w:r w:rsidRPr="001908A3">
        <w:rPr>
          <w:rFonts w:ascii="Arial" w:hAnsi="Arial" w:cs="Arial"/>
        </w:rPr>
        <w:t>3.1 Definition and Importance of Consideration</w:t>
      </w:r>
    </w:p>
    <w:p w14:paraId="5C6B9466" w14:textId="77777777" w:rsidR="00DC3646" w:rsidRPr="001908A3" w:rsidRDefault="00DC3646" w:rsidP="00DC3646">
      <w:pPr>
        <w:rPr>
          <w:rFonts w:ascii="Arial" w:hAnsi="Arial" w:cs="Arial"/>
        </w:rPr>
      </w:pPr>
      <w:r w:rsidRPr="001908A3">
        <w:rPr>
          <w:rFonts w:ascii="Arial" w:hAnsi="Arial" w:cs="Arial"/>
        </w:rPr>
        <w:t>3.2 Types of Consideration</w:t>
      </w:r>
    </w:p>
    <w:p w14:paraId="2628FB0D" w14:textId="77777777" w:rsidR="00DC3646" w:rsidRPr="001908A3" w:rsidRDefault="00DC3646" w:rsidP="00DC3646">
      <w:pPr>
        <w:rPr>
          <w:rFonts w:ascii="Arial" w:hAnsi="Arial" w:cs="Arial"/>
        </w:rPr>
      </w:pPr>
      <w:r w:rsidRPr="001908A3">
        <w:rPr>
          <w:rFonts w:ascii="Arial" w:hAnsi="Arial" w:cs="Arial"/>
        </w:rPr>
        <w:t>3.2.1 Peppercorn Consideration</w:t>
      </w:r>
    </w:p>
    <w:p w14:paraId="0D33EE14" w14:textId="77777777" w:rsidR="00DC3646" w:rsidRPr="001908A3" w:rsidRDefault="00DC3646" w:rsidP="00DC3646">
      <w:pPr>
        <w:rPr>
          <w:rFonts w:ascii="Arial" w:hAnsi="Arial" w:cs="Arial"/>
        </w:rPr>
      </w:pPr>
      <w:r w:rsidRPr="001908A3">
        <w:rPr>
          <w:rFonts w:ascii="Arial" w:hAnsi="Arial" w:cs="Arial"/>
        </w:rPr>
        <w:t>3.2.2 Executed and Executory Consideration</w:t>
      </w:r>
    </w:p>
    <w:p w14:paraId="1C412C44" w14:textId="77777777" w:rsidR="00DC3646" w:rsidRPr="001908A3" w:rsidRDefault="00DC3646" w:rsidP="00DC3646">
      <w:pPr>
        <w:rPr>
          <w:rFonts w:ascii="Arial" w:hAnsi="Arial" w:cs="Arial"/>
        </w:rPr>
      </w:pPr>
      <w:r w:rsidRPr="001908A3">
        <w:rPr>
          <w:rFonts w:ascii="Arial" w:hAnsi="Arial" w:cs="Arial"/>
        </w:rPr>
        <w:t>3.3 Criteria for Valid Consideration</w:t>
      </w:r>
    </w:p>
    <w:p w14:paraId="0B4BEC9F" w14:textId="77777777" w:rsidR="00DC3646" w:rsidRPr="001908A3" w:rsidRDefault="00DC3646" w:rsidP="00DC3646">
      <w:pPr>
        <w:rPr>
          <w:rFonts w:ascii="Arial" w:hAnsi="Arial" w:cs="Arial"/>
        </w:rPr>
      </w:pPr>
      <w:r w:rsidRPr="001908A3">
        <w:rPr>
          <w:rFonts w:ascii="Arial" w:hAnsi="Arial" w:cs="Arial"/>
        </w:rPr>
        <w:t>3.3.1 Legal Worth</w:t>
      </w:r>
    </w:p>
    <w:p w14:paraId="7AC140E9" w14:textId="77777777" w:rsidR="00DC3646" w:rsidRPr="001908A3" w:rsidRDefault="00DC3646" w:rsidP="00DC3646">
      <w:pPr>
        <w:rPr>
          <w:rFonts w:ascii="Arial" w:hAnsi="Arial" w:cs="Arial"/>
        </w:rPr>
      </w:pPr>
      <w:r w:rsidRPr="001908A3">
        <w:rPr>
          <w:rFonts w:ascii="Arial" w:hAnsi="Arial" w:cs="Arial"/>
        </w:rPr>
        <w:t>3.3.2 Case Example: Re McArdle</w:t>
      </w:r>
    </w:p>
    <w:p w14:paraId="62E430D7" w14:textId="77777777" w:rsidR="00DC3646" w:rsidRPr="001908A3" w:rsidRDefault="00DC3646" w:rsidP="00DC3646">
      <w:pPr>
        <w:rPr>
          <w:rFonts w:ascii="Arial" w:hAnsi="Arial" w:cs="Arial"/>
        </w:rPr>
      </w:pPr>
      <w:r w:rsidRPr="001908A3">
        <w:rPr>
          <w:rFonts w:ascii="Arial" w:hAnsi="Arial" w:cs="Arial"/>
        </w:rPr>
        <w:t>3.4 Issues with Consideration</w:t>
      </w:r>
    </w:p>
    <w:p w14:paraId="67328E3B" w14:textId="77777777" w:rsidR="00DC3646" w:rsidRPr="001908A3" w:rsidRDefault="00DC3646" w:rsidP="00DC3646">
      <w:pPr>
        <w:rPr>
          <w:rFonts w:ascii="Arial" w:hAnsi="Arial" w:cs="Arial"/>
        </w:rPr>
      </w:pPr>
      <w:r w:rsidRPr="001908A3">
        <w:rPr>
          <w:rFonts w:ascii="Arial" w:hAnsi="Arial" w:cs="Arial"/>
        </w:rPr>
        <w:t>3.4.1 Capacity Constraints</w:t>
      </w:r>
    </w:p>
    <w:p w14:paraId="19875D61" w14:textId="77777777" w:rsidR="00DC3646" w:rsidRPr="001908A3" w:rsidRDefault="00DC3646" w:rsidP="00DC3646">
      <w:pPr>
        <w:rPr>
          <w:rFonts w:ascii="Arial" w:hAnsi="Arial" w:cs="Arial"/>
        </w:rPr>
      </w:pPr>
      <w:r w:rsidRPr="001908A3">
        <w:rPr>
          <w:rFonts w:ascii="Arial" w:hAnsi="Arial" w:cs="Arial"/>
        </w:rPr>
        <w:t>3.4.2 Case Example: Tesco plc v Commissioners for Her Majesty's Revenue and Customs</w:t>
      </w:r>
    </w:p>
    <w:p w14:paraId="791613F2" w14:textId="77777777" w:rsidR="00DC3646" w:rsidRPr="001908A3" w:rsidRDefault="00DC3646" w:rsidP="00DC3646">
      <w:pPr>
        <w:rPr>
          <w:rFonts w:ascii="Arial" w:hAnsi="Arial" w:cs="Arial"/>
        </w:rPr>
      </w:pPr>
      <w:r w:rsidRPr="001908A3">
        <w:rPr>
          <w:rFonts w:ascii="Arial" w:hAnsi="Arial" w:cs="Arial"/>
        </w:rPr>
        <w:t>Reform Suggestions</w:t>
      </w:r>
    </w:p>
    <w:p w14:paraId="5F083694" w14:textId="77777777" w:rsidR="00DC3646" w:rsidRPr="001908A3" w:rsidRDefault="00DC3646" w:rsidP="00DC3646">
      <w:pPr>
        <w:rPr>
          <w:rFonts w:ascii="Arial" w:hAnsi="Arial" w:cs="Arial"/>
        </w:rPr>
      </w:pPr>
      <w:r w:rsidRPr="001908A3">
        <w:rPr>
          <w:rFonts w:ascii="Arial" w:hAnsi="Arial" w:cs="Arial"/>
        </w:rPr>
        <w:t>4.1 Overview of Legal, Policy, Institutional, and Political Reform</w:t>
      </w:r>
    </w:p>
    <w:p w14:paraId="5922BBC8" w14:textId="77777777" w:rsidR="00DC3646" w:rsidRPr="001908A3" w:rsidRDefault="00DC3646" w:rsidP="00DC3646">
      <w:pPr>
        <w:rPr>
          <w:rFonts w:ascii="Arial" w:hAnsi="Arial" w:cs="Arial"/>
        </w:rPr>
      </w:pPr>
      <w:r w:rsidRPr="001908A3">
        <w:rPr>
          <w:rFonts w:ascii="Arial" w:hAnsi="Arial" w:cs="Arial"/>
        </w:rPr>
        <w:t>Conclusion</w:t>
      </w:r>
    </w:p>
    <w:p w14:paraId="248AD6B4" w14:textId="77777777" w:rsidR="00DC3646" w:rsidRPr="001908A3" w:rsidRDefault="00DC3646" w:rsidP="00DC3646">
      <w:pPr>
        <w:rPr>
          <w:rFonts w:ascii="Arial" w:hAnsi="Arial" w:cs="Arial"/>
        </w:rPr>
      </w:pPr>
      <w:r w:rsidRPr="001908A3">
        <w:rPr>
          <w:rFonts w:ascii="Arial" w:hAnsi="Arial" w:cs="Arial"/>
        </w:rPr>
        <w:t>5.1 Summary of Findings</w:t>
      </w:r>
    </w:p>
    <w:p w14:paraId="7D5B7235" w14:textId="77777777" w:rsidR="00DC3646" w:rsidRPr="001908A3" w:rsidRDefault="00DC3646" w:rsidP="00DC3646">
      <w:pPr>
        <w:rPr>
          <w:rFonts w:ascii="Arial" w:hAnsi="Arial" w:cs="Arial"/>
        </w:rPr>
      </w:pPr>
      <w:r w:rsidRPr="001908A3">
        <w:rPr>
          <w:rFonts w:ascii="Arial" w:hAnsi="Arial" w:cs="Arial"/>
        </w:rPr>
        <w:t>5.2 Implications and Future Considerations</w:t>
      </w:r>
    </w:p>
    <w:p w14:paraId="76D787CB" w14:textId="38394BA6" w:rsidR="003D74D0" w:rsidRPr="001908A3" w:rsidRDefault="00DC3646" w:rsidP="00DC3646">
      <w:pPr>
        <w:rPr>
          <w:rFonts w:ascii="Arial" w:hAnsi="Arial" w:cs="Arial"/>
        </w:rPr>
      </w:pPr>
      <w:r w:rsidRPr="001908A3">
        <w:rPr>
          <w:rFonts w:ascii="Arial" w:hAnsi="Arial" w:cs="Arial"/>
        </w:rPr>
        <w:t>References</w:t>
      </w:r>
    </w:p>
    <w:p w14:paraId="10D74FCF" w14:textId="77777777" w:rsidR="003D74D0" w:rsidRPr="001908A3" w:rsidRDefault="003D74D0" w:rsidP="002449E7">
      <w:pPr>
        <w:rPr>
          <w:rFonts w:ascii="Arial" w:hAnsi="Arial" w:cs="Arial"/>
          <w:b/>
          <w:bCs/>
          <w:i/>
          <w:iCs/>
        </w:rPr>
      </w:pPr>
    </w:p>
    <w:p w14:paraId="178A7415" w14:textId="77777777" w:rsidR="003D74D0" w:rsidRPr="001908A3" w:rsidRDefault="003D74D0" w:rsidP="002449E7">
      <w:pPr>
        <w:rPr>
          <w:rFonts w:ascii="Arial" w:hAnsi="Arial" w:cs="Arial"/>
          <w:b/>
          <w:bCs/>
          <w:i/>
          <w:iCs/>
        </w:rPr>
      </w:pPr>
    </w:p>
    <w:p w14:paraId="0A395CC9" w14:textId="77777777" w:rsidR="003D74D0" w:rsidRPr="001908A3" w:rsidRDefault="003D74D0" w:rsidP="002449E7">
      <w:pPr>
        <w:rPr>
          <w:rFonts w:ascii="Arial" w:hAnsi="Arial" w:cs="Arial"/>
          <w:b/>
          <w:bCs/>
          <w:i/>
          <w:iCs/>
        </w:rPr>
      </w:pPr>
    </w:p>
    <w:p w14:paraId="586AC455" w14:textId="77777777" w:rsidR="003D74D0" w:rsidRPr="001908A3" w:rsidRDefault="003D74D0" w:rsidP="002449E7">
      <w:pPr>
        <w:rPr>
          <w:rFonts w:ascii="Arial" w:hAnsi="Arial" w:cs="Arial"/>
          <w:b/>
          <w:bCs/>
          <w:i/>
          <w:iCs/>
        </w:rPr>
      </w:pPr>
    </w:p>
    <w:p w14:paraId="3E8CB4FC" w14:textId="77777777" w:rsidR="003D74D0" w:rsidRPr="001908A3" w:rsidRDefault="003D74D0" w:rsidP="002449E7">
      <w:pPr>
        <w:rPr>
          <w:rFonts w:ascii="Arial" w:hAnsi="Arial" w:cs="Arial"/>
          <w:b/>
          <w:bCs/>
          <w:i/>
          <w:iCs/>
        </w:rPr>
      </w:pPr>
    </w:p>
    <w:p w14:paraId="4846EEDA" w14:textId="77777777" w:rsidR="003D74D0" w:rsidRPr="001908A3" w:rsidRDefault="003D74D0" w:rsidP="002449E7">
      <w:pPr>
        <w:rPr>
          <w:rFonts w:ascii="Arial" w:hAnsi="Arial" w:cs="Arial"/>
          <w:b/>
          <w:bCs/>
          <w:i/>
          <w:iCs/>
        </w:rPr>
      </w:pPr>
    </w:p>
    <w:p w14:paraId="6E76DA83" w14:textId="77777777" w:rsidR="003D74D0" w:rsidRPr="001908A3" w:rsidRDefault="003D74D0" w:rsidP="002449E7">
      <w:pPr>
        <w:rPr>
          <w:rFonts w:ascii="Arial" w:hAnsi="Arial" w:cs="Arial"/>
          <w:b/>
          <w:bCs/>
          <w:i/>
          <w:iCs/>
        </w:rPr>
      </w:pPr>
    </w:p>
    <w:p w14:paraId="6D854C0C" w14:textId="77777777" w:rsidR="003D74D0" w:rsidRPr="001908A3" w:rsidRDefault="003D74D0" w:rsidP="002449E7">
      <w:pPr>
        <w:rPr>
          <w:rFonts w:ascii="Arial" w:hAnsi="Arial" w:cs="Arial"/>
          <w:b/>
          <w:bCs/>
          <w:i/>
          <w:iCs/>
        </w:rPr>
      </w:pPr>
    </w:p>
    <w:p w14:paraId="38AF7A9A" w14:textId="77777777" w:rsidR="003D74D0" w:rsidRPr="001908A3" w:rsidRDefault="003D74D0" w:rsidP="002449E7">
      <w:pPr>
        <w:rPr>
          <w:rFonts w:ascii="Arial" w:hAnsi="Arial" w:cs="Arial"/>
          <w:b/>
          <w:bCs/>
          <w:i/>
          <w:iCs/>
        </w:rPr>
      </w:pPr>
    </w:p>
    <w:p w14:paraId="6186B075" w14:textId="77777777" w:rsidR="003D74D0" w:rsidRPr="001908A3" w:rsidRDefault="003D74D0" w:rsidP="002449E7">
      <w:pPr>
        <w:rPr>
          <w:rFonts w:ascii="Arial" w:hAnsi="Arial" w:cs="Arial"/>
          <w:b/>
          <w:bCs/>
          <w:i/>
          <w:iCs/>
        </w:rPr>
      </w:pPr>
    </w:p>
    <w:p w14:paraId="4C1D5798" w14:textId="77777777" w:rsidR="003D74D0" w:rsidRPr="001908A3" w:rsidRDefault="003D74D0" w:rsidP="002449E7">
      <w:pPr>
        <w:rPr>
          <w:rFonts w:ascii="Arial" w:hAnsi="Arial" w:cs="Arial"/>
          <w:b/>
          <w:bCs/>
          <w:i/>
          <w:iCs/>
        </w:rPr>
      </w:pPr>
    </w:p>
    <w:p w14:paraId="181C26C0" w14:textId="77777777" w:rsidR="003D74D0" w:rsidRPr="001908A3" w:rsidRDefault="003D74D0" w:rsidP="002449E7">
      <w:pPr>
        <w:rPr>
          <w:rFonts w:ascii="Arial" w:hAnsi="Arial" w:cs="Arial"/>
          <w:b/>
          <w:bCs/>
          <w:i/>
          <w:iCs/>
        </w:rPr>
      </w:pPr>
    </w:p>
    <w:p w14:paraId="339752F9" w14:textId="77777777" w:rsidR="003D74D0" w:rsidRPr="001908A3" w:rsidRDefault="003D74D0" w:rsidP="002449E7">
      <w:pPr>
        <w:rPr>
          <w:rFonts w:ascii="Arial" w:hAnsi="Arial" w:cs="Arial"/>
          <w:b/>
          <w:bCs/>
          <w:i/>
          <w:iCs/>
        </w:rPr>
      </w:pPr>
    </w:p>
    <w:p w14:paraId="5479C9B4" w14:textId="77777777" w:rsidR="003D74D0" w:rsidRPr="001908A3" w:rsidRDefault="003D74D0" w:rsidP="002449E7">
      <w:pPr>
        <w:rPr>
          <w:rFonts w:ascii="Arial" w:hAnsi="Arial" w:cs="Arial"/>
          <w:b/>
          <w:bCs/>
          <w:i/>
          <w:iCs/>
        </w:rPr>
      </w:pPr>
    </w:p>
    <w:p w14:paraId="19839756" w14:textId="77777777" w:rsidR="003D74D0" w:rsidRPr="001908A3" w:rsidRDefault="003D74D0" w:rsidP="002449E7">
      <w:pPr>
        <w:rPr>
          <w:rFonts w:ascii="Arial" w:hAnsi="Arial" w:cs="Arial"/>
          <w:b/>
          <w:bCs/>
          <w:i/>
          <w:iCs/>
        </w:rPr>
      </w:pPr>
    </w:p>
    <w:p w14:paraId="1930BE40" w14:textId="77777777" w:rsidR="003D74D0" w:rsidRPr="001908A3" w:rsidRDefault="003D74D0" w:rsidP="002449E7">
      <w:pPr>
        <w:rPr>
          <w:rFonts w:ascii="Arial" w:hAnsi="Arial" w:cs="Arial"/>
          <w:b/>
          <w:bCs/>
          <w:i/>
          <w:iCs/>
        </w:rPr>
      </w:pPr>
    </w:p>
    <w:p w14:paraId="46AEE268" w14:textId="77777777" w:rsidR="003D74D0" w:rsidRPr="001908A3" w:rsidRDefault="003D74D0" w:rsidP="002449E7">
      <w:pPr>
        <w:rPr>
          <w:rFonts w:ascii="Arial" w:hAnsi="Arial" w:cs="Arial"/>
          <w:b/>
          <w:bCs/>
          <w:i/>
          <w:iCs/>
        </w:rPr>
      </w:pPr>
    </w:p>
    <w:p w14:paraId="66DD2D47" w14:textId="77777777" w:rsidR="003D74D0" w:rsidRPr="001908A3" w:rsidRDefault="003D74D0" w:rsidP="002449E7">
      <w:pPr>
        <w:rPr>
          <w:rFonts w:ascii="Arial" w:hAnsi="Arial" w:cs="Arial"/>
          <w:b/>
          <w:bCs/>
          <w:i/>
          <w:iCs/>
        </w:rPr>
      </w:pPr>
    </w:p>
    <w:p w14:paraId="12223F3F" w14:textId="77777777" w:rsidR="003D74D0" w:rsidRPr="001908A3" w:rsidRDefault="003D74D0" w:rsidP="002449E7">
      <w:pPr>
        <w:rPr>
          <w:rFonts w:ascii="Arial" w:hAnsi="Arial" w:cs="Arial"/>
          <w:b/>
          <w:bCs/>
          <w:i/>
          <w:iCs/>
        </w:rPr>
      </w:pPr>
    </w:p>
    <w:p w14:paraId="45A46143" w14:textId="77777777" w:rsidR="003D74D0" w:rsidRPr="001908A3" w:rsidRDefault="003D74D0" w:rsidP="002449E7">
      <w:pPr>
        <w:rPr>
          <w:rFonts w:ascii="Arial" w:hAnsi="Arial" w:cs="Arial"/>
          <w:b/>
          <w:bCs/>
          <w:i/>
          <w:iCs/>
        </w:rPr>
      </w:pPr>
    </w:p>
    <w:p w14:paraId="418AAC24" w14:textId="77777777" w:rsidR="003D74D0" w:rsidRPr="001908A3" w:rsidRDefault="003D74D0" w:rsidP="002449E7">
      <w:pPr>
        <w:rPr>
          <w:rFonts w:ascii="Arial" w:hAnsi="Arial" w:cs="Arial"/>
          <w:b/>
          <w:bCs/>
          <w:i/>
          <w:iCs/>
        </w:rPr>
      </w:pPr>
    </w:p>
    <w:p w14:paraId="50B95CDA" w14:textId="77777777" w:rsidR="003D74D0" w:rsidRPr="001908A3" w:rsidRDefault="003D74D0" w:rsidP="002449E7">
      <w:pPr>
        <w:rPr>
          <w:rFonts w:ascii="Arial" w:hAnsi="Arial" w:cs="Arial"/>
          <w:b/>
          <w:bCs/>
          <w:i/>
          <w:iCs/>
        </w:rPr>
      </w:pPr>
    </w:p>
    <w:p w14:paraId="1D9F175B" w14:textId="77777777" w:rsidR="003D74D0" w:rsidRPr="001908A3" w:rsidRDefault="003D74D0" w:rsidP="002449E7">
      <w:pPr>
        <w:rPr>
          <w:rFonts w:ascii="Arial" w:hAnsi="Arial" w:cs="Arial"/>
          <w:b/>
          <w:bCs/>
          <w:i/>
          <w:iCs/>
        </w:rPr>
      </w:pPr>
    </w:p>
    <w:p w14:paraId="7F53A406" w14:textId="77777777" w:rsidR="00EA3627" w:rsidRPr="001908A3" w:rsidRDefault="00EA3627" w:rsidP="002449E7">
      <w:pPr>
        <w:rPr>
          <w:rFonts w:ascii="Arial" w:hAnsi="Arial" w:cs="Arial"/>
          <w:b/>
          <w:bCs/>
          <w:i/>
          <w:iCs/>
        </w:rPr>
      </w:pPr>
    </w:p>
    <w:p w14:paraId="66FF86EC" w14:textId="4905D1EF" w:rsidR="002449E7" w:rsidRPr="001908A3" w:rsidRDefault="002449E7" w:rsidP="002449E7">
      <w:pPr>
        <w:rPr>
          <w:rFonts w:ascii="Arial" w:hAnsi="Arial" w:cs="Arial"/>
          <w:b/>
          <w:bCs/>
          <w:i/>
          <w:iCs/>
        </w:rPr>
      </w:pPr>
      <w:r w:rsidRPr="001908A3">
        <w:rPr>
          <w:rFonts w:ascii="Arial" w:hAnsi="Arial" w:cs="Arial"/>
          <w:b/>
          <w:bCs/>
          <w:i/>
          <w:iCs/>
        </w:rPr>
        <w:lastRenderedPageBreak/>
        <w:t>Introduction</w:t>
      </w:r>
    </w:p>
    <w:p w14:paraId="7603914D" w14:textId="476ECCEA" w:rsidR="00732988" w:rsidRPr="001908A3" w:rsidRDefault="00732988" w:rsidP="002449E7">
      <w:pPr>
        <w:rPr>
          <w:rFonts w:ascii="Arial" w:hAnsi="Arial" w:cs="Arial"/>
        </w:rPr>
      </w:pPr>
      <w:r w:rsidRPr="001908A3">
        <w:rPr>
          <w:rFonts w:ascii="Arial" w:hAnsi="Arial" w:cs="Arial"/>
        </w:rPr>
        <w:t>In this report, it will evaluate the demonstrations of the considerations which lie under contract law and policies</w:t>
      </w:r>
      <w:r w:rsidR="00FD2EDB" w:rsidRPr="001908A3">
        <w:rPr>
          <w:rFonts w:ascii="Arial" w:hAnsi="Arial" w:cs="Arial"/>
        </w:rPr>
        <w:t xml:space="preserve">. The different types of considerations, the meaning of consideration and the issues that underlie with the role of consideration will be demonstrated in this report. </w:t>
      </w:r>
    </w:p>
    <w:p w14:paraId="1DF41340" w14:textId="77777777" w:rsidR="001369B5" w:rsidRPr="001908A3" w:rsidRDefault="001369B5" w:rsidP="002449E7">
      <w:pPr>
        <w:rPr>
          <w:rFonts w:ascii="Arial" w:hAnsi="Arial" w:cs="Arial"/>
        </w:rPr>
      </w:pPr>
    </w:p>
    <w:p w14:paraId="6EB98186" w14:textId="01C92DF0" w:rsidR="00FD2EDB" w:rsidRPr="001908A3" w:rsidRDefault="00FD2EDB" w:rsidP="002449E7">
      <w:pPr>
        <w:rPr>
          <w:rFonts w:ascii="Arial" w:hAnsi="Arial" w:cs="Arial"/>
          <w:b/>
          <w:bCs/>
          <w:i/>
          <w:iCs/>
        </w:rPr>
      </w:pPr>
      <w:r w:rsidRPr="001908A3">
        <w:rPr>
          <w:rFonts w:ascii="Arial" w:hAnsi="Arial" w:cs="Arial"/>
          <w:b/>
          <w:bCs/>
          <w:i/>
          <w:iCs/>
        </w:rPr>
        <w:t>Formation of a Contract</w:t>
      </w:r>
    </w:p>
    <w:p w14:paraId="2D816E91" w14:textId="77777777" w:rsidR="001E4E91" w:rsidRPr="001908A3" w:rsidRDefault="006439C4" w:rsidP="00E32D3E">
      <w:pPr>
        <w:rPr>
          <w:rFonts w:ascii="Arial" w:hAnsi="Arial" w:cs="Arial"/>
          <w:color w:val="000000"/>
        </w:rPr>
      </w:pPr>
      <w:r w:rsidRPr="001908A3">
        <w:rPr>
          <w:rFonts w:ascii="Arial" w:hAnsi="Arial" w:cs="Arial"/>
          <w:color w:val="000000"/>
        </w:rPr>
        <w:t>The creation of an offer, the offer's acceptance, and consideration are often the fundamental steps that result in the construction of a contract. As shown by the parties' stated intentions, mutual consent to the topic at hand is necessary for the establishment of an enforceable contract.</w:t>
      </w:r>
      <w:r w:rsidR="00440EF9" w:rsidRPr="001908A3">
        <w:rPr>
          <w:rFonts w:ascii="Arial" w:hAnsi="Arial" w:cs="Arial"/>
          <w:color w:val="000000"/>
        </w:rPr>
        <w:t xml:space="preserve"> You may ask what is an Offer of acceptance? </w:t>
      </w:r>
      <w:r w:rsidR="003631F7" w:rsidRPr="001908A3">
        <w:rPr>
          <w:rFonts w:ascii="Arial" w:hAnsi="Arial" w:cs="Arial"/>
          <w:color w:val="000000"/>
        </w:rPr>
        <w:t xml:space="preserve">A pledge made by one party to engage into a contract on </w:t>
      </w:r>
      <w:r w:rsidR="003631F7" w:rsidRPr="001908A3">
        <w:rPr>
          <w:rFonts w:ascii="Arial" w:hAnsi="Arial" w:cs="Arial"/>
          <w:color w:val="000000"/>
        </w:rPr>
        <w:t>terms</w:t>
      </w:r>
      <w:r w:rsidR="003631F7" w:rsidRPr="001908A3">
        <w:rPr>
          <w:rFonts w:ascii="Arial" w:hAnsi="Arial" w:cs="Arial"/>
          <w:color w:val="000000"/>
        </w:rPr>
        <w:t xml:space="preserve"> is called an offer. It needs to be clear, comprehensive, able to be accepted, and made with the goal of being bound by approval.</w:t>
      </w:r>
      <w:r w:rsidR="002540F8" w:rsidRPr="001908A3">
        <w:rPr>
          <w:rFonts w:ascii="Arial" w:hAnsi="Arial" w:cs="Arial"/>
          <w:color w:val="000000"/>
        </w:rPr>
        <w:t xml:space="preserve"> </w:t>
      </w:r>
      <w:r w:rsidR="002540F8" w:rsidRPr="001908A3">
        <w:rPr>
          <w:rFonts w:ascii="Arial" w:hAnsi="Arial" w:cs="Arial"/>
          <w:color w:val="000000"/>
        </w:rPr>
        <w:t>(Smits, 2017)</w:t>
      </w:r>
    </w:p>
    <w:p w14:paraId="710B17D1" w14:textId="77777777" w:rsidR="001E4E91" w:rsidRPr="001908A3" w:rsidRDefault="001E4E91" w:rsidP="00E32D3E">
      <w:pPr>
        <w:rPr>
          <w:rFonts w:ascii="Arial" w:hAnsi="Arial" w:cs="Arial"/>
          <w:color w:val="000000"/>
        </w:rPr>
      </w:pPr>
    </w:p>
    <w:p w14:paraId="203C9D11" w14:textId="597B7A2E" w:rsidR="00E32D3E" w:rsidRPr="001908A3" w:rsidRDefault="003631F7" w:rsidP="00E32D3E">
      <w:pPr>
        <w:rPr>
          <w:rFonts w:ascii="Arial" w:hAnsi="Arial" w:cs="Arial"/>
          <w:color w:val="000000"/>
        </w:rPr>
      </w:pPr>
      <w:r w:rsidRPr="001908A3">
        <w:rPr>
          <w:rFonts w:ascii="Arial" w:hAnsi="Arial" w:cs="Arial"/>
          <w:color w:val="000000"/>
        </w:rPr>
        <w:t xml:space="preserve"> Accepting an offer from the other party and turning it into a legally enforceable agreement is known as contract acceptance. It is a necessary component of a contract; without it, the agreement is void and </w:t>
      </w:r>
      <w:r w:rsidRPr="001908A3">
        <w:rPr>
          <w:rFonts w:ascii="Arial" w:hAnsi="Arial" w:cs="Arial"/>
          <w:color w:val="000000"/>
        </w:rPr>
        <w:t>unenforceable.</w:t>
      </w:r>
      <w:r w:rsidRPr="001908A3">
        <w:rPr>
          <w:rFonts w:ascii="Arial" w:hAnsi="Arial" w:cs="Arial"/>
          <w:color w:val="000000" w:themeColor="text1"/>
        </w:rPr>
        <w:t xml:space="preserve"> Say</w:t>
      </w:r>
      <w:r w:rsidR="00E32D3E" w:rsidRPr="001908A3">
        <w:rPr>
          <w:rFonts w:ascii="Arial" w:hAnsi="Arial" w:cs="Arial"/>
          <w:color w:val="000000" w:themeColor="text1"/>
        </w:rPr>
        <w:t>, for instance B accepts an offer from A to buy his automobile for £22,000. This is now being promised. The proposal becomes final as soon as it is accepted and forms a proposal. An offer becomes a promise if it is accepted; it does not impose any legal duties.</w:t>
      </w:r>
      <w:r w:rsidR="00E32D3E" w:rsidRPr="001908A3">
        <w:rPr>
          <w:rFonts w:ascii="Arial" w:hAnsi="Arial" w:cs="Arial"/>
          <w:color w:val="000000" w:themeColor="text1"/>
        </w:rPr>
        <w:t xml:space="preserve"> </w:t>
      </w:r>
      <w:r w:rsidR="00E32D3E" w:rsidRPr="001908A3">
        <w:rPr>
          <w:rFonts w:ascii="Arial" w:hAnsi="Arial" w:cs="Arial"/>
          <w:color w:val="000000"/>
        </w:rPr>
        <w:t>(Naidoo, 2021)</w:t>
      </w:r>
    </w:p>
    <w:p w14:paraId="5F5D917E" w14:textId="14724E83" w:rsidR="001E4E91" w:rsidRPr="001908A3" w:rsidRDefault="001E4E91" w:rsidP="00E32D3E">
      <w:pPr>
        <w:rPr>
          <w:rFonts w:ascii="Arial" w:hAnsi="Arial" w:cs="Arial"/>
          <w:color w:val="000000"/>
        </w:rPr>
      </w:pPr>
    </w:p>
    <w:p w14:paraId="2A284D8C" w14:textId="77777777" w:rsidR="004C3A2E" w:rsidRPr="001908A3" w:rsidRDefault="001E4E91" w:rsidP="004C3A2E">
      <w:pPr>
        <w:rPr>
          <w:rFonts w:ascii="Arial" w:hAnsi="Arial" w:cs="Arial"/>
        </w:rPr>
      </w:pPr>
      <w:r w:rsidRPr="001908A3">
        <w:rPr>
          <w:rFonts w:ascii="Arial" w:hAnsi="Arial" w:cs="Arial"/>
          <w:color w:val="000000"/>
        </w:rPr>
        <w:t xml:space="preserve">Providing evidence, the case of Felthouse V Bindley (1862) </w:t>
      </w:r>
      <w:r w:rsidR="004C3A2E" w:rsidRPr="001908A3">
        <w:rPr>
          <w:rFonts w:ascii="Arial" w:hAnsi="Arial" w:cs="Arial"/>
          <w:color w:val="000000"/>
        </w:rPr>
        <w:t>Aul Felthouse sued Mr. Bindley for conversion, claiming that there was a legitimate contract and that he had to prove the horse was his. Since the nephew had not indicated that he accepted the complainant's offer, Mr. Bindley maintained that there was no legal contract for the horse.</w:t>
      </w:r>
    </w:p>
    <w:p w14:paraId="09430EC7" w14:textId="77777777" w:rsidR="001369B5" w:rsidRPr="001908A3" w:rsidRDefault="001369B5" w:rsidP="00E32D3E">
      <w:pPr>
        <w:rPr>
          <w:rFonts w:ascii="Arial" w:hAnsi="Arial" w:cs="Arial"/>
          <w:color w:val="000000"/>
        </w:rPr>
      </w:pPr>
    </w:p>
    <w:p w14:paraId="685AE356" w14:textId="18A190F7" w:rsidR="003631F7" w:rsidRPr="001908A3" w:rsidRDefault="003631F7" w:rsidP="00E32D3E">
      <w:pPr>
        <w:rPr>
          <w:rFonts w:ascii="Arial" w:hAnsi="Arial" w:cs="Arial"/>
          <w:b/>
          <w:bCs/>
          <w:i/>
          <w:iCs/>
          <w:color w:val="000000"/>
        </w:rPr>
      </w:pPr>
      <w:r w:rsidRPr="001908A3">
        <w:rPr>
          <w:rFonts w:ascii="Arial" w:hAnsi="Arial" w:cs="Arial"/>
          <w:b/>
          <w:bCs/>
          <w:i/>
          <w:iCs/>
          <w:color w:val="000000"/>
        </w:rPr>
        <w:t>Consideration</w:t>
      </w:r>
    </w:p>
    <w:p w14:paraId="32EEC526" w14:textId="3EC9556C" w:rsidR="001E4E91" w:rsidRPr="001908A3" w:rsidRDefault="001E4E91" w:rsidP="00C237B3">
      <w:pPr>
        <w:spacing w:after="240"/>
        <w:rPr>
          <w:rFonts w:ascii="Arial" w:hAnsi="Arial" w:cs="Arial"/>
        </w:rPr>
      </w:pPr>
      <w:r w:rsidRPr="001E4E91">
        <w:rPr>
          <w:rFonts w:ascii="Arial" w:hAnsi="Arial" w:cs="Arial"/>
          <w:color w:val="000000"/>
        </w:rPr>
        <w:t>The amount paid under a contract for goods or services, or a pledge to perform (or not perform) a certain action in return, is known as consideration. Money is typically involved, although other valuables might also be exchanged. To render a contract legally enforceable, consideration of value must be provided by the contractual party; other parties are not permitted to provide it.</w:t>
      </w:r>
      <w:r w:rsidR="004C3A2E" w:rsidRPr="001908A3">
        <w:rPr>
          <w:rFonts w:ascii="Arial" w:hAnsi="Arial" w:cs="Arial"/>
          <w:color w:val="000000"/>
        </w:rPr>
        <w:t xml:space="preserve"> A consideration is a benefit towards an agreement that is used to persuade someone into a contract, that is then a legal bide.</w:t>
      </w:r>
      <w:r w:rsidR="00435199" w:rsidRPr="001908A3">
        <w:rPr>
          <w:rFonts w:ascii="Arial" w:hAnsi="Arial" w:cs="Arial"/>
          <w:color w:val="000000"/>
        </w:rPr>
        <w:t xml:space="preserve"> </w:t>
      </w:r>
      <w:r w:rsidR="00435199" w:rsidRPr="001908A3">
        <w:rPr>
          <w:rFonts w:ascii="Arial" w:hAnsi="Arial" w:cs="Arial"/>
        </w:rPr>
        <w:t xml:space="preserve">Importantly, the consideration must have legal value and be adequate to sustain the contract. It does not need to be of equal worth to both parties, </w:t>
      </w:r>
      <w:r w:rsidR="003B0453" w:rsidRPr="001908A3">
        <w:rPr>
          <w:rFonts w:ascii="Arial" w:hAnsi="Arial" w:cs="Arial"/>
        </w:rPr>
        <w:t>and</w:t>
      </w:r>
      <w:r w:rsidR="00435199" w:rsidRPr="001908A3">
        <w:rPr>
          <w:rFonts w:ascii="Arial" w:hAnsi="Arial" w:cs="Arial"/>
        </w:rPr>
        <w:t xml:space="preserve"> does it have to be monetary. The </w:t>
      </w:r>
      <w:proofErr w:type="gramStart"/>
      <w:r w:rsidR="00435199" w:rsidRPr="001908A3">
        <w:rPr>
          <w:rFonts w:ascii="Arial" w:hAnsi="Arial" w:cs="Arial"/>
        </w:rPr>
        <w:t>criteria</w:t>
      </w:r>
      <w:proofErr w:type="gramEnd"/>
      <w:r w:rsidR="00435199" w:rsidRPr="001908A3">
        <w:rPr>
          <w:rFonts w:ascii="Arial" w:hAnsi="Arial" w:cs="Arial"/>
        </w:rPr>
        <w:t xml:space="preserve"> of consideration is typically met as long as some type of value exchange occurs.</w:t>
      </w:r>
      <w:r w:rsidR="0098483D" w:rsidRPr="001908A3">
        <w:rPr>
          <w:rFonts w:ascii="Arial" w:hAnsi="Arial" w:cs="Arial"/>
        </w:rPr>
        <w:t xml:space="preserve"> </w:t>
      </w:r>
      <w:r w:rsidR="0098483D" w:rsidRPr="001908A3">
        <w:rPr>
          <w:rFonts w:ascii="Arial" w:hAnsi="Arial" w:cs="Arial"/>
          <w:color w:val="0D0D0D"/>
          <w:shd w:val="clear" w:color="auto" w:fill="FFFFFF"/>
        </w:rPr>
        <w:t xml:space="preserve">(Mulcahy, Tillotson, &amp; Tabb, </w:t>
      </w:r>
      <w:r w:rsidR="0098483D" w:rsidRPr="001908A3">
        <w:rPr>
          <w:rFonts w:ascii="Arial" w:hAnsi="Arial" w:cs="Arial"/>
          <w:color w:val="0D0D0D"/>
          <w:shd w:val="clear" w:color="auto" w:fill="FFFFFF"/>
        </w:rPr>
        <w:t>2004</w:t>
      </w:r>
      <w:r w:rsidR="0098483D" w:rsidRPr="001908A3">
        <w:rPr>
          <w:rFonts w:ascii="Arial" w:hAnsi="Arial" w:cs="Arial"/>
          <w:color w:val="0D0D0D"/>
          <w:shd w:val="clear" w:color="auto" w:fill="FFFFFF"/>
        </w:rPr>
        <w:t>)</w:t>
      </w:r>
      <w:r w:rsidR="00435199" w:rsidRPr="001908A3">
        <w:rPr>
          <w:rFonts w:ascii="Arial" w:hAnsi="Arial" w:cs="Arial"/>
        </w:rPr>
        <w:br/>
      </w:r>
      <w:r w:rsidR="00435199" w:rsidRPr="001908A3">
        <w:rPr>
          <w:rFonts w:ascii="Arial" w:hAnsi="Arial" w:cs="Arial"/>
        </w:rPr>
        <w:br/>
        <w:t>However, consideration cannot be deceiving, in the past, or unlawful. Unattainable consideration refers to commitments that are so vague or indeterminate that they do not impose any legal obligations. Past consideration refers to something that was provided or accomplished prior to the formation of the contract and is often not legitimate consideration. Additionally, consideration that is illegal or opposed to public policy is not enforceable.</w:t>
      </w:r>
      <w:r w:rsidR="00C237B3" w:rsidRPr="001908A3">
        <w:rPr>
          <w:rFonts w:ascii="Arial" w:hAnsi="Arial" w:cs="Arial"/>
        </w:rPr>
        <w:t xml:space="preserve"> </w:t>
      </w:r>
      <w:r w:rsidR="004C3A2E" w:rsidRPr="001908A3">
        <w:rPr>
          <w:rFonts w:ascii="Arial" w:hAnsi="Arial" w:cs="Arial"/>
          <w:color w:val="000000"/>
        </w:rPr>
        <w:t>(Fisher, 2018)</w:t>
      </w:r>
    </w:p>
    <w:p w14:paraId="5B2CA50C" w14:textId="77777777" w:rsidR="00C50BE3" w:rsidRPr="001908A3" w:rsidRDefault="00C50BE3" w:rsidP="001E4E91">
      <w:pPr>
        <w:rPr>
          <w:rFonts w:ascii="Arial" w:hAnsi="Arial" w:cs="Arial"/>
          <w:color w:val="000000"/>
        </w:rPr>
      </w:pPr>
    </w:p>
    <w:p w14:paraId="1CC143DB" w14:textId="77777777" w:rsidR="001369B5" w:rsidRPr="001908A3" w:rsidRDefault="001369B5" w:rsidP="001E4E91">
      <w:pPr>
        <w:rPr>
          <w:rFonts w:ascii="Arial" w:hAnsi="Arial" w:cs="Arial"/>
          <w:b/>
          <w:bCs/>
          <w:i/>
          <w:iCs/>
          <w:color w:val="000000"/>
        </w:rPr>
      </w:pPr>
    </w:p>
    <w:p w14:paraId="43E645D2" w14:textId="4CDEDC96" w:rsidR="00C50BE3" w:rsidRPr="001908A3" w:rsidRDefault="00C50BE3" w:rsidP="001E4E91">
      <w:pPr>
        <w:rPr>
          <w:rFonts w:ascii="Arial" w:hAnsi="Arial" w:cs="Arial"/>
          <w:b/>
          <w:bCs/>
          <w:i/>
          <w:iCs/>
          <w:color w:val="000000"/>
        </w:rPr>
      </w:pPr>
      <w:r w:rsidRPr="001908A3">
        <w:rPr>
          <w:rFonts w:ascii="Arial" w:hAnsi="Arial" w:cs="Arial"/>
          <w:b/>
          <w:bCs/>
          <w:i/>
          <w:iCs/>
          <w:color w:val="000000"/>
        </w:rPr>
        <w:lastRenderedPageBreak/>
        <w:t>Types of Consideration</w:t>
      </w:r>
    </w:p>
    <w:p w14:paraId="48C01EF7" w14:textId="387913FF" w:rsidR="0018601B" w:rsidRPr="001908A3" w:rsidRDefault="00C50BE3" w:rsidP="0018601B">
      <w:pPr>
        <w:rPr>
          <w:rFonts w:ascii="Arial" w:hAnsi="Arial" w:cs="Arial"/>
        </w:rPr>
      </w:pPr>
      <w:r w:rsidRPr="00C50BE3">
        <w:rPr>
          <w:rFonts w:ascii="Arial" w:hAnsi="Arial" w:cs="Arial"/>
          <w:color w:val="000000"/>
        </w:rPr>
        <w:t>A peppercorn, as used in legalese, is a metaphor for a very little financial payment or other nominal value that satisfies the conditions necessary for the formation of a legally binding agreement.</w:t>
      </w:r>
      <w:r w:rsidRPr="001908A3">
        <w:rPr>
          <w:rFonts w:ascii="Arial" w:hAnsi="Arial" w:cs="Arial"/>
          <w:color w:val="000000"/>
        </w:rPr>
        <w:t xml:space="preserve"> This technique is used to meet legal requirements without the need of large expenditures. It is seen more as a ‘token of appreciation’.</w:t>
      </w:r>
      <w:r w:rsidR="0034348D" w:rsidRPr="001908A3">
        <w:rPr>
          <w:rFonts w:ascii="Arial" w:hAnsi="Arial" w:cs="Arial"/>
        </w:rPr>
        <w:t xml:space="preserve"> </w:t>
      </w:r>
      <w:r w:rsidR="0018601B" w:rsidRPr="001908A3">
        <w:rPr>
          <w:rFonts w:ascii="Arial" w:hAnsi="Arial" w:cs="Arial"/>
        </w:rPr>
        <w:t>The term is derived from old English contract law, where it represents the idea that consideration does not have to be of great value to be legitimate. Just as a single peppercorn might fulfil the criterion of consideration, a little sum or symbolic gesture can render a contract legally enforceable.</w:t>
      </w:r>
      <w:r w:rsidR="0018601B" w:rsidRPr="001908A3">
        <w:rPr>
          <w:rFonts w:ascii="Arial" w:hAnsi="Arial" w:cs="Arial"/>
        </w:rPr>
        <w:br/>
      </w:r>
      <w:r w:rsidR="0018601B" w:rsidRPr="001908A3">
        <w:rPr>
          <w:rFonts w:ascii="Arial" w:hAnsi="Arial" w:cs="Arial"/>
        </w:rPr>
        <w:br/>
        <w:t xml:space="preserve">The usage of the term "peppercorn" emphasises the notion that consideration does not have to be proportionate to the value of the goods or services transferred under the contract. </w:t>
      </w:r>
      <w:r w:rsidR="0018601B" w:rsidRPr="001908A3">
        <w:rPr>
          <w:rFonts w:ascii="Arial" w:hAnsi="Arial" w:cs="Arial"/>
        </w:rPr>
        <w:t>If</w:t>
      </w:r>
      <w:r w:rsidR="0018601B" w:rsidRPr="001908A3">
        <w:rPr>
          <w:rFonts w:ascii="Arial" w:hAnsi="Arial" w:cs="Arial"/>
        </w:rPr>
        <w:t xml:space="preserve"> there is some type of trade, no matter how minor, the contract is considered genuine.</w:t>
      </w:r>
    </w:p>
    <w:p w14:paraId="568869B3" w14:textId="0D70B33D" w:rsidR="00C50BE3" w:rsidRPr="001908A3" w:rsidRDefault="0034348D" w:rsidP="001E4E91">
      <w:pPr>
        <w:rPr>
          <w:rFonts w:ascii="Arial" w:hAnsi="Arial" w:cs="Arial"/>
          <w:color w:val="000000"/>
        </w:rPr>
      </w:pPr>
      <w:r w:rsidRPr="001908A3">
        <w:rPr>
          <w:rFonts w:ascii="Arial" w:hAnsi="Arial" w:cs="Arial"/>
          <w:color w:val="000000"/>
        </w:rPr>
        <w:t>(Arvand, 2017)</w:t>
      </w:r>
    </w:p>
    <w:p w14:paraId="001701B0" w14:textId="77777777" w:rsidR="003B21E4" w:rsidRPr="001908A3" w:rsidRDefault="003B21E4" w:rsidP="001E4E91">
      <w:pPr>
        <w:rPr>
          <w:rFonts w:ascii="Arial" w:hAnsi="Arial" w:cs="Arial"/>
          <w:color w:val="000000"/>
        </w:rPr>
      </w:pPr>
    </w:p>
    <w:p w14:paraId="25E71A2F" w14:textId="2BA92879" w:rsidR="003B21E4" w:rsidRPr="001908A3" w:rsidRDefault="003B21E4" w:rsidP="003B21E4">
      <w:pPr>
        <w:rPr>
          <w:rFonts w:ascii="Arial" w:hAnsi="Arial" w:cs="Arial"/>
          <w:color w:val="000000"/>
        </w:rPr>
      </w:pPr>
      <w:r w:rsidRPr="003B21E4">
        <w:rPr>
          <w:rFonts w:ascii="Arial" w:hAnsi="Arial" w:cs="Arial"/>
          <w:color w:val="000000"/>
        </w:rPr>
        <w:t>When the promisee gives the promisor what he wants in exchange for the promisor making a promise, this is known as executed consideration.</w:t>
      </w:r>
      <w:r w:rsidRPr="001908A3">
        <w:rPr>
          <w:rFonts w:ascii="Arial" w:hAnsi="Arial" w:cs="Arial"/>
          <w:color w:val="000000"/>
        </w:rPr>
        <w:t xml:space="preserve"> </w:t>
      </w:r>
      <w:r w:rsidR="00AF2F6F" w:rsidRPr="001908A3">
        <w:rPr>
          <w:rFonts w:ascii="Arial" w:hAnsi="Arial" w:cs="Arial"/>
          <w:color w:val="000000"/>
        </w:rPr>
        <w:t>When two parties agree to exchange something of value later, this is known as executory consideration. Both the contract and this pledge are not yet fully carried out. Let's take an example where you consent to buy a software license from a software provider, but the license hasn't arrived yet. Your mutual pledges to one another then become executory consideration. Executory consideration serves as the legal foundation for a breach of contract litigation in the event that one party breaches the agreement.</w:t>
      </w:r>
      <w:r w:rsidR="00AF2F6F" w:rsidRPr="001908A3">
        <w:rPr>
          <w:rFonts w:ascii="Arial" w:hAnsi="Arial" w:cs="Arial"/>
        </w:rPr>
        <w:t xml:space="preserve"> </w:t>
      </w:r>
      <w:r w:rsidR="00945ED0" w:rsidRPr="001908A3">
        <w:rPr>
          <w:rFonts w:ascii="Arial" w:hAnsi="Arial" w:cs="Arial"/>
          <w:color w:val="000000"/>
        </w:rPr>
        <w:t>(Whaley &amp; Horton, 2023)</w:t>
      </w:r>
    </w:p>
    <w:p w14:paraId="0D6C444C" w14:textId="77777777" w:rsidR="00AF2F6F" w:rsidRPr="001908A3" w:rsidRDefault="00AF2F6F" w:rsidP="003B21E4">
      <w:pPr>
        <w:rPr>
          <w:rFonts w:ascii="Arial" w:hAnsi="Arial" w:cs="Arial"/>
          <w:color w:val="000000"/>
        </w:rPr>
      </w:pPr>
    </w:p>
    <w:p w14:paraId="3D249D7F" w14:textId="7C4903A1" w:rsidR="00AF2F6F" w:rsidRPr="001908A3" w:rsidRDefault="00AF2F6F" w:rsidP="003B21E4">
      <w:pPr>
        <w:rPr>
          <w:rFonts w:ascii="Arial" w:hAnsi="Arial" w:cs="Arial"/>
          <w:b/>
          <w:bCs/>
          <w:i/>
          <w:iCs/>
          <w:color w:val="000000"/>
        </w:rPr>
      </w:pPr>
      <w:r w:rsidRPr="001908A3">
        <w:rPr>
          <w:rFonts w:ascii="Arial" w:hAnsi="Arial" w:cs="Arial"/>
          <w:b/>
          <w:bCs/>
          <w:i/>
          <w:iCs/>
          <w:color w:val="000000"/>
        </w:rPr>
        <w:t>When consideration is valid</w:t>
      </w:r>
    </w:p>
    <w:p w14:paraId="223D25E1" w14:textId="77777777" w:rsidR="00C61297" w:rsidRPr="00C61297" w:rsidRDefault="00C61297" w:rsidP="00C61297">
      <w:pPr>
        <w:spacing w:after="240"/>
        <w:rPr>
          <w:rFonts w:ascii="Arial" w:hAnsi="Arial" w:cs="Arial"/>
        </w:rPr>
      </w:pPr>
      <w:r w:rsidRPr="00C61297">
        <w:rPr>
          <w:rFonts w:ascii="Arial" w:hAnsi="Arial" w:cs="Arial"/>
        </w:rPr>
        <w:t>In contract law, consideration is lawful if it fits specific characteristics. Consideration is an essential component of a legally enforceable contract and refers to something of value transferred between contracting parties. For consideration to be legitimate, it must fulfil the following criteria:</w:t>
      </w:r>
    </w:p>
    <w:p w14:paraId="425730A2" w14:textId="47F1BC8F" w:rsidR="004E39BF" w:rsidRPr="001908A3" w:rsidRDefault="00F07C3B" w:rsidP="003B21E4">
      <w:pPr>
        <w:rPr>
          <w:rFonts w:ascii="Arial" w:hAnsi="Arial" w:cs="Arial"/>
          <w:color w:val="000000"/>
        </w:rPr>
      </w:pPr>
      <w:r w:rsidRPr="001908A3">
        <w:rPr>
          <w:rFonts w:ascii="Arial" w:hAnsi="Arial" w:cs="Arial"/>
          <w:color w:val="000000"/>
        </w:rPr>
        <w:t xml:space="preserve">Consideration is only valid when the contract between the promiser and the promisee makes an offer of acceptance. Without agreement between both parties, there is no valid contract, which makes the consideration invalid. </w:t>
      </w:r>
      <w:r w:rsidR="0058405F" w:rsidRPr="001908A3">
        <w:rPr>
          <w:rFonts w:ascii="Arial" w:hAnsi="Arial" w:cs="Arial"/>
          <w:color w:val="000000"/>
        </w:rPr>
        <w:t xml:space="preserve">At a deeper level, contracts </w:t>
      </w:r>
      <w:r w:rsidR="00865974" w:rsidRPr="001908A3">
        <w:rPr>
          <w:rFonts w:ascii="Arial" w:hAnsi="Arial" w:cs="Arial"/>
          <w:color w:val="000000"/>
        </w:rPr>
        <w:t>must</w:t>
      </w:r>
      <w:r w:rsidR="0058405F" w:rsidRPr="001908A3">
        <w:rPr>
          <w:rFonts w:ascii="Arial" w:hAnsi="Arial" w:cs="Arial"/>
          <w:color w:val="000000"/>
        </w:rPr>
        <w:t xml:space="preserve"> abide to the law.</w:t>
      </w:r>
      <w:r w:rsidR="003F2949" w:rsidRPr="001908A3">
        <w:rPr>
          <w:rFonts w:ascii="Arial" w:hAnsi="Arial" w:cs="Arial"/>
          <w:color w:val="000000"/>
        </w:rPr>
        <w:t xml:space="preserve"> </w:t>
      </w:r>
      <w:r w:rsidR="00BD71CE" w:rsidRPr="001908A3">
        <w:rPr>
          <w:rFonts w:ascii="Arial" w:hAnsi="Arial" w:cs="Arial"/>
          <w:color w:val="000000" w:themeColor="text1"/>
          <w:shd w:val="clear" w:color="auto" w:fill="FFFFFF"/>
        </w:rPr>
        <w:t>(Chen-Wishart, 2022)</w:t>
      </w:r>
      <w:r w:rsidR="0058405F" w:rsidRPr="001908A3">
        <w:rPr>
          <w:rFonts w:ascii="Arial" w:hAnsi="Arial" w:cs="Arial"/>
          <w:color w:val="000000" w:themeColor="text1"/>
        </w:rPr>
        <w:t xml:space="preserve"> </w:t>
      </w:r>
      <w:r w:rsidR="0058405F" w:rsidRPr="001908A3">
        <w:rPr>
          <w:rFonts w:ascii="Arial" w:hAnsi="Arial" w:cs="Arial"/>
          <w:color w:val="000000"/>
        </w:rPr>
        <w:t xml:space="preserve">Only contracts which create win-win situations will be accepted, both parties will have to provide a value for it to be accepted, there must be consideration in this type of </w:t>
      </w:r>
      <w:r w:rsidR="00865974" w:rsidRPr="001908A3">
        <w:rPr>
          <w:rFonts w:ascii="Arial" w:hAnsi="Arial" w:cs="Arial"/>
          <w:color w:val="000000"/>
        </w:rPr>
        <w:t xml:space="preserve">situation. </w:t>
      </w:r>
    </w:p>
    <w:p w14:paraId="676139F0" w14:textId="77777777" w:rsidR="00C7780A" w:rsidRPr="001908A3" w:rsidRDefault="00C7780A" w:rsidP="003B21E4">
      <w:pPr>
        <w:rPr>
          <w:rFonts w:ascii="Arial" w:hAnsi="Arial" w:cs="Arial"/>
          <w:color w:val="000000"/>
        </w:rPr>
      </w:pPr>
    </w:p>
    <w:p w14:paraId="39A8DFCB" w14:textId="3000A787" w:rsidR="001E037F" w:rsidRPr="001908A3" w:rsidRDefault="00C7780A" w:rsidP="001E037F">
      <w:pPr>
        <w:spacing w:after="240"/>
        <w:rPr>
          <w:rFonts w:ascii="Arial" w:hAnsi="Arial" w:cs="Arial"/>
          <w:color w:val="0D0D0D"/>
          <w:shd w:val="clear" w:color="auto" w:fill="FFFFFF"/>
        </w:rPr>
      </w:pPr>
      <w:r w:rsidRPr="00C7780A">
        <w:rPr>
          <w:rFonts w:ascii="Arial" w:hAnsi="Arial" w:cs="Arial"/>
        </w:rPr>
        <w:t xml:space="preserve">Legal worth: Consideration must have legal worth, which means that it must include something concrete or intangible that benefits the parties concerned economically or practically. This might be money, goods, services, promises to do an act, commitments to refrain from doing something, or even a refusal to act. Consideration does not have to be of equal value or adequacy between the parties. </w:t>
      </w:r>
      <w:r w:rsidRPr="001908A3">
        <w:rPr>
          <w:rFonts w:ascii="Arial" w:hAnsi="Arial" w:cs="Arial"/>
        </w:rPr>
        <w:t>If</w:t>
      </w:r>
      <w:r w:rsidRPr="00C7780A">
        <w:rPr>
          <w:rFonts w:ascii="Arial" w:hAnsi="Arial" w:cs="Arial"/>
        </w:rPr>
        <w:t xml:space="preserve"> there is some value traded, the consideration is usually adequate to maintain the contract. However, consideration cannot be illusory or insignificant; it must have some </w:t>
      </w:r>
      <w:r w:rsidR="001E037F" w:rsidRPr="001908A3">
        <w:rPr>
          <w:rFonts w:ascii="Arial" w:hAnsi="Arial" w:cs="Arial"/>
        </w:rPr>
        <w:t>degree.</w:t>
      </w:r>
      <w:r w:rsidRPr="00C7780A">
        <w:rPr>
          <w:rFonts w:ascii="Arial" w:hAnsi="Arial" w:cs="Arial"/>
        </w:rPr>
        <w:t xml:space="preserve"> </w:t>
      </w:r>
    </w:p>
    <w:p w14:paraId="01121840" w14:textId="77777777" w:rsidR="001369B5" w:rsidRPr="001908A3" w:rsidRDefault="001E037F" w:rsidP="00CA7BDB">
      <w:pPr>
        <w:spacing w:after="240"/>
        <w:rPr>
          <w:rFonts w:ascii="Arial" w:hAnsi="Arial" w:cs="Arial"/>
        </w:rPr>
      </w:pPr>
      <w:r w:rsidRPr="001908A3">
        <w:rPr>
          <w:rFonts w:ascii="Arial" w:hAnsi="Arial" w:cs="Arial"/>
          <w:color w:val="0D0D0D"/>
          <w:shd w:val="clear" w:color="auto" w:fill="FFFFFF"/>
        </w:rPr>
        <w:t>In th</w:t>
      </w:r>
      <w:r w:rsidRPr="001908A3">
        <w:rPr>
          <w:rFonts w:ascii="Arial" w:hAnsi="Arial" w:cs="Arial"/>
          <w:color w:val="0D0D0D"/>
          <w:shd w:val="clear" w:color="auto" w:fill="FFFFFF"/>
        </w:rPr>
        <w:t xml:space="preserve">e </w:t>
      </w:r>
      <w:r w:rsidRPr="001908A3">
        <w:rPr>
          <w:rFonts w:ascii="Arial" w:hAnsi="Arial" w:cs="Arial"/>
          <w:color w:val="0D0D0D"/>
          <w:shd w:val="clear" w:color="auto" w:fill="FFFFFF"/>
        </w:rPr>
        <w:t>case</w:t>
      </w:r>
      <w:r w:rsidRPr="001908A3">
        <w:rPr>
          <w:rFonts w:ascii="Arial" w:hAnsi="Arial" w:cs="Arial"/>
          <w:color w:val="0D0D0D"/>
          <w:shd w:val="clear" w:color="auto" w:fill="FFFFFF"/>
        </w:rPr>
        <w:t xml:space="preserve"> of Re McArdle (Cd. D. 1951)</w:t>
      </w:r>
      <w:r w:rsidRPr="001908A3">
        <w:rPr>
          <w:rFonts w:ascii="Arial" w:hAnsi="Arial" w:cs="Arial"/>
          <w:color w:val="0D0D0D"/>
          <w:shd w:val="clear" w:color="auto" w:fill="FFFFFF"/>
        </w:rPr>
        <w:t xml:space="preserve"> a husband and wife made improvements to a property owned by the husband's mother. After the improvements were completed, the mother promised to pay the couple a sum of money. However, the mother later </w:t>
      </w:r>
      <w:r w:rsidRPr="001908A3">
        <w:rPr>
          <w:rFonts w:ascii="Arial" w:hAnsi="Arial" w:cs="Arial"/>
          <w:color w:val="0D0D0D"/>
          <w:shd w:val="clear" w:color="auto" w:fill="FFFFFF"/>
        </w:rPr>
        <w:lastRenderedPageBreak/>
        <w:t xml:space="preserve">refused to </w:t>
      </w:r>
      <w:r w:rsidRPr="001908A3">
        <w:rPr>
          <w:rFonts w:ascii="Arial" w:hAnsi="Arial" w:cs="Arial"/>
          <w:color w:val="0D0D0D"/>
          <w:shd w:val="clear" w:color="auto" w:fill="FFFFFF"/>
        </w:rPr>
        <w:t>honour</w:t>
      </w:r>
      <w:r w:rsidRPr="001908A3">
        <w:rPr>
          <w:rFonts w:ascii="Arial" w:hAnsi="Arial" w:cs="Arial"/>
          <w:color w:val="0D0D0D"/>
          <w:shd w:val="clear" w:color="auto" w:fill="FFFFFF"/>
        </w:rPr>
        <w:t xml:space="preserve"> the promise. The court held that the husband and wife's actions in making improvements to the property constituted past consideration, which is not valid consideration. Therefore, the mother's promise was unenforceable.</w:t>
      </w:r>
      <w:r w:rsidR="00C7780A" w:rsidRPr="00C7780A">
        <w:rPr>
          <w:rFonts w:ascii="Arial" w:hAnsi="Arial" w:cs="Arial"/>
        </w:rPr>
        <w:br/>
      </w:r>
    </w:p>
    <w:p w14:paraId="50B64E6B" w14:textId="3FA39183" w:rsidR="003B21E4" w:rsidRPr="001908A3" w:rsidRDefault="003B21E4" w:rsidP="00CA7BDB">
      <w:pPr>
        <w:spacing w:after="240"/>
        <w:rPr>
          <w:rFonts w:ascii="Arial" w:hAnsi="Arial" w:cs="Arial"/>
        </w:rPr>
      </w:pPr>
      <w:r w:rsidRPr="001908A3">
        <w:rPr>
          <w:rFonts w:ascii="Arial" w:hAnsi="Arial" w:cs="Arial"/>
          <w:b/>
          <w:bCs/>
          <w:i/>
          <w:iCs/>
          <w:color w:val="000000"/>
        </w:rPr>
        <w:t>Issues with consideration</w:t>
      </w:r>
      <w:r w:rsidR="00422403" w:rsidRPr="001908A3">
        <w:rPr>
          <w:rFonts w:ascii="Arial" w:hAnsi="Arial" w:cs="Arial"/>
          <w:b/>
          <w:bCs/>
          <w:i/>
          <w:iCs/>
          <w:color w:val="000000"/>
        </w:rPr>
        <w:t xml:space="preserve"> </w:t>
      </w:r>
      <w:r w:rsidR="0049035D" w:rsidRPr="001908A3">
        <w:rPr>
          <w:rFonts w:ascii="Arial" w:hAnsi="Arial" w:cs="Arial"/>
        </w:rPr>
        <w:br/>
      </w:r>
      <w:r w:rsidRPr="001908A3">
        <w:rPr>
          <w:rFonts w:ascii="Arial" w:hAnsi="Arial" w:cs="Arial"/>
          <w:color w:val="000000"/>
        </w:rPr>
        <w:t>In some situations, consideration may be limiting. For instance, a party's capacity to negotiate advantageous conditions may be limited if they are unable to provide anything of comparable value</w:t>
      </w:r>
      <w:r w:rsidR="00CA7BDB" w:rsidRPr="001908A3">
        <w:rPr>
          <w:rFonts w:ascii="Arial" w:hAnsi="Arial" w:cs="Arial"/>
          <w:color w:val="000000"/>
        </w:rPr>
        <w:t xml:space="preserve">. </w:t>
      </w:r>
      <w:r w:rsidR="008C1FD4" w:rsidRPr="001908A3">
        <w:rPr>
          <w:rFonts w:ascii="Arial" w:hAnsi="Arial" w:cs="Arial"/>
          <w:color w:val="000000"/>
        </w:rPr>
        <w:t xml:space="preserve">The law will only decide between a consideration if both parties provide value, the law will not enforce it in this matter. Contracts must involve </w:t>
      </w:r>
      <w:r w:rsidR="003B149E" w:rsidRPr="001908A3">
        <w:rPr>
          <w:rFonts w:ascii="Arial" w:hAnsi="Arial" w:cs="Arial"/>
          <w:color w:val="000000"/>
        </w:rPr>
        <w:t>“exchange of value”</w:t>
      </w:r>
      <w:r w:rsidR="000D09B8" w:rsidRPr="001908A3">
        <w:rPr>
          <w:rFonts w:ascii="Arial" w:hAnsi="Arial" w:cs="Arial"/>
          <w:color w:val="000000"/>
        </w:rPr>
        <w:t xml:space="preserve">. An example of this could be a daughter lending their mother money, in this type of situation, the daughter could pay the mother and be seen as a token of </w:t>
      </w:r>
      <w:r w:rsidR="00F70568" w:rsidRPr="001908A3">
        <w:rPr>
          <w:rFonts w:ascii="Arial" w:hAnsi="Arial" w:cs="Arial"/>
          <w:color w:val="000000"/>
        </w:rPr>
        <w:t xml:space="preserve">bearing of detriment by the court of law. </w:t>
      </w:r>
      <w:r w:rsidR="000D09B8" w:rsidRPr="001908A3">
        <w:rPr>
          <w:rFonts w:ascii="Arial" w:hAnsi="Arial" w:cs="Arial"/>
          <w:color w:val="000000"/>
        </w:rPr>
        <w:t xml:space="preserve"> </w:t>
      </w:r>
      <w:r w:rsidR="00945ED0" w:rsidRPr="001908A3">
        <w:rPr>
          <w:rFonts w:ascii="Arial" w:hAnsi="Arial" w:cs="Arial"/>
          <w:color w:val="000000"/>
        </w:rPr>
        <w:t>(Whaley &amp; Horton, 2023)</w:t>
      </w:r>
    </w:p>
    <w:p w14:paraId="22AE6772" w14:textId="04C6ABD9" w:rsidR="00422403" w:rsidRPr="001908A3" w:rsidRDefault="00422403" w:rsidP="00422403">
      <w:pPr>
        <w:rPr>
          <w:rFonts w:ascii="Arial" w:hAnsi="Arial" w:cs="Arial"/>
        </w:rPr>
      </w:pPr>
      <w:r w:rsidRPr="00422403">
        <w:rPr>
          <w:rFonts w:ascii="Arial" w:hAnsi="Arial" w:cs="Arial"/>
          <w:color w:val="000000"/>
        </w:rPr>
        <w:t xml:space="preserve">One of the biggest retail chains in the UK, Tesco, contested a ruling made by the Commissioners for Her Majesty's Revenue and Customs (HMRC) on the application of Value Added Tax (VAT) to loyalty card incentives. HMRC argued that some promotional schemes were not subject to VAT, but Tesco maintained that they were. The dispute concerned whether the promotions qualified for exemption from VAT and how the restrictions should be interpreted. In the end, the House of Lords decided in Tesco's </w:t>
      </w:r>
      <w:r w:rsidRPr="001908A3">
        <w:rPr>
          <w:rFonts w:ascii="Arial" w:hAnsi="Arial" w:cs="Arial"/>
          <w:color w:val="000000"/>
        </w:rPr>
        <w:t>favour</w:t>
      </w:r>
      <w:r w:rsidRPr="00422403">
        <w:rPr>
          <w:rFonts w:ascii="Arial" w:hAnsi="Arial" w:cs="Arial"/>
          <w:color w:val="000000"/>
        </w:rPr>
        <w:t>, concluding that some aspects of the promotions were in fact VAT-exempt.</w:t>
      </w:r>
      <w:r w:rsidRPr="001908A3">
        <w:rPr>
          <w:rFonts w:ascii="Arial" w:hAnsi="Arial" w:cs="Arial"/>
          <w:color w:val="000000"/>
        </w:rPr>
        <w:t xml:space="preserve"> </w:t>
      </w:r>
      <w:r w:rsidR="00642F7B" w:rsidRPr="001908A3">
        <w:rPr>
          <w:rFonts w:ascii="Arial" w:hAnsi="Arial" w:cs="Arial"/>
          <w:color w:val="000000"/>
        </w:rPr>
        <w:t>(</w:t>
      </w:r>
      <w:r w:rsidR="00642F7B" w:rsidRPr="001908A3">
        <w:rPr>
          <w:rFonts w:ascii="Arial" w:hAnsi="Arial" w:cs="Arial"/>
          <w:color w:val="0D0D0D"/>
          <w:shd w:val="clear" w:color="auto" w:fill="FFFFFF"/>
        </w:rPr>
        <w:t>Tesco plc v Commissioners for Her Majesty's Revenue and Customs</w:t>
      </w:r>
      <w:r w:rsidR="00C121EE" w:rsidRPr="001908A3">
        <w:rPr>
          <w:rFonts w:ascii="Arial" w:hAnsi="Arial" w:cs="Arial"/>
          <w:color w:val="0D0D0D"/>
          <w:shd w:val="clear" w:color="auto" w:fill="FFFFFF"/>
        </w:rPr>
        <w:t xml:space="preserve">, </w:t>
      </w:r>
      <w:r w:rsidR="00642F7B" w:rsidRPr="001908A3">
        <w:rPr>
          <w:rFonts w:ascii="Arial" w:hAnsi="Arial" w:cs="Arial"/>
          <w:color w:val="0D0D0D"/>
          <w:shd w:val="clear" w:color="auto" w:fill="FFFFFF"/>
        </w:rPr>
        <w:t>2009</w:t>
      </w:r>
      <w:r w:rsidR="00642F7B" w:rsidRPr="001908A3">
        <w:rPr>
          <w:rFonts w:ascii="Arial" w:hAnsi="Arial" w:cs="Arial"/>
          <w:color w:val="0D0D0D"/>
          <w:shd w:val="clear" w:color="auto" w:fill="FFFFFF"/>
        </w:rPr>
        <w:t>)</w:t>
      </w:r>
      <w:r w:rsidRPr="00422403">
        <w:rPr>
          <w:rFonts w:ascii="Arial" w:hAnsi="Arial" w:cs="Arial"/>
          <w:color w:val="000000"/>
        </w:rPr>
        <w:br/>
      </w:r>
    </w:p>
    <w:p w14:paraId="3D29AB49" w14:textId="69851AF3" w:rsidR="00460693" w:rsidRPr="00460693" w:rsidRDefault="00460693" w:rsidP="00460693">
      <w:pPr>
        <w:rPr>
          <w:rFonts w:ascii="Arial" w:hAnsi="Arial" w:cs="Arial"/>
          <w:color w:val="000000"/>
        </w:rPr>
      </w:pPr>
      <w:r w:rsidRPr="00460693">
        <w:rPr>
          <w:rFonts w:ascii="Arial" w:hAnsi="Arial" w:cs="Arial"/>
          <w:color w:val="000000"/>
        </w:rPr>
        <w:t>The court created the current meaning of consideration in contract law in the Currie v. Misa decision. In exchange for Misa making a pledge, the plaintiff, Currie, had consented to provide Misa a certain amount of money. But Currie didn't pay, so Misa filed a breach of contract lawsuit. Whether Misa's commitment was supported by legitimate contemplation was the case's central question.</w:t>
      </w:r>
      <w:r w:rsidRPr="00460693">
        <w:rPr>
          <w:rFonts w:ascii="Arial" w:hAnsi="Arial" w:cs="Arial"/>
          <w:color w:val="000000"/>
        </w:rPr>
        <w:br/>
      </w:r>
      <w:r w:rsidRPr="00460693">
        <w:rPr>
          <w:rFonts w:ascii="Arial" w:hAnsi="Arial" w:cs="Arial"/>
          <w:color w:val="000000"/>
        </w:rPr>
        <w:br/>
        <w:t>According to the court, consideration might take the form of a benefit to the promisor or a harm to the promisee. While it need not be sufficient, it must be considered valuable in the eyes of the law. In this instance, Currie's pledge to pay money constituted legitimate payment for Misa's assurance.</w:t>
      </w:r>
      <w:r w:rsidR="000258A9" w:rsidRPr="001908A3">
        <w:rPr>
          <w:rFonts w:ascii="Arial" w:hAnsi="Arial" w:cs="Arial"/>
          <w:color w:val="000000"/>
        </w:rPr>
        <w:t xml:space="preserve"> </w:t>
      </w:r>
      <w:r w:rsidR="00832622" w:rsidRPr="001908A3">
        <w:rPr>
          <w:rFonts w:ascii="Arial" w:hAnsi="Arial" w:cs="Arial"/>
          <w:color w:val="000000"/>
        </w:rPr>
        <w:t>(J, Adams et al, 2007)</w:t>
      </w:r>
    </w:p>
    <w:p w14:paraId="17F5A7C9" w14:textId="77777777" w:rsidR="00460693" w:rsidRPr="00422403" w:rsidRDefault="00460693" w:rsidP="00422403">
      <w:pPr>
        <w:rPr>
          <w:rFonts w:ascii="Arial" w:hAnsi="Arial" w:cs="Arial"/>
        </w:rPr>
      </w:pPr>
    </w:p>
    <w:p w14:paraId="39FBB9C9" w14:textId="5B4D4C77" w:rsidR="00AF2F6F" w:rsidRPr="001908A3" w:rsidRDefault="00AF2F6F" w:rsidP="003B21E4">
      <w:pPr>
        <w:rPr>
          <w:rFonts w:ascii="Arial" w:hAnsi="Arial" w:cs="Arial"/>
          <w:b/>
          <w:bCs/>
          <w:color w:val="000000"/>
        </w:rPr>
      </w:pPr>
      <w:r w:rsidRPr="001908A3">
        <w:rPr>
          <w:rFonts w:ascii="Arial" w:hAnsi="Arial" w:cs="Arial"/>
          <w:b/>
          <w:bCs/>
          <w:color w:val="000000"/>
        </w:rPr>
        <w:t>Reform Suggestions</w:t>
      </w:r>
    </w:p>
    <w:p w14:paraId="0C29A56A" w14:textId="3D25901B" w:rsidR="00C823C6" w:rsidRPr="001908A3" w:rsidRDefault="00C823C6" w:rsidP="00C823C6">
      <w:pPr>
        <w:rPr>
          <w:rFonts w:ascii="Arial" w:hAnsi="Arial" w:cs="Arial"/>
          <w:color w:val="000000"/>
        </w:rPr>
      </w:pPr>
      <w:r w:rsidRPr="00C823C6">
        <w:rPr>
          <w:rFonts w:ascii="Arial" w:hAnsi="Arial" w:cs="Arial"/>
          <w:color w:val="000000"/>
        </w:rPr>
        <w:t xml:space="preserve">Reform suggestions usually refers to ideas or suggestions for modifying or enhancing laws, rules, policies, procedures, frameworks, or organizations. These recommendations are frequently made by people, groups, authorities, or governmental entities </w:t>
      </w:r>
      <w:r w:rsidRPr="001908A3">
        <w:rPr>
          <w:rFonts w:ascii="Arial" w:hAnsi="Arial" w:cs="Arial"/>
          <w:color w:val="000000"/>
        </w:rPr>
        <w:t>to</w:t>
      </w:r>
      <w:r w:rsidRPr="00C823C6">
        <w:rPr>
          <w:rFonts w:ascii="Arial" w:hAnsi="Arial" w:cs="Arial"/>
          <w:color w:val="000000"/>
        </w:rPr>
        <w:t xml:space="preserve"> improve or rectify perceived flaws, shortcomings, unfairness, or inefficiencies in the processes or procedures that are already in place.</w:t>
      </w:r>
      <w:r w:rsidR="001962A9" w:rsidRPr="001908A3">
        <w:rPr>
          <w:rFonts w:ascii="Arial" w:hAnsi="Arial" w:cs="Arial"/>
          <w:color w:val="000000"/>
        </w:rPr>
        <w:t xml:space="preserve"> </w:t>
      </w:r>
      <w:r w:rsidR="00406DC0" w:rsidRPr="001908A3">
        <w:rPr>
          <w:rFonts w:ascii="Arial" w:hAnsi="Arial" w:cs="Arial"/>
          <w:color w:val="000000"/>
        </w:rPr>
        <w:t>(Christine Q et al, 2013)</w:t>
      </w:r>
    </w:p>
    <w:p w14:paraId="239C057A" w14:textId="77777777" w:rsidR="006A550E" w:rsidRPr="001908A3" w:rsidRDefault="006A550E" w:rsidP="006A550E">
      <w:pPr>
        <w:rPr>
          <w:rFonts w:ascii="Arial" w:hAnsi="Arial" w:cs="Arial"/>
        </w:rPr>
      </w:pPr>
    </w:p>
    <w:p w14:paraId="2A95DF39" w14:textId="3468288E" w:rsidR="006A550E" w:rsidRPr="001908A3" w:rsidRDefault="006A550E" w:rsidP="00C823C6">
      <w:pPr>
        <w:rPr>
          <w:rFonts w:ascii="Arial" w:hAnsi="Arial" w:cs="Arial"/>
          <w:color w:val="000000"/>
        </w:rPr>
      </w:pPr>
      <w:r w:rsidRPr="001908A3">
        <w:rPr>
          <w:rFonts w:ascii="Arial" w:hAnsi="Arial" w:cs="Arial"/>
        </w:rPr>
        <w:t>Legal reform refers to proposals for amending or updating laws, statutes, and regulations to better represent social values, solve growing challenges, or improve access to justice.</w:t>
      </w:r>
      <w:r w:rsidRPr="001908A3">
        <w:rPr>
          <w:rFonts w:ascii="Arial" w:hAnsi="Arial" w:cs="Arial"/>
        </w:rPr>
        <w:t xml:space="preserve"> </w:t>
      </w:r>
      <w:r w:rsidRPr="001908A3">
        <w:rPr>
          <w:rFonts w:ascii="Arial" w:hAnsi="Arial" w:cs="Arial"/>
        </w:rPr>
        <w:t>Policy reform refers to recommendations for changes to public policies, programmes, or government efforts to solve social, economic, environmental, or governance issues.</w:t>
      </w:r>
      <w:r w:rsidRPr="001908A3">
        <w:rPr>
          <w:rFonts w:ascii="Arial" w:hAnsi="Arial" w:cs="Arial"/>
        </w:rPr>
        <w:t xml:space="preserve"> </w:t>
      </w:r>
      <w:r w:rsidRPr="001908A3">
        <w:rPr>
          <w:rFonts w:ascii="Arial" w:hAnsi="Arial" w:cs="Arial"/>
        </w:rPr>
        <w:t xml:space="preserve">Institutional reform refers to proposals to alter or simplify government agencies, bureaucracies, or public services </w:t>
      </w:r>
      <w:r w:rsidRPr="001908A3">
        <w:rPr>
          <w:rFonts w:ascii="Arial" w:hAnsi="Arial" w:cs="Arial"/>
        </w:rPr>
        <w:t>to</w:t>
      </w:r>
      <w:r w:rsidRPr="001908A3">
        <w:rPr>
          <w:rFonts w:ascii="Arial" w:hAnsi="Arial" w:cs="Arial"/>
        </w:rPr>
        <w:t xml:space="preserve"> increase efficiency, effectiveness, and accountability.</w:t>
      </w:r>
      <w:r w:rsidRPr="001908A3">
        <w:rPr>
          <w:rFonts w:ascii="Arial" w:hAnsi="Arial" w:cs="Arial"/>
        </w:rPr>
        <w:t xml:space="preserve"> </w:t>
      </w:r>
      <w:r w:rsidRPr="001908A3">
        <w:rPr>
          <w:rFonts w:ascii="Arial" w:hAnsi="Arial" w:cs="Arial"/>
        </w:rPr>
        <w:t xml:space="preserve">Political reform: Proposals for election </w:t>
      </w:r>
      <w:r w:rsidRPr="001908A3">
        <w:rPr>
          <w:rFonts w:ascii="Arial" w:hAnsi="Arial" w:cs="Arial"/>
        </w:rPr>
        <w:lastRenderedPageBreak/>
        <w:t>changes, campaign financing regulations, governance systems, or constitutional modifications to improve democracy, transparency, and representation.</w:t>
      </w:r>
      <w:r w:rsidR="00B90368" w:rsidRPr="001908A3">
        <w:rPr>
          <w:rFonts w:ascii="Arial" w:hAnsi="Arial" w:cs="Arial"/>
        </w:rPr>
        <w:t xml:space="preserve"> </w:t>
      </w:r>
      <w:r w:rsidR="00441757" w:rsidRPr="001908A3">
        <w:rPr>
          <w:rFonts w:ascii="Arial" w:hAnsi="Arial" w:cs="Arial"/>
          <w:color w:val="0D0D0D"/>
          <w:shd w:val="clear" w:color="auto" w:fill="FFFFFF"/>
        </w:rPr>
        <w:t xml:space="preserve">(Weimer &amp; Vining, </w:t>
      </w:r>
      <w:r w:rsidR="00441757" w:rsidRPr="001908A3">
        <w:rPr>
          <w:rFonts w:ascii="Arial" w:hAnsi="Arial" w:cs="Arial"/>
          <w:color w:val="0D0D0D"/>
          <w:shd w:val="clear" w:color="auto" w:fill="FFFFFF"/>
        </w:rPr>
        <w:t>2017)</w:t>
      </w:r>
    </w:p>
    <w:p w14:paraId="546FCD05" w14:textId="77777777" w:rsidR="00DD321F" w:rsidRPr="009B358B" w:rsidRDefault="00DD321F" w:rsidP="009B358B">
      <w:pPr>
        <w:rPr>
          <w:rFonts w:ascii="Arial" w:hAnsi="Arial" w:cs="Arial"/>
        </w:rPr>
      </w:pPr>
    </w:p>
    <w:p w14:paraId="42F26CB7" w14:textId="0C0C1C7A" w:rsidR="000E5876" w:rsidRPr="001908A3" w:rsidRDefault="002449E7" w:rsidP="000E5876">
      <w:pPr>
        <w:rPr>
          <w:rFonts w:ascii="Arial" w:hAnsi="Arial" w:cs="Arial"/>
          <w:b/>
          <w:bCs/>
        </w:rPr>
      </w:pPr>
      <w:r w:rsidRPr="001908A3">
        <w:rPr>
          <w:rFonts w:ascii="Arial" w:hAnsi="Arial" w:cs="Arial"/>
          <w:b/>
          <w:bCs/>
        </w:rPr>
        <w:t xml:space="preserve">Conclusion </w:t>
      </w:r>
    </w:p>
    <w:p w14:paraId="69418474" w14:textId="77777777" w:rsidR="000E5876" w:rsidRPr="001908A3" w:rsidRDefault="000E5876" w:rsidP="000E5876">
      <w:pPr>
        <w:rPr>
          <w:rFonts w:ascii="Arial" w:hAnsi="Arial" w:cs="Arial"/>
        </w:rPr>
      </w:pPr>
      <w:r w:rsidRPr="001908A3">
        <w:rPr>
          <w:rFonts w:ascii="Arial" w:hAnsi="Arial" w:cs="Arial"/>
        </w:rPr>
        <w:t>In conclusion, this report has provided an in-depth analysis of considerations under contract law, examining its various aspects, types, and implications. From the formation of contracts to the challenges and issues associated with consideration, we have explored the foundational role it plays in the establishment of legally binding agreements.</w:t>
      </w:r>
    </w:p>
    <w:p w14:paraId="118341D1" w14:textId="77777777" w:rsidR="000E5876" w:rsidRPr="001908A3" w:rsidRDefault="000E5876" w:rsidP="000E5876">
      <w:pPr>
        <w:rPr>
          <w:rFonts w:ascii="Arial" w:hAnsi="Arial" w:cs="Arial"/>
        </w:rPr>
      </w:pPr>
    </w:p>
    <w:p w14:paraId="7380A313" w14:textId="77777777" w:rsidR="000E5876" w:rsidRPr="001908A3" w:rsidRDefault="000E5876" w:rsidP="000E5876">
      <w:pPr>
        <w:rPr>
          <w:rFonts w:ascii="Arial" w:hAnsi="Arial" w:cs="Arial"/>
        </w:rPr>
      </w:pPr>
      <w:r w:rsidRPr="001908A3">
        <w:rPr>
          <w:rFonts w:ascii="Arial" w:hAnsi="Arial" w:cs="Arial"/>
        </w:rPr>
        <w:t>The report outlined the essential steps in contract formation, emphasizing the importance of offers, acceptance, and consideration in creating enforceable contracts. Through examples and case law discussions such as Felthouse v Bindley and Re McArdle, we illustrated the significance of mutual consent and valid consideration in contractual relationships.</w:t>
      </w:r>
    </w:p>
    <w:p w14:paraId="28FCF9ED" w14:textId="77777777" w:rsidR="000E5876" w:rsidRPr="001908A3" w:rsidRDefault="000E5876" w:rsidP="000E5876">
      <w:pPr>
        <w:rPr>
          <w:rFonts w:ascii="Arial" w:hAnsi="Arial" w:cs="Arial"/>
        </w:rPr>
      </w:pPr>
    </w:p>
    <w:p w14:paraId="0C0CD3D7" w14:textId="77777777" w:rsidR="000E5876" w:rsidRPr="001908A3" w:rsidRDefault="000E5876" w:rsidP="000E5876">
      <w:pPr>
        <w:rPr>
          <w:rFonts w:ascii="Arial" w:hAnsi="Arial" w:cs="Arial"/>
        </w:rPr>
      </w:pPr>
      <w:r w:rsidRPr="001908A3">
        <w:rPr>
          <w:rFonts w:ascii="Arial" w:hAnsi="Arial" w:cs="Arial"/>
        </w:rPr>
        <w:t>Furthermore, the report delved into the concept of consideration itself, elucidating its meaning and requirements. We explored the types of consideration, including executed and executory consideration, as well as the use of nominal consideration or "peppercorn" to fulfill legal requirements in contract formation.</w:t>
      </w:r>
    </w:p>
    <w:p w14:paraId="6327914E" w14:textId="77777777" w:rsidR="000E5876" w:rsidRPr="001908A3" w:rsidRDefault="000E5876" w:rsidP="000E5876">
      <w:pPr>
        <w:rPr>
          <w:rFonts w:ascii="Arial" w:hAnsi="Arial" w:cs="Arial"/>
        </w:rPr>
      </w:pPr>
    </w:p>
    <w:p w14:paraId="7FFE51FF" w14:textId="77777777" w:rsidR="000E5876" w:rsidRPr="001908A3" w:rsidRDefault="000E5876" w:rsidP="000E5876">
      <w:pPr>
        <w:rPr>
          <w:rFonts w:ascii="Arial" w:hAnsi="Arial" w:cs="Arial"/>
        </w:rPr>
      </w:pPr>
      <w:r w:rsidRPr="001908A3">
        <w:rPr>
          <w:rFonts w:ascii="Arial" w:hAnsi="Arial" w:cs="Arial"/>
        </w:rPr>
        <w:t>Moreover, the report addressed the criteria for valid consideration, highlighting its necessity for contracts to be legally enforceable. We examined the principle that consideration must have legal value, be adequate, and involve an exchange of value between parties. Through the analysis of cases such as Currie v Misa and Tesco plc v Commissioners for Her Majesty's Revenue and Customs, we observed how courts apply these principles in determining the validity of consideration.</w:t>
      </w:r>
    </w:p>
    <w:p w14:paraId="5A9C9CB8" w14:textId="77777777" w:rsidR="000E5876" w:rsidRPr="001908A3" w:rsidRDefault="000E5876" w:rsidP="000E5876">
      <w:pPr>
        <w:rPr>
          <w:rFonts w:ascii="Arial" w:hAnsi="Arial" w:cs="Arial"/>
        </w:rPr>
      </w:pPr>
    </w:p>
    <w:p w14:paraId="45352D10" w14:textId="77777777" w:rsidR="000E5876" w:rsidRPr="001908A3" w:rsidRDefault="000E5876" w:rsidP="000E5876">
      <w:pPr>
        <w:rPr>
          <w:rFonts w:ascii="Arial" w:hAnsi="Arial" w:cs="Arial"/>
        </w:rPr>
      </w:pPr>
      <w:r w:rsidRPr="001908A3">
        <w:rPr>
          <w:rFonts w:ascii="Arial" w:hAnsi="Arial" w:cs="Arial"/>
        </w:rPr>
        <w:t>Additionally, the report discussed issues and limitations associated with consideration in contract law, such as capacity constraints and restrictions on enforcing contracts lacking mutual consideration.</w:t>
      </w:r>
    </w:p>
    <w:p w14:paraId="240EA012" w14:textId="77777777" w:rsidR="000E5876" w:rsidRPr="001908A3" w:rsidRDefault="000E5876" w:rsidP="000E5876">
      <w:pPr>
        <w:rPr>
          <w:rFonts w:ascii="Arial" w:hAnsi="Arial" w:cs="Arial"/>
        </w:rPr>
      </w:pPr>
    </w:p>
    <w:p w14:paraId="601FA389" w14:textId="77777777" w:rsidR="000E5876" w:rsidRPr="001908A3" w:rsidRDefault="000E5876" w:rsidP="000E5876">
      <w:pPr>
        <w:rPr>
          <w:rFonts w:ascii="Arial" w:hAnsi="Arial" w:cs="Arial"/>
        </w:rPr>
      </w:pPr>
      <w:r w:rsidRPr="001908A3">
        <w:rPr>
          <w:rFonts w:ascii="Arial" w:hAnsi="Arial" w:cs="Arial"/>
        </w:rPr>
        <w:t>Finally, the report explored the concept of reform suggestions, acknowledging the importance of continuous improvement and adaptation in legal frameworks and policies. By proposing reforms, stakeholders can address shortcomings, enhance fairness, and promote efficiency in legal systems and institutions.</w:t>
      </w:r>
    </w:p>
    <w:p w14:paraId="38D1A62C" w14:textId="77777777" w:rsidR="000E5876" w:rsidRPr="001908A3" w:rsidRDefault="000E5876" w:rsidP="000E5876">
      <w:pPr>
        <w:rPr>
          <w:rFonts w:ascii="Arial" w:hAnsi="Arial" w:cs="Arial"/>
        </w:rPr>
      </w:pPr>
    </w:p>
    <w:p w14:paraId="0C7B60C4" w14:textId="5DE0B2EF" w:rsidR="00E773FC" w:rsidRPr="001908A3" w:rsidRDefault="000E5876" w:rsidP="000E5876">
      <w:pPr>
        <w:rPr>
          <w:rFonts w:ascii="Arial" w:hAnsi="Arial" w:cs="Arial"/>
        </w:rPr>
      </w:pPr>
      <w:r w:rsidRPr="001908A3">
        <w:rPr>
          <w:rFonts w:ascii="Arial" w:hAnsi="Arial" w:cs="Arial"/>
        </w:rPr>
        <w:t>In conclusion, consideration remains a cornerstone of contract law, ensuring fairness, equity, and enforceability in contractual relationships. By understanding its intricacies and addressing associated challenges, stakeholders can foster greater clarity, predictability, and effectiveness in contractual arrangements, thereby facilitating commerce, protecting parties' interests, and promoting justice in society.</w:t>
      </w:r>
    </w:p>
    <w:p w14:paraId="38DA25E7" w14:textId="77777777" w:rsidR="00E773FC" w:rsidRDefault="00E773FC" w:rsidP="002449E7">
      <w:pPr>
        <w:rPr>
          <w:rFonts w:ascii="Arial" w:hAnsi="Arial" w:cs="Arial"/>
          <w:b/>
          <w:bCs/>
        </w:rPr>
      </w:pPr>
    </w:p>
    <w:p w14:paraId="0681D972" w14:textId="77777777" w:rsidR="00885A6A" w:rsidRPr="00A56A7D" w:rsidRDefault="00885A6A" w:rsidP="002449E7">
      <w:pPr>
        <w:rPr>
          <w:b/>
          <w:bCs/>
          <w:i/>
          <w:iCs/>
        </w:rPr>
      </w:pPr>
    </w:p>
    <w:p w14:paraId="6B2F543E" w14:textId="77777777" w:rsidR="00A56A7D" w:rsidRDefault="00A56A7D" w:rsidP="002449E7">
      <w:pPr>
        <w:rPr>
          <w:i/>
          <w:iCs/>
          <w:color w:val="0D0D0D"/>
          <w:shd w:val="clear" w:color="auto" w:fill="FFFFFF"/>
        </w:rPr>
      </w:pPr>
    </w:p>
    <w:p w14:paraId="0356EAC2" w14:textId="77777777" w:rsidR="00A56A7D" w:rsidRDefault="00A56A7D" w:rsidP="002449E7">
      <w:pPr>
        <w:rPr>
          <w:i/>
          <w:iCs/>
          <w:color w:val="0D0D0D"/>
          <w:shd w:val="clear" w:color="auto" w:fill="FFFFFF"/>
        </w:rPr>
      </w:pPr>
    </w:p>
    <w:p w14:paraId="0A542792" w14:textId="77777777" w:rsidR="00A56A7D" w:rsidRDefault="00A56A7D" w:rsidP="002449E7">
      <w:pPr>
        <w:rPr>
          <w:i/>
          <w:iCs/>
          <w:color w:val="0D0D0D"/>
          <w:shd w:val="clear" w:color="auto" w:fill="FFFFFF"/>
        </w:rPr>
      </w:pPr>
    </w:p>
    <w:p w14:paraId="6D582A34" w14:textId="77777777" w:rsidR="00A56A7D" w:rsidRDefault="00A56A7D" w:rsidP="002449E7">
      <w:pPr>
        <w:rPr>
          <w:i/>
          <w:iCs/>
          <w:color w:val="0D0D0D"/>
          <w:shd w:val="clear" w:color="auto" w:fill="FFFFFF"/>
        </w:rPr>
      </w:pPr>
    </w:p>
    <w:p w14:paraId="1C10DD5D" w14:textId="77777777" w:rsidR="00BE554C" w:rsidRDefault="00BE554C" w:rsidP="002449E7">
      <w:pPr>
        <w:rPr>
          <w:i/>
          <w:iCs/>
          <w:color w:val="0D0D0D"/>
          <w:shd w:val="clear" w:color="auto" w:fill="FFFFFF"/>
        </w:rPr>
      </w:pPr>
    </w:p>
    <w:p w14:paraId="57D46E61" w14:textId="62CAE06F" w:rsidR="00A26E8A" w:rsidRPr="00A56A7D" w:rsidRDefault="00A26E8A" w:rsidP="002449E7">
      <w:pPr>
        <w:rPr>
          <w:b/>
          <w:bCs/>
          <w:i/>
          <w:iCs/>
        </w:rPr>
      </w:pPr>
      <w:r w:rsidRPr="00A56A7D">
        <w:rPr>
          <w:i/>
          <w:iCs/>
          <w:color w:val="0D0D0D"/>
          <w:shd w:val="clear" w:color="auto" w:fill="FFFFFF"/>
        </w:rPr>
        <w:lastRenderedPageBreak/>
        <w:t xml:space="preserve">Adams, J., &amp; </w:t>
      </w:r>
      <w:proofErr w:type="spellStart"/>
      <w:r w:rsidRPr="00A56A7D">
        <w:rPr>
          <w:i/>
          <w:iCs/>
          <w:color w:val="0D0D0D"/>
          <w:shd w:val="clear" w:color="auto" w:fill="FFFFFF"/>
        </w:rPr>
        <w:t>Brownsword</w:t>
      </w:r>
      <w:proofErr w:type="spellEnd"/>
      <w:r w:rsidRPr="00A56A7D">
        <w:rPr>
          <w:i/>
          <w:iCs/>
          <w:color w:val="0D0D0D"/>
          <w:shd w:val="clear" w:color="auto" w:fill="FFFFFF"/>
        </w:rPr>
        <w:t>, R. (</w:t>
      </w:r>
      <w:r w:rsidR="00324A1F" w:rsidRPr="00A56A7D">
        <w:rPr>
          <w:i/>
          <w:iCs/>
          <w:color w:val="0D0D0D"/>
          <w:shd w:val="clear" w:color="auto" w:fill="FFFFFF"/>
        </w:rPr>
        <w:t>2007</w:t>
      </w:r>
      <w:r w:rsidRPr="00A56A7D">
        <w:rPr>
          <w:i/>
          <w:iCs/>
          <w:color w:val="0D0D0D"/>
          <w:shd w:val="clear" w:color="auto" w:fill="FFFFFF"/>
        </w:rPr>
        <w:t>).</w:t>
      </w:r>
      <w:r w:rsidRPr="00A56A7D">
        <w:rPr>
          <w:i/>
          <w:iCs/>
          <w:color w:val="0D0D0D"/>
          <w:shd w:val="clear" w:color="auto" w:fill="FFFFFF"/>
        </w:rPr>
        <w:t xml:space="preserve"> Understanding Contract Law, </w:t>
      </w:r>
      <w:r w:rsidRPr="00A56A7D">
        <w:rPr>
          <w:i/>
          <w:iCs/>
          <w:color w:val="0D0D0D"/>
          <w:shd w:val="clear" w:color="auto" w:fill="FFFFFF"/>
        </w:rPr>
        <w:t>Publisher</w:t>
      </w:r>
    </w:p>
    <w:p w14:paraId="6F0476E8" w14:textId="77777777" w:rsidR="0034348D" w:rsidRPr="00A56A7D" w:rsidRDefault="0034348D" w:rsidP="0034348D">
      <w:pPr>
        <w:pStyle w:val="NormalWeb"/>
        <w:ind w:left="567" w:hanging="567"/>
        <w:rPr>
          <w:rStyle w:val="apple-converted-space"/>
          <w:i/>
          <w:iCs/>
          <w:color w:val="000000"/>
        </w:rPr>
      </w:pPr>
      <w:r w:rsidRPr="00A56A7D">
        <w:rPr>
          <w:i/>
          <w:iCs/>
          <w:color w:val="000000"/>
        </w:rPr>
        <w:t>Arvand, T.T. (2017) ‘Types of Consideration’, in</w:t>
      </w:r>
      <w:r w:rsidRPr="00A56A7D">
        <w:rPr>
          <w:rStyle w:val="apple-converted-space"/>
          <w:i/>
          <w:iCs/>
          <w:color w:val="000000"/>
        </w:rPr>
        <w:t> </w:t>
      </w:r>
      <w:r w:rsidRPr="00A56A7D">
        <w:rPr>
          <w:i/>
          <w:iCs/>
          <w:color w:val="000000"/>
        </w:rPr>
        <w:t>Google Books. Oxford, Great Britain: Oxford University Press, pp. 1–597. Available at: https://www.google.co.uk/books/edition/Contract_Law/6uA-DgAAQBAJ?hl=en&amp;gbpv=0 (Accessed: 15 March 2024).</w:t>
      </w:r>
      <w:r w:rsidRPr="00A56A7D">
        <w:rPr>
          <w:rStyle w:val="apple-converted-space"/>
          <w:i/>
          <w:iCs/>
          <w:color w:val="000000"/>
        </w:rPr>
        <w:t> </w:t>
      </w:r>
    </w:p>
    <w:p w14:paraId="4B703864" w14:textId="41ED8759" w:rsidR="004B03A7" w:rsidRPr="00A56A7D" w:rsidRDefault="004B03A7" w:rsidP="0034348D">
      <w:pPr>
        <w:pStyle w:val="NormalWeb"/>
        <w:ind w:left="567" w:hanging="567"/>
        <w:rPr>
          <w:rStyle w:val="apple-converted-space"/>
          <w:i/>
          <w:iCs/>
          <w:color w:val="000000"/>
        </w:rPr>
      </w:pPr>
      <w:r w:rsidRPr="00A56A7D">
        <w:rPr>
          <w:i/>
          <w:iCs/>
          <w:color w:val="0D0D0D"/>
          <w:shd w:val="clear" w:color="auto" w:fill="FFFFFF"/>
        </w:rPr>
        <w:t>Chen-Wishart, M. (</w:t>
      </w:r>
      <w:r w:rsidR="0040231B">
        <w:rPr>
          <w:i/>
          <w:iCs/>
          <w:color w:val="0D0D0D"/>
          <w:shd w:val="clear" w:color="auto" w:fill="FFFFFF"/>
        </w:rPr>
        <w:t>2022</w:t>
      </w:r>
      <w:r w:rsidRPr="00A56A7D">
        <w:rPr>
          <w:i/>
          <w:iCs/>
          <w:color w:val="0D0D0D"/>
          <w:shd w:val="clear" w:color="auto" w:fill="FFFFFF"/>
        </w:rPr>
        <w:t>).</w:t>
      </w:r>
      <w:r w:rsidRPr="00A56A7D">
        <w:rPr>
          <w:i/>
          <w:iCs/>
          <w:color w:val="0D0D0D"/>
          <w:shd w:val="clear" w:color="auto" w:fill="FFFFFF"/>
        </w:rPr>
        <w:t xml:space="preserve"> Contract Law. </w:t>
      </w:r>
      <w:r w:rsidRPr="00A56A7D">
        <w:rPr>
          <w:i/>
          <w:iCs/>
          <w:color w:val="0D0D0D"/>
          <w:shd w:val="clear" w:color="auto" w:fill="FFFFFF"/>
        </w:rPr>
        <w:t>Publisher.</w:t>
      </w:r>
    </w:p>
    <w:p w14:paraId="542E5FFE" w14:textId="2D576CC8" w:rsidR="00B8297D" w:rsidRPr="00A56A7D" w:rsidRDefault="00B8297D" w:rsidP="001621A4">
      <w:pPr>
        <w:pStyle w:val="NormalWeb"/>
        <w:ind w:left="567" w:hanging="567"/>
        <w:rPr>
          <w:i/>
          <w:iCs/>
          <w:color w:val="000000"/>
        </w:rPr>
      </w:pPr>
      <w:r w:rsidRPr="00A56A7D">
        <w:rPr>
          <w:i/>
          <w:iCs/>
          <w:color w:val="000000"/>
        </w:rPr>
        <w:t>Currie v Misa</w:t>
      </w:r>
      <w:r w:rsidR="001621A4" w:rsidRPr="00A56A7D">
        <w:rPr>
          <w:i/>
          <w:iCs/>
          <w:color w:val="000000"/>
        </w:rPr>
        <w:t xml:space="preserve"> </w:t>
      </w:r>
      <w:r w:rsidRPr="00A56A7D">
        <w:rPr>
          <w:i/>
          <w:iCs/>
          <w:color w:val="000000"/>
        </w:rPr>
        <w:t>(1875) LR 10 Ex 153 Exchequer Chamber (England)</w:t>
      </w:r>
      <w:r w:rsidR="001621A4" w:rsidRPr="00A56A7D">
        <w:rPr>
          <w:i/>
          <w:iCs/>
          <w:color w:val="000000"/>
        </w:rPr>
        <w:t xml:space="preserve"> </w:t>
      </w:r>
      <w:r w:rsidRPr="00A56A7D">
        <w:rPr>
          <w:i/>
          <w:iCs/>
          <w:color w:val="000000"/>
        </w:rPr>
        <w:t>June 26, 1875</w:t>
      </w:r>
    </w:p>
    <w:p w14:paraId="09ECD5D6" w14:textId="5EBD010E" w:rsidR="001621A4" w:rsidRPr="00A56A7D" w:rsidRDefault="00AE0102" w:rsidP="00BF1A05">
      <w:pPr>
        <w:pStyle w:val="NormalWeb"/>
        <w:rPr>
          <w:i/>
          <w:iCs/>
          <w:color w:val="000000"/>
        </w:rPr>
      </w:pPr>
      <w:r w:rsidRPr="00A56A7D">
        <w:rPr>
          <w:i/>
          <w:iCs/>
          <w:color w:val="000000"/>
        </w:rPr>
        <w:t xml:space="preserve">Christine Q, Lipsky and </w:t>
      </w:r>
      <w:proofErr w:type="spellStart"/>
      <w:proofErr w:type="gramStart"/>
      <w:r w:rsidRPr="00A56A7D">
        <w:rPr>
          <w:i/>
          <w:iCs/>
          <w:color w:val="000000"/>
        </w:rPr>
        <w:t>R.Kent</w:t>
      </w:r>
      <w:proofErr w:type="spellEnd"/>
      <w:proofErr w:type="gramEnd"/>
      <w:r w:rsidRPr="00A56A7D">
        <w:rPr>
          <w:i/>
          <w:iCs/>
          <w:color w:val="000000"/>
        </w:rPr>
        <w:t xml:space="preserve"> Weaver (2013) CQ Press </w:t>
      </w:r>
      <w:r w:rsidR="00BF1A05" w:rsidRPr="00A56A7D">
        <w:rPr>
          <w:i/>
          <w:iCs/>
          <w:color w:val="0D0D0D"/>
          <w:shd w:val="clear" w:color="auto" w:fill="FFFFFF"/>
        </w:rPr>
        <w:t>"The Politics of Public Policy"</w:t>
      </w:r>
    </w:p>
    <w:p w14:paraId="6D077A48" w14:textId="77777777" w:rsidR="004C3A2E" w:rsidRPr="00A56A7D" w:rsidRDefault="004C3A2E" w:rsidP="0034348D">
      <w:pPr>
        <w:pStyle w:val="NormalWeb"/>
        <w:rPr>
          <w:i/>
          <w:iCs/>
          <w:color w:val="000000"/>
        </w:rPr>
      </w:pPr>
      <w:r w:rsidRPr="00A56A7D">
        <w:rPr>
          <w:i/>
          <w:iCs/>
          <w:color w:val="000000"/>
        </w:rPr>
        <w:t>Fisher, J.C. (2018)</w:t>
      </w:r>
      <w:r w:rsidRPr="00A56A7D">
        <w:rPr>
          <w:rStyle w:val="apple-converted-space"/>
          <w:i/>
          <w:iCs/>
          <w:color w:val="000000"/>
        </w:rPr>
        <w:t> </w:t>
      </w:r>
      <w:r w:rsidRPr="00A56A7D">
        <w:rPr>
          <w:i/>
          <w:iCs/>
          <w:color w:val="000000"/>
        </w:rPr>
        <w:t xml:space="preserve">Contract law in England and Wales. Alphen </w:t>
      </w:r>
      <w:proofErr w:type="spellStart"/>
      <w:r w:rsidRPr="00A56A7D">
        <w:rPr>
          <w:i/>
          <w:iCs/>
          <w:color w:val="000000"/>
        </w:rPr>
        <w:t>aan</w:t>
      </w:r>
      <w:proofErr w:type="spellEnd"/>
      <w:r w:rsidRPr="00A56A7D">
        <w:rPr>
          <w:i/>
          <w:iCs/>
          <w:color w:val="000000"/>
        </w:rPr>
        <w:t xml:space="preserve"> den Rijn, The Netherlands: Kluwer Law International B.V.</w:t>
      </w:r>
      <w:r w:rsidRPr="00A56A7D">
        <w:rPr>
          <w:rStyle w:val="apple-converted-space"/>
          <w:i/>
          <w:iCs/>
          <w:color w:val="000000"/>
        </w:rPr>
        <w:t> </w:t>
      </w:r>
    </w:p>
    <w:p w14:paraId="3DC8B52C" w14:textId="10F8CD48" w:rsidR="001E4E91" w:rsidRPr="00A56A7D" w:rsidRDefault="001E4E91" w:rsidP="004C3A2E">
      <w:pPr>
        <w:pStyle w:val="NormalWeb"/>
        <w:rPr>
          <w:i/>
          <w:iCs/>
          <w:color w:val="212121"/>
          <w:bdr w:val="none" w:sz="0" w:space="0" w:color="auto" w:frame="1"/>
        </w:rPr>
      </w:pPr>
      <w:r w:rsidRPr="00A56A7D">
        <w:rPr>
          <w:i/>
          <w:iCs/>
          <w:color w:val="000000"/>
        </w:rPr>
        <w:t>Felthouse V Bindley</w:t>
      </w:r>
      <w:r w:rsidRPr="00A56A7D">
        <w:rPr>
          <w:rStyle w:val="apple-converted-space"/>
          <w:i/>
          <w:iCs/>
          <w:color w:val="000000"/>
        </w:rPr>
        <w:t> </w:t>
      </w:r>
      <w:r w:rsidRPr="00A56A7D">
        <w:rPr>
          <w:i/>
          <w:iCs/>
          <w:color w:val="000000"/>
        </w:rPr>
        <w:t>Vol 142</w:t>
      </w:r>
      <w:r w:rsidRPr="00A56A7D">
        <w:rPr>
          <w:rStyle w:val="apple-converted-space"/>
          <w:i/>
          <w:iCs/>
          <w:color w:val="000000"/>
        </w:rPr>
        <w:t> </w:t>
      </w:r>
      <w:r w:rsidRPr="00A56A7D">
        <w:rPr>
          <w:i/>
          <w:iCs/>
          <w:color w:val="212121"/>
          <w:bdr w:val="none" w:sz="0" w:space="0" w:color="auto" w:frame="1"/>
        </w:rPr>
        <w:t>(1862) 11 CBNS 86910 WR 423142 ER 1037</w:t>
      </w:r>
    </w:p>
    <w:p w14:paraId="1512678D" w14:textId="63C2ED45" w:rsidR="009742C9" w:rsidRPr="00A56A7D" w:rsidRDefault="009742C9" w:rsidP="004C3A2E">
      <w:pPr>
        <w:pStyle w:val="NormalWeb"/>
        <w:rPr>
          <w:i/>
          <w:iCs/>
          <w:color w:val="000000"/>
        </w:rPr>
      </w:pPr>
      <w:r w:rsidRPr="00A56A7D">
        <w:rPr>
          <w:i/>
          <w:iCs/>
          <w:color w:val="000000"/>
        </w:rPr>
        <w:t>Mulcahy, L., Tillotson, J., &amp; Tabb, W. (</w:t>
      </w:r>
      <w:r w:rsidR="00040622" w:rsidRPr="00A56A7D">
        <w:rPr>
          <w:i/>
          <w:iCs/>
          <w:color w:val="000000"/>
        </w:rPr>
        <w:t>2004</w:t>
      </w:r>
      <w:r w:rsidRPr="00A56A7D">
        <w:rPr>
          <w:i/>
          <w:iCs/>
          <w:color w:val="000000"/>
        </w:rPr>
        <w:t>). Contract Law in Perspective. Publisher.</w:t>
      </w:r>
    </w:p>
    <w:p w14:paraId="5005225D" w14:textId="3459181F" w:rsidR="00E32D3E" w:rsidRPr="00A56A7D" w:rsidRDefault="00E32D3E" w:rsidP="001E4E91">
      <w:pPr>
        <w:pStyle w:val="NormalWeb"/>
        <w:rPr>
          <w:rStyle w:val="apple-converted-space"/>
          <w:i/>
          <w:iCs/>
          <w:color w:val="000000"/>
        </w:rPr>
      </w:pPr>
      <w:r w:rsidRPr="00A56A7D">
        <w:rPr>
          <w:i/>
          <w:iCs/>
          <w:color w:val="000000"/>
        </w:rPr>
        <w:t>Naidoo, A. (2021)</w:t>
      </w:r>
      <w:r w:rsidRPr="00A56A7D">
        <w:rPr>
          <w:rStyle w:val="apple-converted-space"/>
          <w:i/>
          <w:iCs/>
          <w:color w:val="000000"/>
        </w:rPr>
        <w:t> </w:t>
      </w:r>
      <w:r w:rsidRPr="00A56A7D">
        <w:rPr>
          <w:i/>
          <w:iCs/>
          <w:color w:val="000000"/>
        </w:rPr>
        <w:t>Complete contract law: Text, cases, and materials</w:t>
      </w:r>
      <w:r w:rsidRPr="00A56A7D">
        <w:rPr>
          <w:rStyle w:val="apple-converted-space"/>
          <w:i/>
          <w:iCs/>
          <w:color w:val="000000"/>
        </w:rPr>
        <w:t> </w:t>
      </w:r>
      <w:r w:rsidRPr="00A56A7D">
        <w:rPr>
          <w:i/>
          <w:iCs/>
          <w:color w:val="000000"/>
        </w:rPr>
        <w:t>(1–672 vols). Oxford: Oxford University Press.</w:t>
      </w:r>
      <w:r w:rsidRPr="00A56A7D">
        <w:rPr>
          <w:rStyle w:val="apple-converted-space"/>
          <w:i/>
          <w:iCs/>
          <w:color w:val="000000"/>
        </w:rPr>
        <w:t> </w:t>
      </w:r>
      <w:r w:rsidR="00DB37C5" w:rsidRPr="00A56A7D">
        <w:rPr>
          <w:rStyle w:val="apple-converted-space"/>
          <w:i/>
          <w:iCs/>
          <w:color w:val="000000"/>
        </w:rPr>
        <w:t xml:space="preserve"> </w:t>
      </w:r>
    </w:p>
    <w:p w14:paraId="3B793C01" w14:textId="77777777" w:rsidR="002540F8" w:rsidRPr="00A56A7D" w:rsidRDefault="002540F8" w:rsidP="002540F8">
      <w:pPr>
        <w:pStyle w:val="NormalWeb"/>
        <w:ind w:left="567" w:hanging="567"/>
        <w:rPr>
          <w:rStyle w:val="apple-converted-space"/>
          <w:i/>
          <w:iCs/>
          <w:color w:val="000000"/>
        </w:rPr>
      </w:pPr>
      <w:r w:rsidRPr="00A56A7D">
        <w:rPr>
          <w:i/>
          <w:iCs/>
          <w:color w:val="000000"/>
        </w:rPr>
        <w:t xml:space="preserve">Smits, </w:t>
      </w:r>
      <w:proofErr w:type="spellStart"/>
      <w:r w:rsidRPr="00A56A7D">
        <w:rPr>
          <w:i/>
          <w:iCs/>
          <w:color w:val="000000"/>
        </w:rPr>
        <w:t>Jan.M</w:t>
      </w:r>
      <w:proofErr w:type="spellEnd"/>
      <w:r w:rsidRPr="00A56A7D">
        <w:rPr>
          <w:i/>
          <w:iCs/>
          <w:color w:val="000000"/>
        </w:rPr>
        <w:t xml:space="preserve">. (2017) ‘Offer and </w:t>
      </w:r>
      <w:proofErr w:type="gramStart"/>
      <w:r w:rsidRPr="00A56A7D">
        <w:rPr>
          <w:i/>
          <w:iCs/>
          <w:color w:val="000000"/>
        </w:rPr>
        <w:t>acceptance ’</w:t>
      </w:r>
      <w:proofErr w:type="gramEnd"/>
      <w:r w:rsidRPr="00A56A7D">
        <w:rPr>
          <w:i/>
          <w:iCs/>
          <w:color w:val="000000"/>
        </w:rPr>
        <w:t>, in</w:t>
      </w:r>
      <w:r w:rsidRPr="00A56A7D">
        <w:rPr>
          <w:rStyle w:val="apple-converted-space"/>
          <w:i/>
          <w:iCs/>
          <w:color w:val="000000"/>
        </w:rPr>
        <w:t> </w:t>
      </w:r>
      <w:r w:rsidRPr="00A56A7D">
        <w:rPr>
          <w:i/>
          <w:iCs/>
          <w:color w:val="000000"/>
        </w:rPr>
        <w:t>The formation of a Contract. Edward Elgar Publishing, Incorporated.</w:t>
      </w:r>
      <w:r w:rsidRPr="00A56A7D">
        <w:rPr>
          <w:rStyle w:val="apple-converted-space"/>
          <w:i/>
          <w:iCs/>
          <w:color w:val="000000"/>
        </w:rPr>
        <w:t> </w:t>
      </w:r>
    </w:p>
    <w:p w14:paraId="3EE2BBDF" w14:textId="77777777" w:rsidR="00015759" w:rsidRPr="00A56A7D" w:rsidRDefault="00015759" w:rsidP="00015759">
      <w:pPr>
        <w:pStyle w:val="NormalWeb"/>
        <w:ind w:left="567" w:hanging="567"/>
        <w:rPr>
          <w:rStyle w:val="apple-converted-space"/>
          <w:i/>
          <w:iCs/>
          <w:color w:val="000000"/>
        </w:rPr>
      </w:pPr>
      <w:r w:rsidRPr="00A56A7D">
        <w:rPr>
          <w:i/>
          <w:iCs/>
          <w:color w:val="000000"/>
        </w:rPr>
        <w:t>Stim, R. (2021)</w:t>
      </w:r>
      <w:r w:rsidRPr="00A56A7D">
        <w:rPr>
          <w:rStyle w:val="apple-converted-space"/>
          <w:i/>
          <w:iCs/>
          <w:color w:val="000000"/>
        </w:rPr>
        <w:t> </w:t>
      </w:r>
      <w:r w:rsidRPr="00A56A7D">
        <w:rPr>
          <w:i/>
          <w:iCs/>
          <w:color w:val="000000"/>
        </w:rPr>
        <w:t xml:space="preserve">Contracts: The Essential Business Desk Reference. Berkeley, CA: </w:t>
      </w:r>
      <w:proofErr w:type="spellStart"/>
      <w:r w:rsidRPr="00A56A7D">
        <w:rPr>
          <w:i/>
          <w:iCs/>
          <w:color w:val="000000"/>
        </w:rPr>
        <w:t>Nolo</w:t>
      </w:r>
      <w:proofErr w:type="spellEnd"/>
      <w:r w:rsidRPr="00A56A7D">
        <w:rPr>
          <w:i/>
          <w:iCs/>
          <w:color w:val="000000"/>
        </w:rPr>
        <w:t>.</w:t>
      </w:r>
      <w:r w:rsidRPr="00A56A7D">
        <w:rPr>
          <w:rStyle w:val="apple-converted-space"/>
          <w:i/>
          <w:iCs/>
          <w:color w:val="000000"/>
        </w:rPr>
        <w:t> </w:t>
      </w:r>
    </w:p>
    <w:p w14:paraId="250A9537" w14:textId="4F64B81A" w:rsidR="00342235" w:rsidRPr="00A56A7D" w:rsidRDefault="00E773FC" w:rsidP="00015759">
      <w:pPr>
        <w:pStyle w:val="NormalWeb"/>
        <w:ind w:left="567" w:hanging="567"/>
        <w:rPr>
          <w:i/>
          <w:iCs/>
          <w:color w:val="0D0D0D"/>
          <w:shd w:val="clear" w:color="auto" w:fill="FFFFFF"/>
        </w:rPr>
      </w:pPr>
      <w:r w:rsidRPr="00A56A7D">
        <w:rPr>
          <w:i/>
          <w:iCs/>
          <w:color w:val="0D0D0D"/>
          <w:shd w:val="clear" w:color="auto" w:fill="FFFFFF"/>
        </w:rPr>
        <w:t>Re McArdle [</w:t>
      </w:r>
      <w:r w:rsidR="00342235" w:rsidRPr="00A56A7D">
        <w:rPr>
          <w:i/>
          <w:iCs/>
          <w:color w:val="0D0D0D"/>
          <w:shd w:val="clear" w:color="auto" w:fill="FFFFFF"/>
        </w:rPr>
        <w:t>1951] Ch 669; [1951] 1 All ER 905; (1951) 95 SJ 284; [1947-51] CLY 4321.</w:t>
      </w:r>
    </w:p>
    <w:p w14:paraId="5C3783F8" w14:textId="020215CA" w:rsidR="00E8737F" w:rsidRPr="00A56A7D" w:rsidRDefault="00E8737F" w:rsidP="00015759">
      <w:pPr>
        <w:pStyle w:val="NormalWeb"/>
        <w:ind w:left="567" w:hanging="567"/>
        <w:rPr>
          <w:i/>
          <w:iCs/>
          <w:color w:val="000000"/>
        </w:rPr>
      </w:pPr>
      <w:r w:rsidRPr="00A56A7D">
        <w:rPr>
          <w:i/>
          <w:iCs/>
          <w:color w:val="0D0D0D"/>
          <w:shd w:val="clear" w:color="auto" w:fill="FFFFFF"/>
        </w:rPr>
        <w:t>Tesco plc v Commissioners for Her Majesty's Revenue and Customs</w:t>
      </w:r>
      <w:r w:rsidRPr="00A56A7D">
        <w:rPr>
          <w:i/>
          <w:iCs/>
          <w:color w:val="0D0D0D"/>
          <w:shd w:val="clear" w:color="auto" w:fill="FFFFFF"/>
        </w:rPr>
        <w:t xml:space="preserve"> </w:t>
      </w:r>
      <w:r w:rsidR="00504448" w:rsidRPr="00A56A7D">
        <w:rPr>
          <w:i/>
          <w:iCs/>
          <w:color w:val="0D0D0D"/>
          <w:shd w:val="clear" w:color="auto" w:fill="FFFFFF"/>
        </w:rPr>
        <w:t>[2009] UKLH 2</w:t>
      </w:r>
    </w:p>
    <w:p w14:paraId="47106DB1" w14:textId="77777777" w:rsidR="00945ED0" w:rsidRPr="00A56A7D" w:rsidRDefault="00945ED0" w:rsidP="00015759">
      <w:pPr>
        <w:pStyle w:val="NormalWeb"/>
        <w:rPr>
          <w:rStyle w:val="apple-converted-space"/>
          <w:i/>
          <w:iCs/>
          <w:color w:val="000000"/>
        </w:rPr>
      </w:pPr>
      <w:r w:rsidRPr="00A56A7D">
        <w:rPr>
          <w:i/>
          <w:iCs/>
          <w:color w:val="000000"/>
        </w:rPr>
        <w:t>Whaley, D.J. and Horton, D. (2023)</w:t>
      </w:r>
      <w:r w:rsidRPr="00A56A7D">
        <w:rPr>
          <w:rStyle w:val="apple-converted-space"/>
          <w:i/>
          <w:iCs/>
          <w:color w:val="000000"/>
        </w:rPr>
        <w:t> </w:t>
      </w:r>
      <w:r w:rsidRPr="00A56A7D">
        <w:rPr>
          <w:i/>
          <w:iCs/>
          <w:color w:val="000000"/>
        </w:rPr>
        <w:t>Cases, problems, and materials on contracts. Frederick, MD: Aspen Publishing.</w:t>
      </w:r>
      <w:r w:rsidRPr="00A56A7D">
        <w:rPr>
          <w:rStyle w:val="apple-converted-space"/>
          <w:i/>
          <w:iCs/>
          <w:color w:val="000000"/>
        </w:rPr>
        <w:t> </w:t>
      </w:r>
    </w:p>
    <w:p w14:paraId="1AE5D878" w14:textId="2E4932FB" w:rsidR="00FD7794" w:rsidRPr="00A56A7D" w:rsidRDefault="00FD7794" w:rsidP="00015759">
      <w:pPr>
        <w:pStyle w:val="NormalWeb"/>
        <w:rPr>
          <w:i/>
          <w:iCs/>
          <w:color w:val="000000"/>
        </w:rPr>
      </w:pPr>
      <w:r w:rsidRPr="00A56A7D">
        <w:rPr>
          <w:i/>
          <w:iCs/>
          <w:color w:val="0D0D0D"/>
          <w:shd w:val="clear" w:color="auto" w:fill="FFFFFF"/>
        </w:rPr>
        <w:t>Weimer, D. L., &amp; Vining, A. R. (</w:t>
      </w:r>
      <w:r w:rsidR="00441757" w:rsidRPr="00A56A7D">
        <w:rPr>
          <w:i/>
          <w:iCs/>
          <w:color w:val="0D0D0D"/>
          <w:shd w:val="clear" w:color="auto" w:fill="FFFFFF"/>
        </w:rPr>
        <w:t>2017</w:t>
      </w:r>
      <w:r w:rsidRPr="00A56A7D">
        <w:rPr>
          <w:i/>
          <w:iCs/>
          <w:color w:val="0D0D0D"/>
          <w:shd w:val="clear" w:color="auto" w:fill="FFFFFF"/>
        </w:rPr>
        <w:t>).</w:t>
      </w:r>
      <w:r w:rsidRPr="00A56A7D">
        <w:rPr>
          <w:i/>
          <w:iCs/>
          <w:color w:val="0D0D0D"/>
          <w:shd w:val="clear" w:color="auto" w:fill="FFFFFF"/>
        </w:rPr>
        <w:t xml:space="preserve"> Policy Analysis: Concepts and Practice. </w:t>
      </w:r>
      <w:r w:rsidRPr="00A56A7D">
        <w:rPr>
          <w:i/>
          <w:iCs/>
          <w:color w:val="0D0D0D"/>
          <w:shd w:val="clear" w:color="auto" w:fill="FFFFFF"/>
        </w:rPr>
        <w:t>Publisher.</w:t>
      </w:r>
    </w:p>
    <w:p w14:paraId="098DF906" w14:textId="77777777" w:rsidR="00945ED0" w:rsidRDefault="00945ED0" w:rsidP="002540F8">
      <w:pPr>
        <w:pStyle w:val="NormalWeb"/>
        <w:ind w:left="567" w:hanging="567"/>
        <w:rPr>
          <w:color w:val="000000"/>
        </w:rPr>
      </w:pPr>
    </w:p>
    <w:p w14:paraId="78584376" w14:textId="77777777" w:rsidR="002540F8" w:rsidRDefault="002540F8" w:rsidP="00E32D3E">
      <w:pPr>
        <w:pStyle w:val="NormalWeb"/>
        <w:ind w:left="567" w:hanging="567"/>
        <w:rPr>
          <w:color w:val="000000"/>
        </w:rPr>
      </w:pPr>
    </w:p>
    <w:p w14:paraId="37FEEE0C" w14:textId="77777777" w:rsidR="00E32D3E" w:rsidRPr="002449E7" w:rsidRDefault="00E32D3E" w:rsidP="002449E7">
      <w:pPr>
        <w:rPr>
          <w:rFonts w:ascii="Arial" w:hAnsi="Arial" w:cs="Arial"/>
          <w:sz w:val="36"/>
          <w:szCs w:val="36"/>
        </w:rPr>
      </w:pPr>
    </w:p>
    <w:sectPr w:rsidR="00E32D3E" w:rsidRPr="002449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D0544"/>
    <w:multiLevelType w:val="hybridMultilevel"/>
    <w:tmpl w:val="9046537E"/>
    <w:lvl w:ilvl="0" w:tplc="CDDC0EF0">
      <w:numFmt w:val="bullet"/>
      <w:lvlText w:val="-"/>
      <w:lvlJc w:val="left"/>
      <w:pPr>
        <w:ind w:left="1080" w:hanging="360"/>
      </w:pPr>
      <w:rPr>
        <w:rFonts w:ascii="Times New Roman" w:eastAsia="Times New Roman" w:hAnsi="Times New Roman" w:cs="Times New Roman" w:hint="default"/>
        <w:sz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D227B35"/>
    <w:multiLevelType w:val="hybridMultilevel"/>
    <w:tmpl w:val="D75A2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8230208">
    <w:abstractNumId w:val="0"/>
  </w:num>
  <w:num w:numId="2" w16cid:durableId="707335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9E7"/>
    <w:rsid w:val="00015759"/>
    <w:rsid w:val="000258A9"/>
    <w:rsid w:val="00040622"/>
    <w:rsid w:val="000D09B8"/>
    <w:rsid w:val="000D65A4"/>
    <w:rsid w:val="000E5876"/>
    <w:rsid w:val="001369B5"/>
    <w:rsid w:val="001621A4"/>
    <w:rsid w:val="0018601B"/>
    <w:rsid w:val="001908A3"/>
    <w:rsid w:val="001962A9"/>
    <w:rsid w:val="001B3CDD"/>
    <w:rsid w:val="001E037F"/>
    <w:rsid w:val="001E4E91"/>
    <w:rsid w:val="002449E7"/>
    <w:rsid w:val="002540F8"/>
    <w:rsid w:val="00324A1F"/>
    <w:rsid w:val="00342235"/>
    <w:rsid w:val="0034348D"/>
    <w:rsid w:val="003631F7"/>
    <w:rsid w:val="003B0453"/>
    <w:rsid w:val="003B149E"/>
    <w:rsid w:val="003B21E4"/>
    <w:rsid w:val="003D74D0"/>
    <w:rsid w:val="003F2949"/>
    <w:rsid w:val="0040231B"/>
    <w:rsid w:val="00406DC0"/>
    <w:rsid w:val="00422403"/>
    <w:rsid w:val="00435199"/>
    <w:rsid w:val="00440EF9"/>
    <w:rsid w:val="00441757"/>
    <w:rsid w:val="00460693"/>
    <w:rsid w:val="00480535"/>
    <w:rsid w:val="0049035D"/>
    <w:rsid w:val="004B03A7"/>
    <w:rsid w:val="004C3A2E"/>
    <w:rsid w:val="004C7D43"/>
    <w:rsid w:val="004E39BF"/>
    <w:rsid w:val="00504448"/>
    <w:rsid w:val="0058405F"/>
    <w:rsid w:val="005C453F"/>
    <w:rsid w:val="00642F7B"/>
    <w:rsid w:val="006439C4"/>
    <w:rsid w:val="006746A0"/>
    <w:rsid w:val="006A550E"/>
    <w:rsid w:val="006C4728"/>
    <w:rsid w:val="00732988"/>
    <w:rsid w:val="00781F7F"/>
    <w:rsid w:val="00832622"/>
    <w:rsid w:val="00865974"/>
    <w:rsid w:val="00885A6A"/>
    <w:rsid w:val="008C1FD4"/>
    <w:rsid w:val="008E16CD"/>
    <w:rsid w:val="00945ED0"/>
    <w:rsid w:val="009742C9"/>
    <w:rsid w:val="0098483D"/>
    <w:rsid w:val="009B358B"/>
    <w:rsid w:val="009F0FFF"/>
    <w:rsid w:val="00A26E8A"/>
    <w:rsid w:val="00A56A7D"/>
    <w:rsid w:val="00AE0102"/>
    <w:rsid w:val="00AF2F6F"/>
    <w:rsid w:val="00B51C83"/>
    <w:rsid w:val="00B8297D"/>
    <w:rsid w:val="00B90368"/>
    <w:rsid w:val="00BA5D47"/>
    <w:rsid w:val="00BD71CE"/>
    <w:rsid w:val="00BE554C"/>
    <w:rsid w:val="00BF1A05"/>
    <w:rsid w:val="00C121EE"/>
    <w:rsid w:val="00C237B3"/>
    <w:rsid w:val="00C42B10"/>
    <w:rsid w:val="00C50BE3"/>
    <w:rsid w:val="00C61297"/>
    <w:rsid w:val="00C7780A"/>
    <w:rsid w:val="00C823C6"/>
    <w:rsid w:val="00CA7BDB"/>
    <w:rsid w:val="00DB37C5"/>
    <w:rsid w:val="00DC3646"/>
    <w:rsid w:val="00DD321F"/>
    <w:rsid w:val="00E32D3E"/>
    <w:rsid w:val="00E773FC"/>
    <w:rsid w:val="00E8737F"/>
    <w:rsid w:val="00EA3627"/>
    <w:rsid w:val="00EA6436"/>
    <w:rsid w:val="00F07C3B"/>
    <w:rsid w:val="00F70568"/>
    <w:rsid w:val="00FD2EDB"/>
    <w:rsid w:val="00FD7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E05088"/>
  <w15:chartTrackingRefBased/>
  <w15:docId w15:val="{E7B7FCC2-A5DC-6349-AD85-6B6F20B83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50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9E7"/>
    <w:pPr>
      <w:ind w:left="720"/>
      <w:contextualSpacing/>
    </w:pPr>
    <w:rPr>
      <w:sz w:val="20"/>
      <w:szCs w:val="20"/>
    </w:rPr>
  </w:style>
  <w:style w:type="paragraph" w:styleId="NormalWeb">
    <w:name w:val="Normal (Web)"/>
    <w:basedOn w:val="Normal"/>
    <w:uiPriority w:val="99"/>
    <w:semiHidden/>
    <w:unhideWhenUsed/>
    <w:rsid w:val="00E32D3E"/>
    <w:pPr>
      <w:spacing w:before="100" w:beforeAutospacing="1" w:after="100" w:afterAutospacing="1"/>
    </w:pPr>
  </w:style>
  <w:style w:type="character" w:customStyle="1" w:styleId="apple-converted-space">
    <w:name w:val="apple-converted-space"/>
    <w:basedOn w:val="DefaultParagraphFont"/>
    <w:rsid w:val="00E32D3E"/>
  </w:style>
  <w:style w:type="character" w:styleId="Strong">
    <w:name w:val="Strong"/>
    <w:basedOn w:val="DefaultParagraphFont"/>
    <w:uiPriority w:val="22"/>
    <w:qFormat/>
    <w:rsid w:val="00781F7F"/>
    <w:rPr>
      <w:b/>
      <w:bCs/>
    </w:rPr>
  </w:style>
  <w:style w:type="character" w:styleId="Emphasis">
    <w:name w:val="Emphasis"/>
    <w:basedOn w:val="DefaultParagraphFont"/>
    <w:uiPriority w:val="20"/>
    <w:qFormat/>
    <w:rsid w:val="00A26E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3658">
      <w:bodyDiv w:val="1"/>
      <w:marLeft w:val="0"/>
      <w:marRight w:val="0"/>
      <w:marTop w:val="0"/>
      <w:marBottom w:val="0"/>
      <w:divBdr>
        <w:top w:val="none" w:sz="0" w:space="0" w:color="auto"/>
        <w:left w:val="none" w:sz="0" w:space="0" w:color="auto"/>
        <w:bottom w:val="none" w:sz="0" w:space="0" w:color="auto"/>
        <w:right w:val="none" w:sz="0" w:space="0" w:color="auto"/>
      </w:divBdr>
    </w:div>
    <w:div w:id="265623788">
      <w:bodyDiv w:val="1"/>
      <w:marLeft w:val="0"/>
      <w:marRight w:val="0"/>
      <w:marTop w:val="0"/>
      <w:marBottom w:val="0"/>
      <w:divBdr>
        <w:top w:val="none" w:sz="0" w:space="0" w:color="auto"/>
        <w:left w:val="none" w:sz="0" w:space="0" w:color="auto"/>
        <w:bottom w:val="none" w:sz="0" w:space="0" w:color="auto"/>
        <w:right w:val="none" w:sz="0" w:space="0" w:color="auto"/>
      </w:divBdr>
    </w:div>
    <w:div w:id="290017526">
      <w:bodyDiv w:val="1"/>
      <w:marLeft w:val="0"/>
      <w:marRight w:val="0"/>
      <w:marTop w:val="0"/>
      <w:marBottom w:val="0"/>
      <w:divBdr>
        <w:top w:val="none" w:sz="0" w:space="0" w:color="auto"/>
        <w:left w:val="none" w:sz="0" w:space="0" w:color="auto"/>
        <w:bottom w:val="none" w:sz="0" w:space="0" w:color="auto"/>
        <w:right w:val="none" w:sz="0" w:space="0" w:color="auto"/>
      </w:divBdr>
      <w:divsChild>
        <w:div w:id="383869029">
          <w:marLeft w:val="0"/>
          <w:marRight w:val="0"/>
          <w:marTop w:val="0"/>
          <w:marBottom w:val="0"/>
          <w:divBdr>
            <w:top w:val="single" w:sz="2" w:space="0" w:color="E3E3E3"/>
            <w:left w:val="single" w:sz="2" w:space="0" w:color="E3E3E3"/>
            <w:bottom w:val="single" w:sz="2" w:space="0" w:color="E3E3E3"/>
            <w:right w:val="single" w:sz="2" w:space="0" w:color="E3E3E3"/>
          </w:divBdr>
          <w:divsChild>
            <w:div w:id="598293045">
              <w:marLeft w:val="0"/>
              <w:marRight w:val="0"/>
              <w:marTop w:val="0"/>
              <w:marBottom w:val="0"/>
              <w:divBdr>
                <w:top w:val="single" w:sz="2" w:space="0" w:color="E3E3E3"/>
                <w:left w:val="single" w:sz="2" w:space="0" w:color="E3E3E3"/>
                <w:bottom w:val="single" w:sz="2" w:space="0" w:color="E3E3E3"/>
                <w:right w:val="single" w:sz="2" w:space="0" w:color="E3E3E3"/>
              </w:divBdr>
              <w:divsChild>
                <w:div w:id="913323640">
                  <w:marLeft w:val="0"/>
                  <w:marRight w:val="0"/>
                  <w:marTop w:val="0"/>
                  <w:marBottom w:val="0"/>
                  <w:divBdr>
                    <w:top w:val="single" w:sz="2" w:space="0" w:color="E3E3E3"/>
                    <w:left w:val="single" w:sz="2" w:space="0" w:color="E3E3E3"/>
                    <w:bottom w:val="single" w:sz="2" w:space="0" w:color="E3E3E3"/>
                    <w:right w:val="single" w:sz="2" w:space="0" w:color="E3E3E3"/>
                  </w:divBdr>
                  <w:divsChild>
                    <w:div w:id="1997999820">
                      <w:marLeft w:val="0"/>
                      <w:marRight w:val="0"/>
                      <w:marTop w:val="0"/>
                      <w:marBottom w:val="0"/>
                      <w:divBdr>
                        <w:top w:val="single" w:sz="2" w:space="0" w:color="E3E3E3"/>
                        <w:left w:val="single" w:sz="2" w:space="0" w:color="E3E3E3"/>
                        <w:bottom w:val="single" w:sz="2" w:space="0" w:color="E3E3E3"/>
                        <w:right w:val="single" w:sz="2" w:space="0" w:color="E3E3E3"/>
                      </w:divBdr>
                      <w:divsChild>
                        <w:div w:id="1398630911">
                          <w:marLeft w:val="0"/>
                          <w:marRight w:val="0"/>
                          <w:marTop w:val="0"/>
                          <w:marBottom w:val="0"/>
                          <w:divBdr>
                            <w:top w:val="single" w:sz="2" w:space="0" w:color="E3E3E3"/>
                            <w:left w:val="single" w:sz="2" w:space="0" w:color="E3E3E3"/>
                            <w:bottom w:val="single" w:sz="2" w:space="0" w:color="E3E3E3"/>
                            <w:right w:val="single" w:sz="2" w:space="0" w:color="E3E3E3"/>
                          </w:divBdr>
                          <w:divsChild>
                            <w:div w:id="1775787350">
                              <w:marLeft w:val="0"/>
                              <w:marRight w:val="0"/>
                              <w:marTop w:val="100"/>
                              <w:marBottom w:val="100"/>
                              <w:divBdr>
                                <w:top w:val="single" w:sz="2" w:space="0" w:color="E3E3E3"/>
                                <w:left w:val="single" w:sz="2" w:space="0" w:color="E3E3E3"/>
                                <w:bottom w:val="single" w:sz="2" w:space="0" w:color="E3E3E3"/>
                                <w:right w:val="single" w:sz="2" w:space="0" w:color="E3E3E3"/>
                              </w:divBdr>
                              <w:divsChild>
                                <w:div w:id="1853569838">
                                  <w:marLeft w:val="0"/>
                                  <w:marRight w:val="0"/>
                                  <w:marTop w:val="0"/>
                                  <w:marBottom w:val="0"/>
                                  <w:divBdr>
                                    <w:top w:val="single" w:sz="2" w:space="0" w:color="E3E3E3"/>
                                    <w:left w:val="single" w:sz="2" w:space="0" w:color="E3E3E3"/>
                                    <w:bottom w:val="single" w:sz="2" w:space="0" w:color="E3E3E3"/>
                                    <w:right w:val="single" w:sz="2" w:space="0" w:color="E3E3E3"/>
                                  </w:divBdr>
                                  <w:divsChild>
                                    <w:div w:id="461851803">
                                      <w:marLeft w:val="0"/>
                                      <w:marRight w:val="0"/>
                                      <w:marTop w:val="0"/>
                                      <w:marBottom w:val="0"/>
                                      <w:divBdr>
                                        <w:top w:val="single" w:sz="2" w:space="0" w:color="E3E3E3"/>
                                        <w:left w:val="single" w:sz="2" w:space="0" w:color="E3E3E3"/>
                                        <w:bottom w:val="single" w:sz="2" w:space="0" w:color="E3E3E3"/>
                                        <w:right w:val="single" w:sz="2" w:space="0" w:color="E3E3E3"/>
                                      </w:divBdr>
                                      <w:divsChild>
                                        <w:div w:id="1135873506">
                                          <w:marLeft w:val="0"/>
                                          <w:marRight w:val="0"/>
                                          <w:marTop w:val="0"/>
                                          <w:marBottom w:val="0"/>
                                          <w:divBdr>
                                            <w:top w:val="single" w:sz="2" w:space="0" w:color="E3E3E3"/>
                                            <w:left w:val="single" w:sz="2" w:space="0" w:color="E3E3E3"/>
                                            <w:bottom w:val="single" w:sz="2" w:space="0" w:color="E3E3E3"/>
                                            <w:right w:val="single" w:sz="2" w:space="0" w:color="E3E3E3"/>
                                          </w:divBdr>
                                          <w:divsChild>
                                            <w:div w:id="1814785140">
                                              <w:marLeft w:val="0"/>
                                              <w:marRight w:val="0"/>
                                              <w:marTop w:val="0"/>
                                              <w:marBottom w:val="0"/>
                                              <w:divBdr>
                                                <w:top w:val="single" w:sz="2" w:space="0" w:color="E3E3E3"/>
                                                <w:left w:val="single" w:sz="2" w:space="0" w:color="E3E3E3"/>
                                                <w:bottom w:val="single" w:sz="2" w:space="0" w:color="E3E3E3"/>
                                                <w:right w:val="single" w:sz="2" w:space="0" w:color="E3E3E3"/>
                                              </w:divBdr>
                                              <w:divsChild>
                                                <w:div w:id="928463212">
                                                  <w:marLeft w:val="0"/>
                                                  <w:marRight w:val="0"/>
                                                  <w:marTop w:val="0"/>
                                                  <w:marBottom w:val="0"/>
                                                  <w:divBdr>
                                                    <w:top w:val="single" w:sz="2" w:space="0" w:color="E3E3E3"/>
                                                    <w:left w:val="single" w:sz="2" w:space="0" w:color="E3E3E3"/>
                                                    <w:bottom w:val="single" w:sz="2" w:space="0" w:color="E3E3E3"/>
                                                    <w:right w:val="single" w:sz="2" w:space="0" w:color="E3E3E3"/>
                                                  </w:divBdr>
                                                  <w:divsChild>
                                                    <w:div w:id="20211547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72843309">
          <w:marLeft w:val="0"/>
          <w:marRight w:val="0"/>
          <w:marTop w:val="0"/>
          <w:marBottom w:val="0"/>
          <w:divBdr>
            <w:top w:val="single" w:sz="2" w:space="0" w:color="E3E3E3"/>
            <w:left w:val="single" w:sz="2" w:space="0" w:color="E3E3E3"/>
            <w:bottom w:val="single" w:sz="2" w:space="0" w:color="E3E3E3"/>
            <w:right w:val="single" w:sz="2" w:space="0" w:color="E3E3E3"/>
          </w:divBdr>
          <w:divsChild>
            <w:div w:id="2043895558">
              <w:marLeft w:val="0"/>
              <w:marRight w:val="0"/>
              <w:marTop w:val="0"/>
              <w:marBottom w:val="0"/>
              <w:divBdr>
                <w:top w:val="single" w:sz="2" w:space="0" w:color="E3E3E3"/>
                <w:left w:val="single" w:sz="2" w:space="0" w:color="E3E3E3"/>
                <w:bottom w:val="single" w:sz="2" w:space="0" w:color="E3E3E3"/>
                <w:right w:val="single" w:sz="2" w:space="0" w:color="E3E3E3"/>
              </w:divBdr>
              <w:divsChild>
                <w:div w:id="1140267109">
                  <w:marLeft w:val="0"/>
                  <w:marRight w:val="0"/>
                  <w:marTop w:val="0"/>
                  <w:marBottom w:val="0"/>
                  <w:divBdr>
                    <w:top w:val="single" w:sz="2" w:space="0" w:color="E3E3E3"/>
                    <w:left w:val="single" w:sz="2" w:space="0" w:color="E3E3E3"/>
                    <w:bottom w:val="single" w:sz="2" w:space="0" w:color="E3E3E3"/>
                    <w:right w:val="single" w:sz="2" w:space="0" w:color="E3E3E3"/>
                  </w:divBdr>
                  <w:divsChild>
                    <w:div w:id="1497960564">
                      <w:marLeft w:val="0"/>
                      <w:marRight w:val="0"/>
                      <w:marTop w:val="0"/>
                      <w:marBottom w:val="0"/>
                      <w:divBdr>
                        <w:top w:val="single" w:sz="6" w:space="0" w:color="auto"/>
                        <w:left w:val="single" w:sz="6" w:space="0" w:color="auto"/>
                        <w:bottom w:val="single" w:sz="6" w:space="0" w:color="auto"/>
                        <w:right w:val="single" w:sz="6" w:space="0" w:color="auto"/>
                      </w:divBdr>
                      <w:divsChild>
                        <w:div w:id="1883900487">
                          <w:marLeft w:val="0"/>
                          <w:marRight w:val="0"/>
                          <w:marTop w:val="0"/>
                          <w:marBottom w:val="0"/>
                          <w:divBdr>
                            <w:top w:val="none" w:sz="0" w:space="0" w:color="auto"/>
                            <w:left w:val="none" w:sz="0" w:space="0" w:color="auto"/>
                            <w:bottom w:val="none" w:sz="0" w:space="0" w:color="auto"/>
                            <w:right w:val="none" w:sz="0" w:space="0" w:color="auto"/>
                          </w:divBdr>
                          <w:divsChild>
                            <w:div w:id="364257041">
                              <w:marLeft w:val="0"/>
                              <w:marRight w:val="0"/>
                              <w:marTop w:val="0"/>
                              <w:marBottom w:val="0"/>
                              <w:divBdr>
                                <w:top w:val="none" w:sz="0" w:space="0" w:color="auto"/>
                                <w:left w:val="none" w:sz="0" w:space="0" w:color="auto"/>
                                <w:bottom w:val="none" w:sz="0" w:space="0" w:color="auto"/>
                                <w:right w:val="none" w:sz="0" w:space="0" w:color="auto"/>
                              </w:divBdr>
                              <w:divsChild>
                                <w:div w:id="1330984731">
                                  <w:marLeft w:val="0"/>
                                  <w:marRight w:val="0"/>
                                  <w:marTop w:val="0"/>
                                  <w:marBottom w:val="0"/>
                                  <w:divBdr>
                                    <w:top w:val="none" w:sz="0" w:space="0" w:color="auto"/>
                                    <w:left w:val="none" w:sz="0" w:space="0" w:color="auto"/>
                                    <w:bottom w:val="none" w:sz="0" w:space="0" w:color="auto"/>
                                    <w:right w:val="none" w:sz="0" w:space="0" w:color="auto"/>
                                  </w:divBdr>
                                  <w:divsChild>
                                    <w:div w:id="151457758">
                                      <w:marLeft w:val="0"/>
                                      <w:marRight w:val="0"/>
                                      <w:marTop w:val="0"/>
                                      <w:marBottom w:val="0"/>
                                      <w:divBdr>
                                        <w:top w:val="none" w:sz="0" w:space="0" w:color="auto"/>
                                        <w:left w:val="none" w:sz="0" w:space="0" w:color="auto"/>
                                        <w:bottom w:val="none" w:sz="0" w:space="0" w:color="auto"/>
                                        <w:right w:val="none" w:sz="0" w:space="0" w:color="auto"/>
                                      </w:divBdr>
                                      <w:divsChild>
                                        <w:div w:id="1739981801">
                                          <w:marLeft w:val="0"/>
                                          <w:marRight w:val="0"/>
                                          <w:marTop w:val="0"/>
                                          <w:marBottom w:val="0"/>
                                          <w:divBdr>
                                            <w:top w:val="none" w:sz="0" w:space="0" w:color="auto"/>
                                            <w:left w:val="none" w:sz="0" w:space="0" w:color="auto"/>
                                            <w:bottom w:val="none" w:sz="0" w:space="0" w:color="auto"/>
                                            <w:right w:val="none" w:sz="0" w:space="0" w:color="auto"/>
                                          </w:divBdr>
                                          <w:divsChild>
                                            <w:div w:id="67777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6909650">
      <w:bodyDiv w:val="1"/>
      <w:marLeft w:val="0"/>
      <w:marRight w:val="0"/>
      <w:marTop w:val="0"/>
      <w:marBottom w:val="0"/>
      <w:divBdr>
        <w:top w:val="none" w:sz="0" w:space="0" w:color="auto"/>
        <w:left w:val="none" w:sz="0" w:space="0" w:color="auto"/>
        <w:bottom w:val="none" w:sz="0" w:space="0" w:color="auto"/>
        <w:right w:val="none" w:sz="0" w:space="0" w:color="auto"/>
      </w:divBdr>
    </w:div>
    <w:div w:id="636566920">
      <w:bodyDiv w:val="1"/>
      <w:marLeft w:val="0"/>
      <w:marRight w:val="0"/>
      <w:marTop w:val="0"/>
      <w:marBottom w:val="0"/>
      <w:divBdr>
        <w:top w:val="none" w:sz="0" w:space="0" w:color="auto"/>
        <w:left w:val="none" w:sz="0" w:space="0" w:color="auto"/>
        <w:bottom w:val="none" w:sz="0" w:space="0" w:color="auto"/>
        <w:right w:val="none" w:sz="0" w:space="0" w:color="auto"/>
      </w:divBdr>
    </w:div>
    <w:div w:id="676229381">
      <w:bodyDiv w:val="1"/>
      <w:marLeft w:val="0"/>
      <w:marRight w:val="0"/>
      <w:marTop w:val="0"/>
      <w:marBottom w:val="0"/>
      <w:divBdr>
        <w:top w:val="none" w:sz="0" w:space="0" w:color="auto"/>
        <w:left w:val="none" w:sz="0" w:space="0" w:color="auto"/>
        <w:bottom w:val="none" w:sz="0" w:space="0" w:color="auto"/>
        <w:right w:val="none" w:sz="0" w:space="0" w:color="auto"/>
      </w:divBdr>
    </w:div>
    <w:div w:id="679509532">
      <w:bodyDiv w:val="1"/>
      <w:marLeft w:val="0"/>
      <w:marRight w:val="0"/>
      <w:marTop w:val="0"/>
      <w:marBottom w:val="0"/>
      <w:divBdr>
        <w:top w:val="none" w:sz="0" w:space="0" w:color="auto"/>
        <w:left w:val="none" w:sz="0" w:space="0" w:color="auto"/>
        <w:bottom w:val="none" w:sz="0" w:space="0" w:color="auto"/>
        <w:right w:val="none" w:sz="0" w:space="0" w:color="auto"/>
      </w:divBdr>
    </w:div>
    <w:div w:id="709762782">
      <w:bodyDiv w:val="1"/>
      <w:marLeft w:val="0"/>
      <w:marRight w:val="0"/>
      <w:marTop w:val="0"/>
      <w:marBottom w:val="0"/>
      <w:divBdr>
        <w:top w:val="none" w:sz="0" w:space="0" w:color="auto"/>
        <w:left w:val="none" w:sz="0" w:space="0" w:color="auto"/>
        <w:bottom w:val="none" w:sz="0" w:space="0" w:color="auto"/>
        <w:right w:val="none" w:sz="0" w:space="0" w:color="auto"/>
      </w:divBdr>
    </w:div>
    <w:div w:id="777987553">
      <w:bodyDiv w:val="1"/>
      <w:marLeft w:val="0"/>
      <w:marRight w:val="0"/>
      <w:marTop w:val="0"/>
      <w:marBottom w:val="0"/>
      <w:divBdr>
        <w:top w:val="none" w:sz="0" w:space="0" w:color="auto"/>
        <w:left w:val="none" w:sz="0" w:space="0" w:color="auto"/>
        <w:bottom w:val="none" w:sz="0" w:space="0" w:color="auto"/>
        <w:right w:val="none" w:sz="0" w:space="0" w:color="auto"/>
      </w:divBdr>
    </w:div>
    <w:div w:id="791630110">
      <w:bodyDiv w:val="1"/>
      <w:marLeft w:val="0"/>
      <w:marRight w:val="0"/>
      <w:marTop w:val="0"/>
      <w:marBottom w:val="0"/>
      <w:divBdr>
        <w:top w:val="none" w:sz="0" w:space="0" w:color="auto"/>
        <w:left w:val="none" w:sz="0" w:space="0" w:color="auto"/>
        <w:bottom w:val="none" w:sz="0" w:space="0" w:color="auto"/>
        <w:right w:val="none" w:sz="0" w:space="0" w:color="auto"/>
      </w:divBdr>
    </w:div>
    <w:div w:id="806357023">
      <w:bodyDiv w:val="1"/>
      <w:marLeft w:val="0"/>
      <w:marRight w:val="0"/>
      <w:marTop w:val="0"/>
      <w:marBottom w:val="0"/>
      <w:divBdr>
        <w:top w:val="none" w:sz="0" w:space="0" w:color="auto"/>
        <w:left w:val="none" w:sz="0" w:space="0" w:color="auto"/>
        <w:bottom w:val="none" w:sz="0" w:space="0" w:color="auto"/>
        <w:right w:val="none" w:sz="0" w:space="0" w:color="auto"/>
      </w:divBdr>
    </w:div>
    <w:div w:id="933125330">
      <w:bodyDiv w:val="1"/>
      <w:marLeft w:val="0"/>
      <w:marRight w:val="0"/>
      <w:marTop w:val="0"/>
      <w:marBottom w:val="0"/>
      <w:divBdr>
        <w:top w:val="none" w:sz="0" w:space="0" w:color="auto"/>
        <w:left w:val="none" w:sz="0" w:space="0" w:color="auto"/>
        <w:bottom w:val="none" w:sz="0" w:space="0" w:color="auto"/>
        <w:right w:val="none" w:sz="0" w:space="0" w:color="auto"/>
      </w:divBdr>
    </w:div>
    <w:div w:id="946891071">
      <w:bodyDiv w:val="1"/>
      <w:marLeft w:val="0"/>
      <w:marRight w:val="0"/>
      <w:marTop w:val="0"/>
      <w:marBottom w:val="0"/>
      <w:divBdr>
        <w:top w:val="none" w:sz="0" w:space="0" w:color="auto"/>
        <w:left w:val="none" w:sz="0" w:space="0" w:color="auto"/>
        <w:bottom w:val="none" w:sz="0" w:space="0" w:color="auto"/>
        <w:right w:val="none" w:sz="0" w:space="0" w:color="auto"/>
      </w:divBdr>
    </w:div>
    <w:div w:id="1057316883">
      <w:bodyDiv w:val="1"/>
      <w:marLeft w:val="0"/>
      <w:marRight w:val="0"/>
      <w:marTop w:val="0"/>
      <w:marBottom w:val="0"/>
      <w:divBdr>
        <w:top w:val="none" w:sz="0" w:space="0" w:color="auto"/>
        <w:left w:val="none" w:sz="0" w:space="0" w:color="auto"/>
        <w:bottom w:val="none" w:sz="0" w:space="0" w:color="auto"/>
        <w:right w:val="none" w:sz="0" w:space="0" w:color="auto"/>
      </w:divBdr>
    </w:div>
    <w:div w:id="1184056963">
      <w:bodyDiv w:val="1"/>
      <w:marLeft w:val="0"/>
      <w:marRight w:val="0"/>
      <w:marTop w:val="0"/>
      <w:marBottom w:val="0"/>
      <w:divBdr>
        <w:top w:val="none" w:sz="0" w:space="0" w:color="auto"/>
        <w:left w:val="none" w:sz="0" w:space="0" w:color="auto"/>
        <w:bottom w:val="none" w:sz="0" w:space="0" w:color="auto"/>
        <w:right w:val="none" w:sz="0" w:space="0" w:color="auto"/>
      </w:divBdr>
    </w:div>
    <w:div w:id="1196120105">
      <w:bodyDiv w:val="1"/>
      <w:marLeft w:val="0"/>
      <w:marRight w:val="0"/>
      <w:marTop w:val="0"/>
      <w:marBottom w:val="0"/>
      <w:divBdr>
        <w:top w:val="none" w:sz="0" w:space="0" w:color="auto"/>
        <w:left w:val="none" w:sz="0" w:space="0" w:color="auto"/>
        <w:bottom w:val="none" w:sz="0" w:space="0" w:color="auto"/>
        <w:right w:val="none" w:sz="0" w:space="0" w:color="auto"/>
      </w:divBdr>
    </w:div>
    <w:div w:id="1233589658">
      <w:bodyDiv w:val="1"/>
      <w:marLeft w:val="0"/>
      <w:marRight w:val="0"/>
      <w:marTop w:val="0"/>
      <w:marBottom w:val="0"/>
      <w:divBdr>
        <w:top w:val="none" w:sz="0" w:space="0" w:color="auto"/>
        <w:left w:val="none" w:sz="0" w:space="0" w:color="auto"/>
        <w:bottom w:val="none" w:sz="0" w:space="0" w:color="auto"/>
        <w:right w:val="none" w:sz="0" w:space="0" w:color="auto"/>
      </w:divBdr>
    </w:div>
    <w:div w:id="1340305929">
      <w:bodyDiv w:val="1"/>
      <w:marLeft w:val="0"/>
      <w:marRight w:val="0"/>
      <w:marTop w:val="0"/>
      <w:marBottom w:val="0"/>
      <w:divBdr>
        <w:top w:val="none" w:sz="0" w:space="0" w:color="auto"/>
        <w:left w:val="none" w:sz="0" w:space="0" w:color="auto"/>
        <w:bottom w:val="none" w:sz="0" w:space="0" w:color="auto"/>
        <w:right w:val="none" w:sz="0" w:space="0" w:color="auto"/>
      </w:divBdr>
    </w:div>
    <w:div w:id="1456828116">
      <w:bodyDiv w:val="1"/>
      <w:marLeft w:val="0"/>
      <w:marRight w:val="0"/>
      <w:marTop w:val="0"/>
      <w:marBottom w:val="0"/>
      <w:divBdr>
        <w:top w:val="none" w:sz="0" w:space="0" w:color="auto"/>
        <w:left w:val="none" w:sz="0" w:space="0" w:color="auto"/>
        <w:bottom w:val="none" w:sz="0" w:space="0" w:color="auto"/>
        <w:right w:val="none" w:sz="0" w:space="0" w:color="auto"/>
      </w:divBdr>
    </w:div>
    <w:div w:id="1506018627">
      <w:bodyDiv w:val="1"/>
      <w:marLeft w:val="0"/>
      <w:marRight w:val="0"/>
      <w:marTop w:val="0"/>
      <w:marBottom w:val="0"/>
      <w:divBdr>
        <w:top w:val="none" w:sz="0" w:space="0" w:color="auto"/>
        <w:left w:val="none" w:sz="0" w:space="0" w:color="auto"/>
        <w:bottom w:val="none" w:sz="0" w:space="0" w:color="auto"/>
        <w:right w:val="none" w:sz="0" w:space="0" w:color="auto"/>
      </w:divBdr>
    </w:div>
    <w:div w:id="1611163417">
      <w:bodyDiv w:val="1"/>
      <w:marLeft w:val="0"/>
      <w:marRight w:val="0"/>
      <w:marTop w:val="0"/>
      <w:marBottom w:val="0"/>
      <w:divBdr>
        <w:top w:val="none" w:sz="0" w:space="0" w:color="auto"/>
        <w:left w:val="none" w:sz="0" w:space="0" w:color="auto"/>
        <w:bottom w:val="none" w:sz="0" w:space="0" w:color="auto"/>
        <w:right w:val="none" w:sz="0" w:space="0" w:color="auto"/>
      </w:divBdr>
    </w:div>
    <w:div w:id="1659110112">
      <w:bodyDiv w:val="1"/>
      <w:marLeft w:val="0"/>
      <w:marRight w:val="0"/>
      <w:marTop w:val="0"/>
      <w:marBottom w:val="0"/>
      <w:divBdr>
        <w:top w:val="none" w:sz="0" w:space="0" w:color="auto"/>
        <w:left w:val="none" w:sz="0" w:space="0" w:color="auto"/>
        <w:bottom w:val="none" w:sz="0" w:space="0" w:color="auto"/>
        <w:right w:val="none" w:sz="0" w:space="0" w:color="auto"/>
      </w:divBdr>
    </w:div>
    <w:div w:id="1671712705">
      <w:bodyDiv w:val="1"/>
      <w:marLeft w:val="0"/>
      <w:marRight w:val="0"/>
      <w:marTop w:val="0"/>
      <w:marBottom w:val="0"/>
      <w:divBdr>
        <w:top w:val="none" w:sz="0" w:space="0" w:color="auto"/>
        <w:left w:val="none" w:sz="0" w:space="0" w:color="auto"/>
        <w:bottom w:val="none" w:sz="0" w:space="0" w:color="auto"/>
        <w:right w:val="none" w:sz="0" w:space="0" w:color="auto"/>
      </w:divBdr>
    </w:div>
    <w:div w:id="1803309393">
      <w:bodyDiv w:val="1"/>
      <w:marLeft w:val="0"/>
      <w:marRight w:val="0"/>
      <w:marTop w:val="0"/>
      <w:marBottom w:val="0"/>
      <w:divBdr>
        <w:top w:val="none" w:sz="0" w:space="0" w:color="auto"/>
        <w:left w:val="none" w:sz="0" w:space="0" w:color="auto"/>
        <w:bottom w:val="none" w:sz="0" w:space="0" w:color="auto"/>
        <w:right w:val="none" w:sz="0" w:space="0" w:color="auto"/>
      </w:divBdr>
    </w:div>
    <w:div w:id="1832524203">
      <w:bodyDiv w:val="1"/>
      <w:marLeft w:val="0"/>
      <w:marRight w:val="0"/>
      <w:marTop w:val="0"/>
      <w:marBottom w:val="0"/>
      <w:divBdr>
        <w:top w:val="none" w:sz="0" w:space="0" w:color="auto"/>
        <w:left w:val="none" w:sz="0" w:space="0" w:color="auto"/>
        <w:bottom w:val="none" w:sz="0" w:space="0" w:color="auto"/>
        <w:right w:val="none" w:sz="0" w:space="0" w:color="auto"/>
      </w:divBdr>
    </w:div>
    <w:div w:id="203629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7</Pages>
  <Words>2170</Words>
  <Characters>12375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Evans (2205420)</dc:creator>
  <cp:keywords/>
  <dc:description/>
  <cp:lastModifiedBy>Kian Evans (2205420)</cp:lastModifiedBy>
  <cp:revision>73</cp:revision>
  <dcterms:created xsi:type="dcterms:W3CDTF">2024-03-15T11:24:00Z</dcterms:created>
  <dcterms:modified xsi:type="dcterms:W3CDTF">2024-03-15T23:11:00Z</dcterms:modified>
</cp:coreProperties>
</file>