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C86090E" w:rsidP="02D8AC91" w:rsidRDefault="4C86090E" w14:paraId="503FB99C" w14:textId="05D4AD78">
      <w:pPr>
        <w:jc w:val="center"/>
      </w:pPr>
      <w:r w:rsidR="4C86090E">
        <w:drawing>
          <wp:inline wp14:editId="7986832D" wp14:anchorId="14A6858B">
            <wp:extent cx="5724525" cy="2552700"/>
            <wp:effectExtent l="0" t="0" r="0" b="0"/>
            <wp:docPr id="1342017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2017399" name="Picture 1342017399"/>
                    <pic:cNvPicPr/>
                  </pic:nvPicPr>
                  <pic:blipFill>
                    <a:blip xmlns:r="http://schemas.openxmlformats.org/officeDocument/2006/relationships" r:embed="rId1347667794">
                      <a:extLst>
                        <a:ext uri="{28A0092B-C50C-407E-A947-70E740481C1C}">
                          <a14:useLocalDpi xmlns:a14="http://schemas.microsoft.com/office/drawing/2010/main"/>
                        </a:ext>
                      </a:extLst>
                    </a:blip>
                    <a:stretch>
                      <a:fillRect/>
                    </a:stretch>
                  </pic:blipFill>
                  <pic:spPr>
                    <a:xfrm>
                      <a:off x="0" y="0"/>
                      <a:ext cx="5724525" cy="2552700"/>
                    </a:xfrm>
                    <a:prstGeom prst="rect">
                      <a:avLst/>
                    </a:prstGeom>
                  </pic:spPr>
                </pic:pic>
              </a:graphicData>
            </a:graphic>
          </wp:inline>
        </w:drawing>
      </w:r>
    </w:p>
    <w:p w:rsidR="02D8AC91" w:rsidP="02D8AC91" w:rsidRDefault="02D8AC91" w14:paraId="4CA7AF66" w14:textId="0CCCA29A">
      <w:pPr>
        <w:jc w:val="center"/>
      </w:pPr>
    </w:p>
    <w:p w:rsidR="02D8AC91" w:rsidP="02D8AC91" w:rsidRDefault="02D8AC91" w14:paraId="14D88CE7" w14:textId="06B13C6A">
      <w:pPr>
        <w:jc w:val="center"/>
      </w:pPr>
    </w:p>
    <w:p w:rsidR="02D8AC91" w:rsidP="02D8AC91" w:rsidRDefault="02D8AC91" w14:paraId="738E46A4" w14:textId="50949D8F">
      <w:pPr>
        <w:jc w:val="center"/>
      </w:pPr>
    </w:p>
    <w:p w:rsidR="02D8AC91" w:rsidP="02D8AC91" w:rsidRDefault="02D8AC91" w14:paraId="6C0F76DA" w14:textId="67E83C07">
      <w:pPr>
        <w:jc w:val="center"/>
      </w:pPr>
    </w:p>
    <w:p w:rsidR="4C86090E" w:rsidP="02D8AC91" w:rsidRDefault="4C86090E" w14:paraId="1FAD7F68" w14:textId="37429AEE">
      <w:pPr>
        <w:jc w:val="center"/>
      </w:pPr>
      <w:r w:rsidR="4C86090E">
        <w:rPr/>
        <w:t xml:space="preserve">Name </w:t>
      </w:r>
    </w:p>
    <w:p w:rsidR="4C86090E" w:rsidP="02D8AC91" w:rsidRDefault="4C86090E" w14:paraId="650DAF3C" w14:textId="3AC310E4">
      <w:pPr>
        <w:jc w:val="center"/>
      </w:pPr>
      <w:r w:rsidR="4C86090E">
        <w:rPr/>
        <w:t>Armands Putersevics</w:t>
      </w:r>
    </w:p>
    <w:p w:rsidR="02D8AC91" w:rsidP="02D8AC91" w:rsidRDefault="02D8AC91" w14:paraId="0D09EB1C" w14:textId="76CBF3B8">
      <w:pPr>
        <w:jc w:val="center"/>
      </w:pPr>
    </w:p>
    <w:p w:rsidR="4C86090E" w:rsidP="02D8AC91" w:rsidRDefault="4C86090E" w14:paraId="2881DB63" w14:textId="72226D9C">
      <w:pPr>
        <w:jc w:val="center"/>
      </w:pPr>
      <w:r w:rsidR="4C86090E">
        <w:rPr/>
        <w:t>Student ID</w:t>
      </w:r>
    </w:p>
    <w:p w:rsidR="4C86090E" w:rsidP="02D8AC91" w:rsidRDefault="4C86090E" w14:paraId="41720B7A" w14:textId="0C72F37E">
      <w:pPr>
        <w:jc w:val="center"/>
      </w:pPr>
      <w:r w:rsidR="4C86090E">
        <w:rPr/>
        <w:t>2242532</w:t>
      </w:r>
    </w:p>
    <w:p w:rsidR="02D8AC91" w:rsidP="02D8AC91" w:rsidRDefault="02D8AC91" w14:paraId="2660E0A2" w14:textId="02F7AB7F">
      <w:pPr>
        <w:jc w:val="center"/>
      </w:pPr>
    </w:p>
    <w:p w:rsidR="4C86090E" w:rsidP="02D8AC91" w:rsidRDefault="4C86090E" w14:paraId="61E08AC0" w14:textId="6FD8707F">
      <w:pPr>
        <w:pStyle w:val="Normal"/>
        <w:jc w:val="center"/>
      </w:pPr>
      <w:r w:rsidRPr="02D8AC91" w:rsidR="4C86090E">
        <w:rPr>
          <w:rFonts w:ascii="Aptos" w:hAnsi="Aptos" w:eastAsia="Aptos" w:cs="Aptos"/>
          <w:noProof w:val="0"/>
          <w:sz w:val="24"/>
          <w:szCs w:val="24"/>
          <w:lang w:val="en-GB"/>
        </w:rPr>
        <w:t>Lecturer</w:t>
      </w:r>
    </w:p>
    <w:p w:rsidR="4C86090E" w:rsidP="02D8AC91" w:rsidRDefault="4C86090E" w14:paraId="470AB0F8" w14:textId="59589CFE">
      <w:pPr>
        <w:pStyle w:val="Normal"/>
        <w:jc w:val="center"/>
      </w:pPr>
      <w:r w:rsidRPr="02D8AC91" w:rsidR="4C86090E">
        <w:rPr>
          <w:rFonts w:ascii="Aptos" w:hAnsi="Aptos" w:eastAsia="Aptos" w:cs="Aptos"/>
          <w:noProof w:val="0"/>
          <w:sz w:val="24"/>
          <w:szCs w:val="24"/>
          <w:lang w:val="en-GB"/>
        </w:rPr>
        <w:t>Dr Nerys Dosseh</w:t>
      </w:r>
    </w:p>
    <w:p w:rsidR="02D8AC91" w:rsidP="02D8AC91" w:rsidRDefault="02D8AC91" w14:paraId="06D439BD" w14:textId="267EEEB5">
      <w:pPr>
        <w:pStyle w:val="Normal"/>
        <w:jc w:val="center"/>
        <w:rPr>
          <w:rFonts w:ascii="Aptos" w:hAnsi="Aptos" w:eastAsia="Aptos" w:cs="Aptos"/>
          <w:noProof w:val="0"/>
          <w:sz w:val="24"/>
          <w:szCs w:val="24"/>
          <w:lang w:val="en-GB"/>
        </w:rPr>
      </w:pPr>
    </w:p>
    <w:p w:rsidR="02D8AC91" w:rsidP="02D8AC91" w:rsidRDefault="02D8AC91" w14:paraId="35685D70" w14:textId="4E4015B5">
      <w:pPr>
        <w:pStyle w:val="Normal"/>
        <w:jc w:val="center"/>
        <w:rPr>
          <w:rFonts w:ascii="Aptos" w:hAnsi="Aptos" w:eastAsia="Aptos" w:cs="Aptos"/>
          <w:noProof w:val="0"/>
          <w:sz w:val="24"/>
          <w:szCs w:val="24"/>
          <w:lang w:val="en-GB"/>
        </w:rPr>
      </w:pPr>
    </w:p>
    <w:p w:rsidR="2E53D9B2" w:rsidP="2E53D9B2" w:rsidRDefault="2E53D9B2" w14:paraId="7DDD7202" w14:textId="7B3BE890">
      <w:pPr>
        <w:pStyle w:val="Normal"/>
        <w:jc w:val="center"/>
        <w:rPr>
          <w:rFonts w:ascii="Aptos" w:hAnsi="Aptos" w:eastAsia="Aptos" w:cs="Aptos"/>
          <w:noProof w:val="0"/>
          <w:sz w:val="24"/>
          <w:szCs w:val="24"/>
          <w:lang w:val="en-GB"/>
        </w:rPr>
      </w:pPr>
    </w:p>
    <w:p w:rsidR="6FED4E2F" w:rsidP="2E53D9B2" w:rsidRDefault="6FED4E2F" w14:paraId="3E6D1D54" w14:textId="2FBCBC1D">
      <w:pPr>
        <w:pStyle w:val="Normal"/>
        <w:jc w:val="center"/>
      </w:pPr>
      <w:r w:rsidRPr="2E53D9B2" w:rsidR="6FED4E2F">
        <w:rPr>
          <w:rFonts w:ascii="Aptos" w:hAnsi="Aptos" w:eastAsia="Aptos" w:cs="Aptos"/>
          <w:noProof w:val="0"/>
          <w:sz w:val="24"/>
          <w:szCs w:val="24"/>
          <w:lang w:val="en-GB"/>
        </w:rPr>
        <w:t>Human Capital Management</w:t>
      </w:r>
    </w:p>
    <w:p w:rsidR="6FED4E2F" w:rsidP="2E53D9B2" w:rsidRDefault="6FED4E2F" w14:paraId="579E885C" w14:textId="75F9DFA7">
      <w:pPr>
        <w:pStyle w:val="Normal"/>
        <w:jc w:val="center"/>
      </w:pPr>
      <w:r w:rsidRPr="2E53D9B2" w:rsidR="6FED4E2F">
        <w:rPr>
          <w:rFonts w:ascii="Aptos" w:hAnsi="Aptos" w:eastAsia="Aptos" w:cs="Aptos"/>
          <w:noProof w:val="0"/>
          <w:sz w:val="24"/>
          <w:szCs w:val="24"/>
          <w:lang w:val="en-GB"/>
        </w:rPr>
        <w:t>LCMB7023_LON</w:t>
      </w:r>
    </w:p>
    <w:p w:rsidR="02D8AC91" w:rsidP="2E53D9B2" w:rsidRDefault="02D8AC91" w14:paraId="6C71E4D3" w14:textId="4B1DD1AC">
      <w:pPr>
        <w:pStyle w:val="Normal"/>
        <w:jc w:val="center"/>
        <w:rPr>
          <w:rFonts w:ascii="Aptos" w:hAnsi="Aptos" w:eastAsia="Aptos" w:cs="Aptos"/>
          <w:noProof w:val="0"/>
          <w:sz w:val="24"/>
          <w:szCs w:val="24"/>
          <w:lang w:val="en-GB"/>
        </w:rPr>
      </w:pPr>
    </w:p>
    <w:p w:rsidR="0A26D5AE" w:rsidRDefault="0A26D5AE" w14:paraId="2651DEF1" w14:textId="01C8B705">
      <w:r>
        <w:br w:type="page"/>
      </w:r>
    </w:p>
    <w:sdt>
      <w:sdtPr>
        <w:id w:val="1987026671"/>
        <w:docPartObj>
          <w:docPartGallery w:val="Table of Contents"/>
          <w:docPartUnique/>
        </w:docPartObj>
      </w:sdtPr>
      <w:sdtContent>
        <w:p w:rsidR="0A26D5AE" w:rsidP="0A26D5AE" w:rsidRDefault="0A26D5AE" w14:paraId="6E745F7E" w14:textId="4AEB8DA1">
          <w:pPr>
            <w:pStyle w:val="TOC1"/>
            <w:tabs>
              <w:tab w:val="right" w:leader="dot" w:pos="9015"/>
            </w:tabs>
            <w:bidi w:val="0"/>
          </w:pPr>
          <w:r>
            <w:fldChar w:fldCharType="begin"/>
          </w:r>
          <w:r>
            <w:instrText xml:space="preserve">TOC \o "1-9" \z \u \h</w:instrText>
          </w:r>
          <w:r>
            <w:fldChar w:fldCharType="separate"/>
          </w:r>
          <w:hyperlink w:anchor="_Toc609110326">
            <w:r w:rsidRPr="0A26D5AE" w:rsidR="0A26D5AE">
              <w:rPr>
                <w:rStyle w:val="Hyperlink"/>
              </w:rPr>
              <w:t>Introduction</w:t>
            </w:r>
            <w:r>
              <w:tab/>
            </w:r>
            <w:r>
              <w:fldChar w:fldCharType="begin"/>
            </w:r>
            <w:r>
              <w:instrText xml:space="preserve">PAGEREF _Toc609110326 \h</w:instrText>
            </w:r>
            <w:r>
              <w:fldChar w:fldCharType="separate"/>
            </w:r>
            <w:r w:rsidRPr="0A26D5AE" w:rsidR="0A26D5AE">
              <w:rPr>
                <w:rStyle w:val="Hyperlink"/>
              </w:rPr>
              <w:t>3</w:t>
            </w:r>
            <w:r>
              <w:fldChar w:fldCharType="end"/>
            </w:r>
          </w:hyperlink>
        </w:p>
        <w:p w:rsidR="0A26D5AE" w:rsidP="0A26D5AE" w:rsidRDefault="0A26D5AE" w14:paraId="086477BF" w14:textId="06292558">
          <w:pPr>
            <w:pStyle w:val="TOC1"/>
            <w:tabs>
              <w:tab w:val="right" w:leader="dot" w:pos="9015"/>
            </w:tabs>
            <w:bidi w:val="0"/>
          </w:pPr>
          <w:hyperlink w:anchor="_Toc814669272">
            <w:r w:rsidRPr="0A26D5AE" w:rsidR="0A26D5AE">
              <w:rPr>
                <w:rStyle w:val="Hyperlink"/>
              </w:rPr>
              <w:t>Socialisation, Identity and Business Activism</w:t>
            </w:r>
            <w:r>
              <w:tab/>
            </w:r>
            <w:r>
              <w:fldChar w:fldCharType="begin"/>
            </w:r>
            <w:r>
              <w:instrText xml:space="preserve">PAGEREF _Toc814669272 \h</w:instrText>
            </w:r>
            <w:r>
              <w:fldChar w:fldCharType="separate"/>
            </w:r>
            <w:r w:rsidRPr="0A26D5AE" w:rsidR="0A26D5AE">
              <w:rPr>
                <w:rStyle w:val="Hyperlink"/>
              </w:rPr>
              <w:t>3</w:t>
            </w:r>
            <w:r>
              <w:fldChar w:fldCharType="end"/>
            </w:r>
          </w:hyperlink>
        </w:p>
        <w:p w:rsidR="0A26D5AE" w:rsidP="0A26D5AE" w:rsidRDefault="0A26D5AE" w14:paraId="081B9B2F" w14:textId="60B18238">
          <w:pPr>
            <w:pStyle w:val="TOC2"/>
            <w:tabs>
              <w:tab w:val="right" w:leader="dot" w:pos="9015"/>
            </w:tabs>
            <w:bidi w:val="0"/>
          </w:pPr>
          <w:hyperlink w:anchor="_Toc201576838">
            <w:r w:rsidRPr="0A26D5AE" w:rsidR="0A26D5AE">
              <w:rPr>
                <w:rStyle w:val="Hyperlink"/>
              </w:rPr>
              <w:t>1.1 Traditional Onboarding versus Strategic Organisational Socialisation</w:t>
            </w:r>
            <w:r>
              <w:tab/>
            </w:r>
            <w:r>
              <w:fldChar w:fldCharType="begin"/>
            </w:r>
            <w:r>
              <w:instrText xml:space="preserve">PAGEREF _Toc201576838 \h</w:instrText>
            </w:r>
            <w:r>
              <w:fldChar w:fldCharType="separate"/>
            </w:r>
            <w:r w:rsidRPr="0A26D5AE" w:rsidR="0A26D5AE">
              <w:rPr>
                <w:rStyle w:val="Hyperlink"/>
              </w:rPr>
              <w:t>3</w:t>
            </w:r>
            <w:r>
              <w:fldChar w:fldCharType="end"/>
            </w:r>
          </w:hyperlink>
        </w:p>
        <w:p w:rsidR="0A26D5AE" w:rsidP="0A26D5AE" w:rsidRDefault="0A26D5AE" w14:paraId="5976FA65" w14:textId="6C043B5E">
          <w:pPr>
            <w:pStyle w:val="TOC1"/>
            <w:tabs>
              <w:tab w:val="right" w:leader="dot" w:pos="9015"/>
            </w:tabs>
            <w:bidi w:val="0"/>
          </w:pPr>
          <w:hyperlink w:anchor="_Toc477843837">
            <w:r w:rsidRPr="0A26D5AE" w:rsidR="0A26D5AE">
              <w:rPr>
                <w:rStyle w:val="Hyperlink"/>
              </w:rPr>
              <w:t>Designing an Innovative Job Design Strategy for Helios Urban Mobility</w:t>
            </w:r>
            <w:r>
              <w:tab/>
            </w:r>
            <w:r>
              <w:fldChar w:fldCharType="begin"/>
            </w:r>
            <w:r>
              <w:instrText xml:space="preserve">PAGEREF _Toc477843837 \h</w:instrText>
            </w:r>
            <w:r>
              <w:fldChar w:fldCharType="separate"/>
            </w:r>
            <w:r w:rsidRPr="0A26D5AE" w:rsidR="0A26D5AE">
              <w:rPr>
                <w:rStyle w:val="Hyperlink"/>
              </w:rPr>
              <w:t>5</w:t>
            </w:r>
            <w:r>
              <w:fldChar w:fldCharType="end"/>
            </w:r>
          </w:hyperlink>
        </w:p>
        <w:p w:rsidR="0A26D5AE" w:rsidP="0A26D5AE" w:rsidRDefault="0A26D5AE" w14:paraId="7C31F450" w14:textId="36C153A5">
          <w:pPr>
            <w:pStyle w:val="TOC2"/>
            <w:tabs>
              <w:tab w:val="right" w:leader="dot" w:pos="9015"/>
            </w:tabs>
            <w:bidi w:val="0"/>
          </w:pPr>
          <w:hyperlink w:anchor="_Toc491097902">
            <w:r w:rsidRPr="0A26D5AE" w:rsidR="0A26D5AE">
              <w:rPr>
                <w:rStyle w:val="Hyperlink"/>
              </w:rPr>
              <w:t>2.1 Applying the Job Characteristics Model</w:t>
            </w:r>
            <w:r>
              <w:tab/>
            </w:r>
            <w:r>
              <w:fldChar w:fldCharType="begin"/>
            </w:r>
            <w:r>
              <w:instrText xml:space="preserve">PAGEREF _Toc491097902 \h</w:instrText>
            </w:r>
            <w:r>
              <w:fldChar w:fldCharType="separate"/>
            </w:r>
            <w:r w:rsidRPr="0A26D5AE" w:rsidR="0A26D5AE">
              <w:rPr>
                <w:rStyle w:val="Hyperlink"/>
              </w:rPr>
              <w:t>6</w:t>
            </w:r>
            <w:r>
              <w:fldChar w:fldCharType="end"/>
            </w:r>
          </w:hyperlink>
        </w:p>
        <w:p w:rsidR="0A26D5AE" w:rsidP="0A26D5AE" w:rsidRDefault="0A26D5AE" w14:paraId="4382EA0A" w14:textId="76B9EAAA">
          <w:pPr>
            <w:pStyle w:val="TOC2"/>
            <w:tabs>
              <w:tab w:val="right" w:leader="dot" w:pos="9015"/>
            </w:tabs>
            <w:bidi w:val="0"/>
          </w:pPr>
          <w:hyperlink w:anchor="_Toc717041261">
            <w:r w:rsidRPr="0A26D5AE" w:rsidR="0A26D5AE">
              <w:rPr>
                <w:rStyle w:val="Hyperlink"/>
              </w:rPr>
              <w:t>2.2 Encouraging Job Crafting</w:t>
            </w:r>
            <w:r>
              <w:tab/>
            </w:r>
            <w:r>
              <w:fldChar w:fldCharType="begin"/>
            </w:r>
            <w:r>
              <w:instrText xml:space="preserve">PAGEREF _Toc717041261 \h</w:instrText>
            </w:r>
            <w:r>
              <w:fldChar w:fldCharType="separate"/>
            </w:r>
            <w:r w:rsidRPr="0A26D5AE" w:rsidR="0A26D5AE">
              <w:rPr>
                <w:rStyle w:val="Hyperlink"/>
              </w:rPr>
              <w:t>7</w:t>
            </w:r>
            <w:r>
              <w:fldChar w:fldCharType="end"/>
            </w:r>
          </w:hyperlink>
        </w:p>
        <w:p w:rsidR="0A26D5AE" w:rsidP="0A26D5AE" w:rsidRDefault="0A26D5AE" w14:paraId="303F95E1" w14:textId="22AA80E9">
          <w:pPr>
            <w:pStyle w:val="TOC2"/>
            <w:tabs>
              <w:tab w:val="right" w:leader="dot" w:pos="9015"/>
            </w:tabs>
            <w:bidi w:val="0"/>
          </w:pPr>
          <w:hyperlink w:anchor="_Toc1820524550">
            <w:r w:rsidRPr="0A26D5AE" w:rsidR="0A26D5AE">
              <w:rPr>
                <w:rStyle w:val="Hyperlink"/>
              </w:rPr>
              <w:t>2.3 Skills-Based Architecture and Internal Talent Marketplace</w:t>
            </w:r>
            <w:r>
              <w:tab/>
            </w:r>
            <w:r>
              <w:fldChar w:fldCharType="begin"/>
            </w:r>
            <w:r>
              <w:instrText xml:space="preserve">PAGEREF _Toc1820524550 \h</w:instrText>
            </w:r>
            <w:r>
              <w:fldChar w:fldCharType="separate"/>
            </w:r>
            <w:r w:rsidRPr="0A26D5AE" w:rsidR="0A26D5AE">
              <w:rPr>
                <w:rStyle w:val="Hyperlink"/>
              </w:rPr>
              <w:t>8</w:t>
            </w:r>
            <w:r>
              <w:fldChar w:fldCharType="end"/>
            </w:r>
          </w:hyperlink>
        </w:p>
        <w:p w:rsidR="0A26D5AE" w:rsidP="0A26D5AE" w:rsidRDefault="0A26D5AE" w14:paraId="753C0388" w14:textId="58A7E7A0">
          <w:pPr>
            <w:pStyle w:val="TOC2"/>
            <w:tabs>
              <w:tab w:val="right" w:leader="dot" w:pos="9015"/>
            </w:tabs>
            <w:bidi w:val="0"/>
          </w:pPr>
          <w:hyperlink w:anchor="_Toc1398921497">
            <w:r w:rsidRPr="0A26D5AE" w:rsidR="0A26D5AE">
              <w:rPr>
                <w:rStyle w:val="Hyperlink"/>
              </w:rPr>
              <w:t>2.4 Supporting Intrinsic Motivation and Innovation</w:t>
            </w:r>
            <w:r>
              <w:tab/>
            </w:r>
            <w:r>
              <w:fldChar w:fldCharType="begin"/>
            </w:r>
            <w:r>
              <w:instrText xml:space="preserve">PAGEREF _Toc1398921497 \h</w:instrText>
            </w:r>
            <w:r>
              <w:fldChar w:fldCharType="separate"/>
            </w:r>
            <w:r w:rsidRPr="0A26D5AE" w:rsidR="0A26D5AE">
              <w:rPr>
                <w:rStyle w:val="Hyperlink"/>
              </w:rPr>
              <w:t>9</w:t>
            </w:r>
            <w:r>
              <w:fldChar w:fldCharType="end"/>
            </w:r>
          </w:hyperlink>
        </w:p>
        <w:p w:rsidR="0A26D5AE" w:rsidP="0A26D5AE" w:rsidRDefault="0A26D5AE" w14:paraId="2DA38FB7" w14:textId="65576FDD">
          <w:pPr>
            <w:pStyle w:val="TOC1"/>
            <w:tabs>
              <w:tab w:val="right" w:leader="dot" w:pos="9015"/>
            </w:tabs>
            <w:bidi w:val="0"/>
          </w:pPr>
          <w:hyperlink w:anchor="_Toc1607451805">
            <w:r w:rsidRPr="0A26D5AE" w:rsidR="0A26D5AE">
              <w:rPr>
                <w:rStyle w:val="Hyperlink"/>
              </w:rPr>
              <w:t>Reflective Report</w:t>
            </w:r>
            <w:r>
              <w:tab/>
            </w:r>
            <w:r>
              <w:fldChar w:fldCharType="begin"/>
            </w:r>
            <w:r>
              <w:instrText xml:space="preserve">PAGEREF _Toc1607451805 \h</w:instrText>
            </w:r>
            <w:r>
              <w:fldChar w:fldCharType="separate"/>
            </w:r>
            <w:r w:rsidRPr="0A26D5AE" w:rsidR="0A26D5AE">
              <w:rPr>
                <w:rStyle w:val="Hyperlink"/>
              </w:rPr>
              <w:t>9</w:t>
            </w:r>
            <w:r>
              <w:fldChar w:fldCharType="end"/>
            </w:r>
          </w:hyperlink>
        </w:p>
        <w:p w:rsidR="0A26D5AE" w:rsidP="0A26D5AE" w:rsidRDefault="0A26D5AE" w14:paraId="69732461" w14:textId="06165B38">
          <w:pPr>
            <w:pStyle w:val="TOC2"/>
            <w:tabs>
              <w:tab w:val="right" w:leader="dot" w:pos="9015"/>
            </w:tabs>
            <w:bidi w:val="0"/>
          </w:pPr>
          <w:hyperlink w:anchor="_Toc511928479">
            <w:r w:rsidRPr="0A26D5AE" w:rsidR="0A26D5AE">
              <w:rPr>
                <w:rStyle w:val="Hyperlink"/>
              </w:rPr>
              <w:t>Using AI as a Decision-Support Tool and Personal Capability Development</w:t>
            </w:r>
            <w:r>
              <w:tab/>
            </w:r>
            <w:r>
              <w:fldChar w:fldCharType="begin"/>
            </w:r>
            <w:r>
              <w:instrText xml:space="preserve">PAGEREF _Toc511928479 \h</w:instrText>
            </w:r>
            <w:r>
              <w:fldChar w:fldCharType="separate"/>
            </w:r>
            <w:r w:rsidRPr="0A26D5AE" w:rsidR="0A26D5AE">
              <w:rPr>
                <w:rStyle w:val="Hyperlink"/>
              </w:rPr>
              <w:t>10</w:t>
            </w:r>
            <w:r>
              <w:fldChar w:fldCharType="end"/>
            </w:r>
          </w:hyperlink>
        </w:p>
        <w:p w:rsidR="0A26D5AE" w:rsidP="0A26D5AE" w:rsidRDefault="0A26D5AE" w14:paraId="502089B9" w14:textId="2588635F">
          <w:pPr>
            <w:pStyle w:val="TOC1"/>
            <w:tabs>
              <w:tab w:val="right" w:leader="dot" w:pos="9015"/>
            </w:tabs>
            <w:bidi w:val="0"/>
          </w:pPr>
          <w:hyperlink w:anchor="_Toc1984310885">
            <w:r w:rsidRPr="0A26D5AE" w:rsidR="0A26D5AE">
              <w:rPr>
                <w:rStyle w:val="Hyperlink"/>
              </w:rPr>
              <w:t>Conclusion</w:t>
            </w:r>
            <w:r>
              <w:tab/>
            </w:r>
            <w:r>
              <w:fldChar w:fldCharType="begin"/>
            </w:r>
            <w:r>
              <w:instrText xml:space="preserve">PAGEREF _Toc1984310885 \h</w:instrText>
            </w:r>
            <w:r>
              <w:fldChar w:fldCharType="separate"/>
            </w:r>
            <w:r w:rsidRPr="0A26D5AE" w:rsidR="0A26D5AE">
              <w:rPr>
                <w:rStyle w:val="Hyperlink"/>
              </w:rPr>
              <w:t>10</w:t>
            </w:r>
            <w:r>
              <w:fldChar w:fldCharType="end"/>
            </w:r>
          </w:hyperlink>
        </w:p>
        <w:p w:rsidR="0A26D5AE" w:rsidP="0A26D5AE" w:rsidRDefault="0A26D5AE" w14:paraId="1278CBF5" w14:textId="62AF0AB4">
          <w:pPr>
            <w:pStyle w:val="TOC1"/>
            <w:tabs>
              <w:tab w:val="right" w:leader="dot" w:pos="9015"/>
            </w:tabs>
            <w:bidi w:val="0"/>
          </w:pPr>
          <w:hyperlink w:anchor="_Toc954917515">
            <w:r w:rsidRPr="0A26D5AE" w:rsidR="0A26D5AE">
              <w:rPr>
                <w:rStyle w:val="Hyperlink"/>
              </w:rPr>
              <w:t>References</w:t>
            </w:r>
            <w:r>
              <w:tab/>
            </w:r>
            <w:r>
              <w:fldChar w:fldCharType="begin"/>
            </w:r>
            <w:r>
              <w:instrText xml:space="preserve">PAGEREF _Toc954917515 \h</w:instrText>
            </w:r>
            <w:r>
              <w:fldChar w:fldCharType="separate"/>
            </w:r>
            <w:r w:rsidRPr="0A26D5AE" w:rsidR="0A26D5AE">
              <w:rPr>
                <w:rStyle w:val="Hyperlink"/>
              </w:rPr>
              <w:t>11</w:t>
            </w:r>
            <w:r>
              <w:fldChar w:fldCharType="end"/>
            </w:r>
          </w:hyperlink>
        </w:p>
        <w:p w:rsidR="0A26D5AE" w:rsidP="0A26D5AE" w:rsidRDefault="0A26D5AE" w14:paraId="77DBE2AE" w14:textId="1BF42F20">
          <w:pPr>
            <w:pStyle w:val="TOC1"/>
            <w:bidi w:val="0"/>
          </w:pPr>
          <w:r>
            <w:fldChar w:fldCharType="end"/>
          </w:r>
        </w:p>
      </w:sdtContent>
    </w:sdt>
    <w:p w:rsidR="0A26D5AE" w:rsidP="0A26D5AE" w:rsidRDefault="0A26D5AE" w14:paraId="04106667" w14:textId="34D594F3">
      <w:pPr>
        <w:pStyle w:val="Normal"/>
      </w:pPr>
    </w:p>
    <w:p w:rsidR="0A26D5AE" w:rsidRDefault="0A26D5AE" w14:paraId="06791DBA" w14:textId="74F7E5BC">
      <w:r>
        <w:br w:type="page"/>
      </w:r>
    </w:p>
    <w:p w:rsidR="02D8AC91" w:rsidP="02D8AC91" w:rsidRDefault="02D8AC91" w14:paraId="6E9F236D" w14:textId="4711496C">
      <w:pPr>
        <w:pStyle w:val="Heading1"/>
      </w:pPr>
    </w:p>
    <w:p w:rsidR="2E07F13D" w:rsidP="0A26D5AE" w:rsidRDefault="2E07F13D" w14:paraId="493E48E7" w14:textId="2647738A">
      <w:pPr>
        <w:pStyle w:val="Heading1"/>
        <w:rPr>
          <w:rFonts w:ascii="Times New Roman" w:hAnsi="Times New Roman" w:eastAsia="Times New Roman" w:cs="Times New Roman"/>
          <w:noProof w:val="0"/>
          <w:lang w:val="en-GB"/>
        </w:rPr>
      </w:pPr>
      <w:bookmarkStart w:name="_Toc609110326" w:id="1089005244"/>
      <w:r w:rsidRPr="0A26D5AE" w:rsidR="2E07F13D">
        <w:rPr>
          <w:rFonts w:ascii="Times New Roman" w:hAnsi="Times New Roman" w:eastAsia="Times New Roman" w:cs="Times New Roman"/>
          <w:noProof w:val="0"/>
          <w:lang w:val="en-GB"/>
        </w:rPr>
        <w:t>Introduction</w:t>
      </w:r>
      <w:bookmarkEnd w:id="1089005244"/>
    </w:p>
    <w:p w:rsidR="2E07F13D" w:rsidP="0A26D5AE" w:rsidRDefault="2E07F13D" w14:paraId="2C395EAF" w14:textId="76A76AA7">
      <w:pPr>
        <w:spacing w:before="240" w:beforeAutospacing="off" w:after="240" w:afterAutospacing="off"/>
        <w:rPr>
          <w:rFonts w:ascii="Times New Roman" w:hAnsi="Times New Roman" w:eastAsia="Times New Roman" w:cs="Times New Roman"/>
          <w:noProof w:val="0"/>
          <w:sz w:val="24"/>
          <w:szCs w:val="24"/>
          <w:lang w:val="en-GB"/>
        </w:rPr>
      </w:pPr>
      <w:r w:rsidRPr="2E53D9B2" w:rsidR="2E07F13D">
        <w:rPr>
          <w:rFonts w:ascii="Times New Roman" w:hAnsi="Times New Roman" w:eastAsia="Times New Roman" w:cs="Times New Roman"/>
          <w:noProof w:val="0"/>
          <w:sz w:val="24"/>
          <w:szCs w:val="24"/>
          <w:lang w:val="en-GB"/>
        </w:rPr>
        <w:t xml:space="preserve">Human capital has become one of the most important strategic assets for organisations </w:t>
      </w:r>
      <w:r w:rsidRPr="2E53D9B2" w:rsidR="2E07F13D">
        <w:rPr>
          <w:rFonts w:ascii="Times New Roman" w:hAnsi="Times New Roman" w:eastAsia="Times New Roman" w:cs="Times New Roman"/>
          <w:noProof w:val="0"/>
          <w:sz w:val="24"/>
          <w:szCs w:val="24"/>
          <w:lang w:val="en-GB"/>
        </w:rPr>
        <w:t>operating</w:t>
      </w:r>
      <w:r w:rsidRPr="2E53D9B2" w:rsidR="2E07F13D">
        <w:rPr>
          <w:rFonts w:ascii="Times New Roman" w:hAnsi="Times New Roman" w:eastAsia="Times New Roman" w:cs="Times New Roman"/>
          <w:noProof w:val="0"/>
          <w:sz w:val="24"/>
          <w:szCs w:val="24"/>
          <w:lang w:val="en-GB"/>
        </w:rPr>
        <w:t xml:space="preserve"> in knowledge-intensive industries</w:t>
      </w:r>
      <w:r w:rsidRPr="2E53D9B2" w:rsidR="6A92FEA2">
        <w:rPr>
          <w:rFonts w:ascii="Times New Roman" w:hAnsi="Times New Roman" w:eastAsia="Times New Roman" w:cs="Times New Roman"/>
          <w:noProof w:val="0"/>
          <w:sz w:val="24"/>
          <w:szCs w:val="24"/>
          <w:lang w:val="en-GB"/>
        </w:rPr>
        <w:t xml:space="preserve"> ()</w:t>
      </w:r>
      <w:r w:rsidRPr="2E53D9B2" w:rsidR="2E07F13D">
        <w:rPr>
          <w:rFonts w:ascii="Times New Roman" w:hAnsi="Times New Roman" w:eastAsia="Times New Roman" w:cs="Times New Roman"/>
          <w:noProof w:val="0"/>
          <w:sz w:val="24"/>
          <w:szCs w:val="24"/>
          <w:lang w:val="en-GB"/>
        </w:rPr>
        <w:t xml:space="preserve">. For innovative technology companies such as Helios Urban Mobility (HUM), employee capabilities, organisational </w:t>
      </w:r>
      <w:r w:rsidRPr="2E53D9B2" w:rsidR="2E07F13D">
        <w:rPr>
          <w:rFonts w:ascii="Times New Roman" w:hAnsi="Times New Roman" w:eastAsia="Times New Roman" w:cs="Times New Roman"/>
          <w:noProof w:val="0"/>
          <w:sz w:val="24"/>
          <w:szCs w:val="24"/>
          <w:lang w:val="en-GB"/>
        </w:rPr>
        <w:t>culture</w:t>
      </w:r>
      <w:r w:rsidRPr="2E53D9B2" w:rsidR="2E07F13D">
        <w:rPr>
          <w:rFonts w:ascii="Times New Roman" w:hAnsi="Times New Roman" w:eastAsia="Times New Roman" w:cs="Times New Roman"/>
          <w:noProof w:val="0"/>
          <w:sz w:val="24"/>
          <w:szCs w:val="24"/>
          <w:lang w:val="en-GB"/>
        </w:rPr>
        <w:t xml:space="preserve"> and knowledge sharing are essential for </w:t>
      </w:r>
      <w:r w:rsidRPr="2E53D9B2" w:rsidR="2E07F13D">
        <w:rPr>
          <w:rFonts w:ascii="Times New Roman" w:hAnsi="Times New Roman" w:eastAsia="Times New Roman" w:cs="Times New Roman"/>
          <w:noProof w:val="0"/>
          <w:sz w:val="24"/>
          <w:szCs w:val="24"/>
          <w:lang w:val="en-GB"/>
        </w:rPr>
        <w:t>maintaining</w:t>
      </w:r>
      <w:r w:rsidRPr="2E53D9B2" w:rsidR="2E07F13D">
        <w:rPr>
          <w:rFonts w:ascii="Times New Roman" w:hAnsi="Times New Roman" w:eastAsia="Times New Roman" w:cs="Times New Roman"/>
          <w:noProof w:val="0"/>
          <w:sz w:val="24"/>
          <w:szCs w:val="24"/>
          <w:lang w:val="en-GB"/>
        </w:rPr>
        <w:t xml:space="preserve"> competitive advantage. However, rapid organisational growth often creates challenges relating to employee integration, </w:t>
      </w:r>
      <w:r w:rsidRPr="2E53D9B2" w:rsidR="2E07F13D">
        <w:rPr>
          <w:rFonts w:ascii="Times New Roman" w:hAnsi="Times New Roman" w:eastAsia="Times New Roman" w:cs="Times New Roman"/>
          <w:noProof w:val="0"/>
          <w:sz w:val="24"/>
          <w:szCs w:val="24"/>
          <w:lang w:val="en-GB"/>
        </w:rPr>
        <w:t>engagement</w:t>
      </w:r>
      <w:r w:rsidRPr="2E53D9B2" w:rsidR="2E07F13D">
        <w:rPr>
          <w:rFonts w:ascii="Times New Roman" w:hAnsi="Times New Roman" w:eastAsia="Times New Roman" w:cs="Times New Roman"/>
          <w:noProof w:val="0"/>
          <w:sz w:val="24"/>
          <w:szCs w:val="24"/>
          <w:lang w:val="en-GB"/>
        </w:rPr>
        <w:t xml:space="preserve"> and retention. Helios Urban Mobility has expanded rapidly across London, </w:t>
      </w:r>
      <w:r w:rsidRPr="2E53D9B2" w:rsidR="2E07F13D">
        <w:rPr>
          <w:rFonts w:ascii="Times New Roman" w:hAnsi="Times New Roman" w:eastAsia="Times New Roman" w:cs="Times New Roman"/>
          <w:noProof w:val="0"/>
          <w:sz w:val="24"/>
          <w:szCs w:val="24"/>
          <w:lang w:val="en-GB"/>
        </w:rPr>
        <w:t>Berlin</w:t>
      </w:r>
      <w:r w:rsidRPr="2E53D9B2" w:rsidR="2E07F13D">
        <w:rPr>
          <w:rFonts w:ascii="Times New Roman" w:hAnsi="Times New Roman" w:eastAsia="Times New Roman" w:cs="Times New Roman"/>
          <w:noProof w:val="0"/>
          <w:sz w:val="24"/>
          <w:szCs w:val="24"/>
          <w:lang w:val="en-GB"/>
        </w:rPr>
        <w:t xml:space="preserve"> and Singapore, yet the organisation now experiences weak organisational socialisation, low employee </w:t>
      </w:r>
      <w:r w:rsidRPr="2E53D9B2" w:rsidR="2E07F13D">
        <w:rPr>
          <w:rFonts w:ascii="Times New Roman" w:hAnsi="Times New Roman" w:eastAsia="Times New Roman" w:cs="Times New Roman"/>
          <w:noProof w:val="0"/>
          <w:sz w:val="24"/>
          <w:szCs w:val="24"/>
          <w:lang w:val="en-GB"/>
        </w:rPr>
        <w:t>engagement</w:t>
      </w:r>
      <w:r w:rsidRPr="2E53D9B2" w:rsidR="2E07F13D">
        <w:rPr>
          <w:rFonts w:ascii="Times New Roman" w:hAnsi="Times New Roman" w:eastAsia="Times New Roman" w:cs="Times New Roman"/>
          <w:noProof w:val="0"/>
          <w:sz w:val="24"/>
          <w:szCs w:val="24"/>
          <w:lang w:val="en-GB"/>
        </w:rPr>
        <w:t xml:space="preserve"> and high attrition among talented graduates. These issues threaten innovation, </w:t>
      </w:r>
      <w:r w:rsidRPr="2E53D9B2" w:rsidR="2E07F13D">
        <w:rPr>
          <w:rFonts w:ascii="Times New Roman" w:hAnsi="Times New Roman" w:eastAsia="Times New Roman" w:cs="Times New Roman"/>
          <w:noProof w:val="0"/>
          <w:sz w:val="24"/>
          <w:szCs w:val="24"/>
          <w:lang w:val="en-GB"/>
        </w:rPr>
        <w:t>productivity</w:t>
      </w:r>
      <w:r w:rsidRPr="2E53D9B2" w:rsidR="2E07F13D">
        <w:rPr>
          <w:rFonts w:ascii="Times New Roman" w:hAnsi="Times New Roman" w:eastAsia="Times New Roman" w:cs="Times New Roman"/>
          <w:noProof w:val="0"/>
          <w:sz w:val="24"/>
          <w:szCs w:val="24"/>
          <w:lang w:val="en-GB"/>
        </w:rPr>
        <w:t xml:space="preserve"> and long-term organisational sustainability.</w:t>
      </w:r>
    </w:p>
    <w:p w:rsidR="2E07F13D" w:rsidP="0A26D5AE" w:rsidRDefault="2E07F13D" w14:paraId="69691C98" w14:textId="72925D04">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Strategic Human Capital Management (SHCM) argues that human resource practices should contribute directly to organisational strategy rather than functioning solely as administrative activities (Boxall and Purcell, 2016). Therefore, Helios requires an integrated human capital architecture that develops employee commitment from the first interaction with the organisation while simultaneously creating meaningful work that encourages innovation and long-term retention.</w:t>
      </w:r>
    </w:p>
    <w:p w:rsidR="2E07F13D" w:rsidP="0A26D5AE" w:rsidRDefault="2E07F13D" w14:paraId="619C1D9A" w14:textId="314D7430">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This report critically evaluates strategic organisational socialisation and job design theories before proposing practical solutions tailored to Helios Urban Mobility. The report also reflects on the responsible use of artificial intelligence (AI) in human resource decision-making and identifies future capability development required for strategic HR professionals.</w:t>
      </w:r>
    </w:p>
    <w:p w:rsidR="0A26D5AE" w:rsidP="0A26D5AE" w:rsidRDefault="0A26D5AE" w14:paraId="62ED9634" w14:textId="39B491F0">
      <w:pPr>
        <w:rPr>
          <w:rFonts w:ascii="Times New Roman" w:hAnsi="Times New Roman" w:eastAsia="Times New Roman" w:cs="Times New Roman"/>
        </w:rPr>
      </w:pPr>
    </w:p>
    <w:p w:rsidR="2E07F13D" w:rsidP="0A26D5AE" w:rsidRDefault="2E07F13D" w14:paraId="5C80654A" w14:textId="7CB0ABBD">
      <w:pPr>
        <w:pStyle w:val="Heading1"/>
        <w:rPr>
          <w:rFonts w:ascii="Times New Roman" w:hAnsi="Times New Roman" w:eastAsia="Times New Roman" w:cs="Times New Roman"/>
          <w:noProof w:val="0"/>
          <w:lang w:val="en-GB"/>
        </w:rPr>
      </w:pPr>
      <w:bookmarkStart w:name="_Toc814669272" w:id="2122744095"/>
      <w:r w:rsidRPr="0A26D5AE" w:rsidR="2E07F13D">
        <w:rPr>
          <w:rFonts w:ascii="Times New Roman" w:hAnsi="Times New Roman" w:eastAsia="Times New Roman" w:cs="Times New Roman"/>
          <w:noProof w:val="0"/>
          <w:lang w:val="en-GB"/>
        </w:rPr>
        <w:t>Socialisation, Identity and Business Activism</w:t>
      </w:r>
      <w:bookmarkEnd w:id="2122744095"/>
    </w:p>
    <w:p w:rsidR="2E07F13D" w:rsidP="0A26D5AE" w:rsidRDefault="2E07F13D" w14:paraId="1D22FA8D" w14:textId="1E31D9CB">
      <w:pPr>
        <w:pStyle w:val="Heading2"/>
        <w:rPr>
          <w:rFonts w:ascii="Times New Roman" w:hAnsi="Times New Roman" w:eastAsia="Times New Roman" w:cs="Times New Roman"/>
          <w:noProof w:val="0"/>
          <w:lang w:val="en-GB"/>
        </w:rPr>
      </w:pPr>
      <w:bookmarkStart w:name="_Toc201576838" w:id="1783589814"/>
      <w:r w:rsidRPr="0A26D5AE" w:rsidR="2E07F13D">
        <w:rPr>
          <w:rFonts w:ascii="Times New Roman" w:hAnsi="Times New Roman" w:eastAsia="Times New Roman" w:cs="Times New Roman"/>
          <w:noProof w:val="0"/>
          <w:lang w:val="en-GB"/>
        </w:rPr>
        <w:t>1.1 Traditional Onboarding versus Strategic Organisational Socialisation</w:t>
      </w:r>
      <w:bookmarkEnd w:id="1783589814"/>
    </w:p>
    <w:p w:rsidR="2E07F13D" w:rsidP="0A26D5AE" w:rsidRDefault="2E07F13D" w14:paraId="79DB08A9" w14:textId="0E1B30FB">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Many organisations consider onboarding as a short administrative process focusing on compliance, paperwork and operational orientation. Traditional onboarding normally includes introducing organisational policies, health and safety procedures, IT systems and role responsibilities during the employee's first few days. Although these activities are necessary, research suggests they are insufficient for developing long-term employee commitment and organisational performance (CIPD, 2024).</w:t>
      </w:r>
    </w:p>
    <w:p w:rsidR="2E07F13D" w:rsidP="0A26D5AE" w:rsidRDefault="2E07F13D" w14:paraId="6FD9939D" w14:textId="5DA5B129">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Strategic organisational socialisation extends beyond administrative induction by deliberately shaping employee attitudes, behaviours and professional identity throughout the first year of employment. Rather than asking how quickly employees can begin working, strategic socialisation considers how organisations develop individuals into committed organisational citizens who actively contribute to strategic objectives (Van Maanen and Schein, 1979).</w:t>
      </w:r>
    </w:p>
    <w:p w:rsidR="2E07F13D" w:rsidP="0A26D5AE" w:rsidRDefault="2E07F13D" w14:paraId="3BE7E70E" w14:textId="598A91D6">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Helios Urban Mobility currently requires approximately eight months for new employees to become fully productive. Such an extended adjustment period indicates that new recruits receive limited support in understanding organisational culture, building professional relationships and developing confidence within their roles. Consequently, employees may experience uncertainty, reduced motivation and weaker organisational attachment, increasing the likelihood of early resignation.</w:t>
      </w:r>
    </w:p>
    <w:p w:rsidR="2E07F13D" w:rsidP="0A26D5AE" w:rsidRDefault="2E07F13D" w14:paraId="1A22E479" w14:textId="239ED1D5">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Van Maanen and Schein (1979) proposed six organisational socialisation tactics that continue to influence modern HR practice. These include collective versus individual socialisation, formal versus informal learning, sequential versus random progression, fixed versus variable timetables, serial versus disjunctive mentoring and investiture versus divestiture approaches. Organisations using structured collective programmes, experienced mentors and positive reinforcement generally achieve faster employee adjustment and stronger organisational commitment than organisations relying on informal learning alone.</w:t>
      </w:r>
    </w:p>
    <w:p w:rsidR="2E07F13D" w:rsidP="0A26D5AE" w:rsidRDefault="2E07F13D" w14:paraId="27E38BAD" w14:textId="0490E2F4">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For Helios, a combination of collective and individual socialisation would be most appropriate. Collective learning activities would introduce organisational values, sustainability goals and collaborative innovation practices to all new recruits, while personalised coaching would accommodate diverse technical specialisations across AI engineering, software development and smart infrastructure analytics.</w:t>
      </w:r>
    </w:p>
    <w:p w:rsidR="2E07F13D" w:rsidP="0A26D5AE" w:rsidRDefault="2E07F13D" w14:paraId="2351D567" w14:textId="054E6200">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Another significant limitation of traditional onboarding concerns the psychological contract between employer and employee. Rousseau (1995) argues that employees develop unwritten expectations regarding fairness, career opportunities, organisational support and mutual commitment. When organisations fail to meet these expectations, employees often experience psychological contract breach, leading to lower engagement, organisational distrust and increased turnover intentions.</w:t>
      </w:r>
    </w:p>
    <w:p w:rsidR="2E07F13D" w:rsidP="0A26D5AE" w:rsidRDefault="2E07F13D" w14:paraId="58E1B662" w14:textId="57031BCA">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This theory is highly relevant to Helios because high-potential graduates generally enter innovative technology companies expecting continuous learning, career progression and meaningful work. If employees instead encounter unclear expectations, limited feedback and weak managerial support, the psychological contract becomes damaged, reducing both motivation and organisational commitment.</w:t>
      </w:r>
    </w:p>
    <w:p w:rsidR="2E07F13D" w:rsidP="2E53D9B2" w:rsidRDefault="2E07F13D" w14:paraId="16346A35" w14:textId="2C784A8C">
      <w:pPr>
        <w:pStyle w:val="Normal"/>
        <w:spacing w:before="240" w:beforeAutospacing="off" w:after="240" w:afterAutospacing="off"/>
        <w:rPr>
          <w:rFonts w:ascii="Times New Roman" w:hAnsi="Times New Roman" w:eastAsia="Times New Roman" w:cs="Times New Roman"/>
          <w:noProof w:val="0"/>
          <w:sz w:val="24"/>
          <w:szCs w:val="24"/>
          <w:lang w:val="en-GB"/>
        </w:rPr>
      </w:pPr>
      <w:r w:rsidRPr="2E53D9B2" w:rsidR="2E07F13D">
        <w:rPr>
          <w:rFonts w:ascii="Times New Roman" w:hAnsi="Times New Roman" w:eastAsia="Times New Roman" w:cs="Times New Roman"/>
          <w:noProof w:val="0"/>
          <w:sz w:val="24"/>
          <w:szCs w:val="24"/>
          <w:lang w:val="en-GB"/>
        </w:rPr>
        <w:t xml:space="preserve">The relationship between psychological contract fulfilment and employee engagement is supported by </w:t>
      </w:r>
      <w:r w:rsidRPr="2E53D9B2" w:rsidR="1BB1EDA2">
        <w:rPr>
          <w:rFonts w:ascii="Times New Roman" w:hAnsi="Times New Roman" w:eastAsia="Times New Roman" w:cs="Times New Roman"/>
          <w:noProof w:val="0"/>
          <w:sz w:val="24"/>
          <w:szCs w:val="24"/>
          <w:lang w:val="en-GB"/>
        </w:rPr>
        <w:t>social exchange theory,</w:t>
      </w:r>
      <w:r w:rsidRPr="2E53D9B2" w:rsidR="2E07F13D">
        <w:rPr>
          <w:rFonts w:ascii="Times New Roman" w:hAnsi="Times New Roman" w:eastAsia="Times New Roman" w:cs="Times New Roman"/>
          <w:noProof w:val="0"/>
          <w:sz w:val="24"/>
          <w:szCs w:val="24"/>
          <w:lang w:val="en-GB"/>
        </w:rPr>
        <w:t xml:space="preserve"> which suggests that employees reciprocate organisational investment through greater commitment and discretionary effort (Blau, 1964). Employees who perceive organisational support are more willing to exceed minimum performance expectations, collaborate with colleagues and contribute innovative ideas. Conversely, employees who perceive organisational neglect often restrict their effort to contractual obligations.</w:t>
      </w:r>
    </w:p>
    <w:p w:rsidR="2E07F13D" w:rsidP="0A26D5AE" w:rsidRDefault="2E07F13D" w14:paraId="2D2D5815" w14:textId="5B1D6F15">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Identity construction theory further demonstrates why strategic socialisation is essential within knowledge-based organisations. Organisational identity develops through ongoing interaction between employees, colleagues and organisational culture rather than through formal training alone (Alvesson and Willmott, 2002). Employees gradually answer the question, "Who am I within this organisation?" through shared experiences, leadership behaviour and social relationships.</w:t>
      </w:r>
    </w:p>
    <w:p w:rsidR="2E07F13D" w:rsidP="0A26D5AE" w:rsidRDefault="2E07F13D" w14:paraId="1C1B2BE6" w14:textId="2895F1CC">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Ashforth and Mael (1989) explain this process using Social Identity Theory, arguing that employees derive part of their personal identity from organisational membership. Strong organisational identification encourages loyalty, collaboration and organisational citizenship behaviours because employees perceive organisational success as personally meaningful. This becomes particularly important in innovative organisations where collaboration across multiple disciplines determines project success.</w:t>
      </w:r>
    </w:p>
    <w:p w:rsidR="2E07F13D" w:rsidP="0A26D5AE" w:rsidRDefault="2E07F13D" w14:paraId="5DED69CF" w14:textId="604B04C4">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Helios operates across three culturally diverse international locations. Without a coherent organisational identity, employees may identify more strongly with local offices or functional teams than with the organisation itself. Such fragmentation can reduce knowledge sharing and weaken strategic alignment across international operations.</w:t>
      </w:r>
    </w:p>
    <w:p w:rsidR="2E07F13D" w:rsidP="0A26D5AE" w:rsidRDefault="2E07F13D" w14:paraId="10BFA6BF" w14:textId="483ABC20">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Modern strategic socialisation therefore combines structured onboarding with continuous identity development, mentoring, leadership communication and collaborative learning. Instead of viewing onboarding as an event lasting several days, organisations increasingly treat socialisation as an ongoing developmental journey extending throughout the employee's first year (Bauer, 2010).</w:t>
      </w:r>
    </w:p>
    <w:p w:rsidR="2E07F13D" w:rsidP="0A26D5AE" w:rsidRDefault="2E07F13D" w14:paraId="5A3D8CB7" w14:textId="1EEFD4F3">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Research consistently demonstrates that organisations investing in comprehensive socialisation programmes achieve higher employee engagement, stronger organisational commitment, improved performance and lower turnover compared with organisations relying solely on traditional induction activities (Klein and Polin, 2012). Given Helios Urban Mobility's declining engagement score of 54% and significant graduate attrition, adopting strategic organisational socialisation represents both a human resource initiative and a strategic business necessity.</w:t>
      </w:r>
    </w:p>
    <w:p w:rsidR="2E07F13D" w:rsidP="0A26D5AE" w:rsidRDefault="2E07F13D" w14:paraId="021F9CDD" w14:textId="5DBA866C">
      <w:pPr>
        <w:spacing w:before="240" w:beforeAutospacing="off" w:after="240" w:afterAutospacing="off"/>
        <w:rPr>
          <w:rFonts w:ascii="Times New Roman" w:hAnsi="Times New Roman" w:eastAsia="Times New Roman" w:cs="Times New Roman"/>
          <w:noProof w:val="0"/>
          <w:sz w:val="24"/>
          <w:szCs w:val="24"/>
          <w:lang w:val="en-GB"/>
        </w:rPr>
      </w:pPr>
      <w:r w:rsidRPr="0A26D5AE" w:rsidR="2E07F13D">
        <w:rPr>
          <w:rFonts w:ascii="Times New Roman" w:hAnsi="Times New Roman" w:eastAsia="Times New Roman" w:cs="Times New Roman"/>
          <w:noProof w:val="0"/>
          <w:sz w:val="24"/>
          <w:szCs w:val="24"/>
          <w:lang w:val="en-GB"/>
        </w:rPr>
        <w:t>The evidence therefore indicates that Helios should replace its transactional onboarding approach with a comprehensive socialisation strategy that develops organisational identity, fulfils psychological contracts and accelerates employee integration. Such an approach will reduce the current eight-month productivity period while strengthening employee commitment, innovation and organisational resilience.</w:t>
      </w:r>
    </w:p>
    <w:p w:rsidR="0A26D5AE" w:rsidP="0A26D5AE" w:rsidRDefault="0A26D5AE" w14:paraId="1AA19B38" w14:textId="79323BF0">
      <w:pPr>
        <w:pStyle w:val="Normal"/>
        <w:rPr>
          <w:rFonts w:ascii="Times New Roman" w:hAnsi="Times New Roman" w:eastAsia="Times New Roman" w:cs="Times New Roman"/>
        </w:rPr>
      </w:pPr>
    </w:p>
    <w:p w:rsidR="469B822A" w:rsidP="0A26D5AE" w:rsidRDefault="469B822A" w14:paraId="437294F7" w14:textId="1BA1CED9">
      <w:pPr>
        <w:pStyle w:val="Heading1"/>
        <w:rPr>
          <w:rFonts w:ascii="Times New Roman" w:hAnsi="Times New Roman" w:eastAsia="Times New Roman" w:cs="Times New Roman"/>
          <w:noProof w:val="0"/>
          <w:lang w:val="en-GB"/>
        </w:rPr>
      </w:pPr>
      <w:bookmarkStart w:name="_Toc477843837" w:id="583811871"/>
      <w:r w:rsidRPr="0A26D5AE" w:rsidR="469B822A">
        <w:rPr>
          <w:rFonts w:ascii="Times New Roman" w:hAnsi="Times New Roman" w:eastAsia="Times New Roman" w:cs="Times New Roman"/>
          <w:noProof w:val="0"/>
          <w:lang w:val="en-GB"/>
        </w:rPr>
        <w:t>Designing an Innovative Job Design Strategy for Helios Urban Mobility</w:t>
      </w:r>
      <w:bookmarkEnd w:id="583811871"/>
    </w:p>
    <w:p w:rsidR="469B822A" w:rsidP="0A26D5AE" w:rsidRDefault="469B822A" w14:paraId="2D1FB54F" w14:textId="72E0A8E6">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Helios Urban Mobility operates in a highly competitive and knowledge-intensive industry where innovation depends on employees' creativity, technical expertise and collaboration. However, the organisation's declining engagement score (54%) and high attrition among talented graduates suggest that current job design practices are not fully supporting employee motivation or long-term commitment. Traditional job designs that focus on narrowly defined responsibilities may improve operational efficiency, but they often limit autonomy, learning opportunities and innovation. To achieve strategic renewal, Helios should redesign jobs using the </w:t>
      </w:r>
      <w:r w:rsidRPr="0A26D5AE" w:rsidR="469B822A">
        <w:rPr>
          <w:rFonts w:ascii="Times New Roman" w:hAnsi="Times New Roman" w:eastAsia="Times New Roman" w:cs="Times New Roman"/>
          <w:b w:val="1"/>
          <w:bCs w:val="1"/>
          <w:noProof w:val="0"/>
          <w:sz w:val="24"/>
          <w:szCs w:val="24"/>
          <w:lang w:val="en-GB"/>
        </w:rPr>
        <w:t>Job Characteristics Model (JCM)</w:t>
      </w:r>
      <w:r w:rsidRPr="0A26D5AE" w:rsidR="469B822A">
        <w:rPr>
          <w:rFonts w:ascii="Times New Roman" w:hAnsi="Times New Roman" w:eastAsia="Times New Roman" w:cs="Times New Roman"/>
          <w:noProof w:val="0"/>
          <w:sz w:val="24"/>
          <w:szCs w:val="24"/>
          <w:lang w:val="en-GB"/>
        </w:rPr>
        <w:t xml:space="preserve">, </w:t>
      </w:r>
      <w:r w:rsidRPr="0A26D5AE" w:rsidR="469B822A">
        <w:rPr>
          <w:rFonts w:ascii="Times New Roman" w:hAnsi="Times New Roman" w:eastAsia="Times New Roman" w:cs="Times New Roman"/>
          <w:b w:val="1"/>
          <w:bCs w:val="1"/>
          <w:noProof w:val="0"/>
          <w:sz w:val="24"/>
          <w:szCs w:val="24"/>
          <w:lang w:val="en-GB"/>
        </w:rPr>
        <w:t>Job Crafting Theory</w:t>
      </w:r>
      <w:r w:rsidRPr="0A26D5AE" w:rsidR="469B822A">
        <w:rPr>
          <w:rFonts w:ascii="Times New Roman" w:hAnsi="Times New Roman" w:eastAsia="Times New Roman" w:cs="Times New Roman"/>
          <w:noProof w:val="0"/>
          <w:sz w:val="24"/>
          <w:szCs w:val="24"/>
          <w:lang w:val="en-GB"/>
        </w:rPr>
        <w:t xml:space="preserve">, and a </w:t>
      </w:r>
      <w:r w:rsidRPr="0A26D5AE" w:rsidR="469B822A">
        <w:rPr>
          <w:rFonts w:ascii="Times New Roman" w:hAnsi="Times New Roman" w:eastAsia="Times New Roman" w:cs="Times New Roman"/>
          <w:b w:val="1"/>
          <w:bCs w:val="1"/>
          <w:noProof w:val="0"/>
          <w:sz w:val="24"/>
          <w:szCs w:val="24"/>
          <w:lang w:val="en-GB"/>
        </w:rPr>
        <w:t>skills-based architecture supported by an internal talent marketplace</w:t>
      </w:r>
      <w:r w:rsidRPr="0A26D5AE" w:rsidR="469B822A">
        <w:rPr>
          <w:rFonts w:ascii="Times New Roman" w:hAnsi="Times New Roman" w:eastAsia="Times New Roman" w:cs="Times New Roman"/>
          <w:noProof w:val="0"/>
          <w:sz w:val="24"/>
          <w:szCs w:val="24"/>
          <w:lang w:val="en-GB"/>
        </w:rPr>
        <w:t>. Together, these approaches create more meaningful work, increase intrinsic motivation and improve organisational agility.</w:t>
      </w:r>
    </w:p>
    <w:p w:rsidR="469B822A" w:rsidP="0A26D5AE" w:rsidRDefault="469B822A" w14:paraId="1D81AC3F" w14:textId="6EADB438">
      <w:pPr>
        <w:pStyle w:val="Heading2"/>
        <w:rPr>
          <w:rFonts w:ascii="Times New Roman" w:hAnsi="Times New Roman" w:eastAsia="Times New Roman" w:cs="Times New Roman"/>
          <w:noProof w:val="0"/>
          <w:lang w:val="en-GB"/>
        </w:rPr>
      </w:pPr>
      <w:bookmarkStart w:name="_Toc491097902" w:id="2140680181"/>
      <w:r w:rsidRPr="0A26D5AE" w:rsidR="469B822A">
        <w:rPr>
          <w:rFonts w:ascii="Times New Roman" w:hAnsi="Times New Roman" w:eastAsia="Times New Roman" w:cs="Times New Roman"/>
          <w:noProof w:val="0"/>
          <w:lang w:val="en-GB"/>
        </w:rPr>
        <w:t>2.1 Applying the Job Characteristics Model</w:t>
      </w:r>
      <w:bookmarkEnd w:id="2140680181"/>
    </w:p>
    <w:p w:rsidR="469B822A" w:rsidP="0A26D5AE" w:rsidRDefault="469B822A" w14:paraId="2D564E0E" w14:textId="6041B285">
      <w:pPr>
        <w:spacing w:before="240" w:beforeAutospacing="off" w:after="240" w:afterAutospacing="off"/>
      </w:pPr>
      <w:r w:rsidRPr="2E53D9B2" w:rsidR="469B822A">
        <w:rPr>
          <w:rFonts w:ascii="Times New Roman" w:hAnsi="Times New Roman" w:eastAsia="Times New Roman" w:cs="Times New Roman"/>
          <w:noProof w:val="0"/>
          <w:sz w:val="24"/>
          <w:szCs w:val="24"/>
          <w:lang w:val="en-GB"/>
        </w:rPr>
        <w:t xml:space="preserve">The Job Characteristics Model developed by </w:t>
      </w:r>
      <w:r w:rsidRPr="2E53D9B2" w:rsidR="469B822A">
        <w:rPr>
          <w:rFonts w:ascii="Times New Roman" w:hAnsi="Times New Roman" w:eastAsia="Times New Roman" w:cs="Times New Roman"/>
          <w:b w:val="1"/>
          <w:bCs w:val="1"/>
          <w:noProof w:val="0"/>
          <w:sz w:val="24"/>
          <w:szCs w:val="24"/>
          <w:lang w:val="en-GB"/>
        </w:rPr>
        <w:t>Hackman and Oldham (1976)</w:t>
      </w:r>
      <w:r w:rsidRPr="2E53D9B2" w:rsidR="469B822A">
        <w:rPr>
          <w:rFonts w:ascii="Times New Roman" w:hAnsi="Times New Roman" w:eastAsia="Times New Roman" w:cs="Times New Roman"/>
          <w:noProof w:val="0"/>
          <w:sz w:val="24"/>
          <w:szCs w:val="24"/>
          <w:lang w:val="en-GB"/>
        </w:rPr>
        <w:t xml:space="preserve"> argues that five core job characteristics influence employees' psychological states and ultimately improve motivation, performance and job satisfaction. These characteristics include </w:t>
      </w:r>
      <w:r w:rsidRPr="2E53D9B2" w:rsidR="469B822A">
        <w:rPr>
          <w:rFonts w:ascii="Times New Roman" w:hAnsi="Times New Roman" w:eastAsia="Times New Roman" w:cs="Times New Roman"/>
          <w:b w:val="1"/>
          <w:bCs w:val="1"/>
          <w:noProof w:val="0"/>
          <w:sz w:val="24"/>
          <w:szCs w:val="24"/>
          <w:lang w:val="en-GB"/>
        </w:rPr>
        <w:t>skill variety, task identity, task significance, autonomy and feedback</w:t>
      </w:r>
      <w:r w:rsidRPr="2E53D9B2" w:rsidR="469B822A">
        <w:rPr>
          <w:rFonts w:ascii="Times New Roman" w:hAnsi="Times New Roman" w:eastAsia="Times New Roman" w:cs="Times New Roman"/>
          <w:noProof w:val="0"/>
          <w:sz w:val="24"/>
          <w:szCs w:val="24"/>
          <w:lang w:val="en-GB"/>
        </w:rPr>
        <w:t>.</w:t>
      </w:r>
    </w:p>
    <w:p w:rsidR="2E53D9B2" w:rsidP="2E53D9B2" w:rsidRDefault="2E53D9B2" w14:paraId="2FA3A345" w14:textId="54B450C7">
      <w:pPr>
        <w:spacing w:before="240" w:beforeAutospacing="off" w:after="240" w:afterAutospacing="off"/>
        <w:rPr>
          <w:rFonts w:ascii="Times New Roman" w:hAnsi="Times New Roman" w:eastAsia="Times New Roman" w:cs="Times New Roman"/>
          <w:noProof w:val="0"/>
          <w:sz w:val="24"/>
          <w:szCs w:val="24"/>
          <w:lang w:val="en-GB"/>
        </w:rPr>
      </w:pPr>
    </w:p>
    <w:p w:rsidR="2E53D9B2" w:rsidP="2E53D9B2" w:rsidRDefault="2E53D9B2" w14:paraId="65B6FB53" w14:textId="1EECA506">
      <w:pPr>
        <w:spacing w:before="240" w:beforeAutospacing="off" w:after="240" w:afterAutospacing="off"/>
        <w:rPr>
          <w:rFonts w:ascii="Times New Roman" w:hAnsi="Times New Roman" w:eastAsia="Times New Roman" w:cs="Times New Roman"/>
          <w:noProof w:val="0"/>
          <w:sz w:val="24"/>
          <w:szCs w:val="24"/>
          <w:lang w:val="en-GB"/>
        </w:rPr>
      </w:pPr>
    </w:p>
    <w:p w:rsidR="2E53D9B2" w:rsidP="2E53D9B2" w:rsidRDefault="2E53D9B2" w14:paraId="67A9F035" w14:textId="24609603">
      <w:pPr>
        <w:spacing w:before="240" w:beforeAutospacing="off" w:after="240" w:afterAutospacing="off"/>
        <w:rPr>
          <w:rFonts w:ascii="Times New Roman" w:hAnsi="Times New Roman" w:eastAsia="Times New Roman" w:cs="Times New Roman"/>
          <w:noProof w:val="0"/>
          <w:sz w:val="24"/>
          <w:szCs w:val="24"/>
          <w:lang w:val="en-GB"/>
        </w:rPr>
      </w:pPr>
    </w:p>
    <w:p w:rsidR="2E53D9B2" w:rsidP="2E53D9B2" w:rsidRDefault="2E53D9B2" w14:paraId="5F79235C" w14:textId="5A0A21FA">
      <w:pPr>
        <w:spacing w:before="240" w:beforeAutospacing="off" w:after="240" w:afterAutospacing="off"/>
        <w:rPr>
          <w:rFonts w:ascii="Times New Roman" w:hAnsi="Times New Roman" w:eastAsia="Times New Roman" w:cs="Times New Roman"/>
          <w:noProof w:val="0"/>
          <w:sz w:val="24"/>
          <w:szCs w:val="24"/>
          <w:lang w:val="en-GB"/>
        </w:rPr>
      </w:pPr>
    </w:p>
    <w:p w:rsidR="2E53D9B2" w:rsidP="2E53D9B2" w:rsidRDefault="2E53D9B2" w14:paraId="55FAB96D" w14:textId="6F185364">
      <w:pPr>
        <w:spacing w:before="240" w:beforeAutospacing="off" w:after="240" w:afterAutospacing="off"/>
        <w:rPr>
          <w:rFonts w:ascii="Times New Roman" w:hAnsi="Times New Roman" w:eastAsia="Times New Roman" w:cs="Times New Roman"/>
          <w:noProof w:val="0"/>
          <w:sz w:val="24"/>
          <w:szCs w:val="24"/>
          <w:lang w:val="en-GB"/>
        </w:rPr>
      </w:pPr>
    </w:p>
    <w:p w:rsidR="3C057503" w:rsidP="0A26D5AE" w:rsidRDefault="3C057503" w14:paraId="5F2C1921" w14:textId="70D51E35">
      <w:pPr>
        <w:spacing w:before="240" w:beforeAutospacing="off" w:after="240" w:afterAutospacing="off"/>
        <w:rPr>
          <w:rFonts w:ascii="Times New Roman" w:hAnsi="Times New Roman" w:eastAsia="Times New Roman" w:cs="Times New Roman"/>
          <w:b w:val="1"/>
          <w:bCs w:val="1"/>
          <w:noProof w:val="0"/>
          <w:sz w:val="24"/>
          <w:szCs w:val="24"/>
          <w:lang w:val="en-GB"/>
        </w:rPr>
      </w:pPr>
      <w:r w:rsidRPr="0A26D5AE" w:rsidR="3C057503">
        <w:rPr>
          <w:rFonts w:ascii="Times New Roman" w:hAnsi="Times New Roman" w:eastAsia="Times New Roman" w:cs="Times New Roman"/>
          <w:b w:val="1"/>
          <w:bCs w:val="1"/>
          <w:noProof w:val="0"/>
          <w:sz w:val="24"/>
          <w:szCs w:val="24"/>
          <w:lang w:val="en-GB"/>
        </w:rPr>
        <w:t xml:space="preserve">Table, </w:t>
      </w:r>
      <w:r w:rsidRPr="0A26D5AE" w:rsidR="2560F4C6">
        <w:rPr>
          <w:rFonts w:ascii="Times New Roman" w:hAnsi="Times New Roman" w:eastAsia="Times New Roman" w:cs="Times New Roman"/>
          <w:b w:val="1"/>
          <w:bCs w:val="1"/>
          <w:noProof w:val="0"/>
          <w:sz w:val="24"/>
          <w:szCs w:val="24"/>
          <w:lang w:val="en-GB"/>
        </w:rPr>
        <w:t>Job Characteristics Model</w:t>
      </w:r>
    </w:p>
    <w:tbl>
      <w:tblPr>
        <w:tblStyle w:val="TableGrid"/>
        <w:tblW w:w="0" w:type="auto"/>
        <w:tblLook w:val="06A0" w:firstRow="1" w:lastRow="0" w:firstColumn="1" w:lastColumn="0" w:noHBand="1" w:noVBand="1"/>
      </w:tblPr>
      <w:tblGrid>
        <w:gridCol w:w="3005"/>
        <w:gridCol w:w="3005"/>
        <w:gridCol w:w="3005"/>
      </w:tblGrid>
      <w:tr w:rsidR="0A26D5AE" w:rsidTr="0A26D5AE" w14:paraId="7D0F83C2">
        <w:trPr>
          <w:trHeight w:val="300"/>
        </w:trPr>
        <w:tc>
          <w:tcPr>
            <w:tcW w:w="3005" w:type="dxa"/>
            <w:tcMar/>
          </w:tcPr>
          <w:p w:rsidR="146CABCF" w:rsidP="0A26D5AE" w:rsidRDefault="146CABCF" w14:paraId="122900C5" w14:textId="6E2FF38A">
            <w:pPr>
              <w:pStyle w:val="Normal"/>
              <w:rPr>
                <w:rFonts w:ascii="Times New Roman" w:hAnsi="Times New Roman" w:eastAsia="Times New Roman" w:cs="Times New Roman"/>
                <w:b w:val="1"/>
                <w:bCs w:val="1"/>
                <w:noProof w:val="0"/>
                <w:sz w:val="24"/>
                <w:szCs w:val="24"/>
                <w:lang w:val="en-GB"/>
              </w:rPr>
            </w:pPr>
            <w:r w:rsidRPr="0A26D5AE" w:rsidR="146CABCF">
              <w:rPr>
                <w:rFonts w:ascii="Times New Roman" w:hAnsi="Times New Roman" w:eastAsia="Times New Roman" w:cs="Times New Roman"/>
                <w:b w:val="1"/>
                <w:bCs w:val="1"/>
                <w:noProof w:val="0"/>
                <w:sz w:val="24"/>
                <w:szCs w:val="24"/>
                <w:lang w:val="en-GB"/>
              </w:rPr>
              <w:t>Core Job Characteristics</w:t>
            </w:r>
          </w:p>
        </w:tc>
        <w:tc>
          <w:tcPr>
            <w:tcW w:w="3005" w:type="dxa"/>
            <w:tcMar/>
          </w:tcPr>
          <w:p w:rsidR="146CABCF" w:rsidP="0A26D5AE" w:rsidRDefault="146CABCF" w14:paraId="4CB49417" w14:textId="5AEFE1A6">
            <w:pPr>
              <w:pStyle w:val="Normal"/>
              <w:rPr>
                <w:rFonts w:ascii="Times New Roman" w:hAnsi="Times New Roman" w:eastAsia="Times New Roman" w:cs="Times New Roman"/>
                <w:b w:val="1"/>
                <w:bCs w:val="1"/>
                <w:noProof w:val="0"/>
                <w:sz w:val="24"/>
                <w:szCs w:val="24"/>
                <w:lang w:val="en-GB"/>
              </w:rPr>
            </w:pPr>
            <w:r w:rsidRPr="0A26D5AE" w:rsidR="146CABCF">
              <w:rPr>
                <w:rFonts w:ascii="Times New Roman" w:hAnsi="Times New Roman" w:eastAsia="Times New Roman" w:cs="Times New Roman"/>
                <w:b w:val="1"/>
                <w:bCs w:val="1"/>
                <w:noProof w:val="0"/>
                <w:sz w:val="24"/>
                <w:szCs w:val="24"/>
                <w:lang w:val="en-GB"/>
              </w:rPr>
              <w:t>Psychological State</w:t>
            </w:r>
          </w:p>
        </w:tc>
        <w:tc>
          <w:tcPr>
            <w:tcW w:w="3005" w:type="dxa"/>
            <w:tcMar/>
          </w:tcPr>
          <w:p w:rsidR="146CABCF" w:rsidP="0A26D5AE" w:rsidRDefault="146CABCF" w14:paraId="0608F758" w14:textId="2B96C8E7">
            <w:pPr>
              <w:pStyle w:val="Normal"/>
              <w:rPr>
                <w:rFonts w:ascii="Times New Roman" w:hAnsi="Times New Roman" w:eastAsia="Times New Roman" w:cs="Times New Roman"/>
                <w:b w:val="1"/>
                <w:bCs w:val="1"/>
                <w:noProof w:val="0"/>
                <w:sz w:val="24"/>
                <w:szCs w:val="24"/>
                <w:lang w:val="en-GB"/>
              </w:rPr>
            </w:pPr>
            <w:r w:rsidRPr="0A26D5AE" w:rsidR="146CABCF">
              <w:rPr>
                <w:rFonts w:ascii="Times New Roman" w:hAnsi="Times New Roman" w:eastAsia="Times New Roman" w:cs="Times New Roman"/>
                <w:b w:val="1"/>
                <w:bCs w:val="1"/>
                <w:noProof w:val="0"/>
                <w:sz w:val="24"/>
                <w:szCs w:val="24"/>
                <w:lang w:val="en-GB"/>
              </w:rPr>
              <w:t>Expected Outcome at Helios</w:t>
            </w:r>
          </w:p>
        </w:tc>
      </w:tr>
    </w:tbl>
    <w:tbl>
      <w:tblPr>
        <w:tblStyle w:val="TableGrid"/>
        <w:bidiVisual w:val="0"/>
        <w:tblW w:w="0" w:type="auto"/>
        <w:tblLook w:val="06A0" w:firstRow="1" w:lastRow="0" w:firstColumn="1" w:lastColumn="0" w:noHBand="1" w:noVBand="1"/>
      </w:tblPr>
      <w:tblGrid>
        <w:gridCol w:w="3000"/>
        <w:gridCol w:w="3000"/>
        <w:gridCol w:w="3005"/>
      </w:tblGrid>
      <w:tr w:rsidR="0A26D5AE" w:rsidTr="0A26D5AE" w14:paraId="0AB9C428">
        <w:trPr>
          <w:trHeight w:val="300"/>
        </w:trPr>
        <w:tc>
          <w:tcPr>
            <w:tcW w:w="3000" w:type="dxa"/>
            <w:tcMar/>
          </w:tcPr>
          <w:p w:rsidR="146CABCF" w:rsidP="0A26D5AE" w:rsidRDefault="146CABCF" w14:paraId="4C99EFCF" w14:textId="10617660">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Skill Variety</w:t>
            </w:r>
          </w:p>
        </w:tc>
        <w:tc>
          <w:tcPr>
            <w:tcW w:w="3000" w:type="dxa"/>
            <w:tcMar/>
          </w:tcPr>
          <w:p w:rsidR="146CABCF" w:rsidP="0A26D5AE" w:rsidRDefault="146CABCF" w14:paraId="19B4DE5F" w14:textId="6CF562E2">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Experienced Meaningfulness</w:t>
            </w:r>
          </w:p>
        </w:tc>
        <w:tc>
          <w:tcPr>
            <w:tcW w:w="3005" w:type="dxa"/>
            <w:tcMar/>
          </w:tcPr>
          <w:p w:rsidR="146CABCF" w:rsidP="0A26D5AE" w:rsidRDefault="146CABCF" w14:paraId="6CB75BF2" w14:textId="46F8088C">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Greater creativity and learning</w:t>
            </w:r>
          </w:p>
        </w:tc>
      </w:tr>
      <w:tr w:rsidR="0A26D5AE" w:rsidTr="0A26D5AE" w14:paraId="350E00DA">
        <w:trPr>
          <w:trHeight w:val="300"/>
        </w:trPr>
        <w:tc>
          <w:tcPr>
            <w:tcW w:w="3000" w:type="dxa"/>
            <w:tcMar/>
          </w:tcPr>
          <w:p w:rsidR="146CABCF" w:rsidP="0A26D5AE" w:rsidRDefault="146CABCF" w14:paraId="28510205" w14:textId="6A209AF8">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Task Identity</w:t>
            </w:r>
          </w:p>
        </w:tc>
        <w:tc>
          <w:tcPr>
            <w:tcW w:w="3000" w:type="dxa"/>
            <w:tcMar/>
          </w:tcPr>
          <w:p w:rsidR="146CABCF" w:rsidP="0A26D5AE" w:rsidRDefault="146CABCF" w14:paraId="44FE3C0E" w14:textId="431F885C">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Experienced Meaningfulness</w:t>
            </w:r>
          </w:p>
        </w:tc>
        <w:tc>
          <w:tcPr>
            <w:tcW w:w="3005" w:type="dxa"/>
            <w:tcMar/>
          </w:tcPr>
          <w:p w:rsidR="5EB96488" w:rsidP="0A26D5AE" w:rsidRDefault="5EB96488" w14:paraId="6A2A1C63" w14:textId="3AC792C5">
            <w:pPr>
              <w:pStyle w:val="Normal"/>
              <w:bidi w:val="0"/>
              <w:rPr>
                <w:rFonts w:ascii="Times New Roman" w:hAnsi="Times New Roman" w:eastAsia="Times New Roman" w:cs="Times New Roman"/>
                <w:b w:val="0"/>
                <w:bCs w:val="0"/>
                <w:noProof w:val="0"/>
                <w:sz w:val="24"/>
                <w:szCs w:val="24"/>
                <w:lang w:val="en-GB"/>
              </w:rPr>
            </w:pPr>
            <w:r w:rsidRPr="0A26D5AE" w:rsidR="5EB96488">
              <w:rPr>
                <w:rFonts w:ascii="Times New Roman" w:hAnsi="Times New Roman" w:eastAsia="Times New Roman" w:cs="Times New Roman"/>
                <w:b w:val="0"/>
                <w:bCs w:val="0"/>
                <w:noProof w:val="0"/>
                <w:sz w:val="24"/>
                <w:szCs w:val="24"/>
                <w:lang w:val="en-GB"/>
              </w:rPr>
              <w:t>Higher ownership of projects</w:t>
            </w:r>
          </w:p>
        </w:tc>
      </w:tr>
      <w:tr w:rsidR="0A26D5AE" w:rsidTr="0A26D5AE" w14:paraId="6401844C">
        <w:trPr>
          <w:trHeight w:val="300"/>
        </w:trPr>
        <w:tc>
          <w:tcPr>
            <w:tcW w:w="3000" w:type="dxa"/>
            <w:tcMar/>
          </w:tcPr>
          <w:p w:rsidR="146CABCF" w:rsidP="0A26D5AE" w:rsidRDefault="146CABCF" w14:paraId="233490FC" w14:textId="39F231F8">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Task Significance</w:t>
            </w:r>
          </w:p>
        </w:tc>
        <w:tc>
          <w:tcPr>
            <w:tcW w:w="3000" w:type="dxa"/>
            <w:tcMar/>
          </w:tcPr>
          <w:p w:rsidR="146CABCF" w:rsidP="0A26D5AE" w:rsidRDefault="146CABCF" w14:paraId="56D11E43" w14:textId="68901A23">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Experienced Meaningfulness</w:t>
            </w:r>
          </w:p>
        </w:tc>
        <w:tc>
          <w:tcPr>
            <w:tcW w:w="3005" w:type="dxa"/>
            <w:tcMar/>
          </w:tcPr>
          <w:p w:rsidR="5439EF7B" w:rsidP="0A26D5AE" w:rsidRDefault="5439EF7B" w14:paraId="785D6792" w14:textId="2505803E">
            <w:pPr>
              <w:pStyle w:val="Normal"/>
              <w:bidi w:val="0"/>
              <w:rPr>
                <w:rFonts w:ascii="Times New Roman" w:hAnsi="Times New Roman" w:eastAsia="Times New Roman" w:cs="Times New Roman"/>
                <w:noProof w:val="0"/>
                <w:sz w:val="24"/>
                <w:szCs w:val="24"/>
                <w:lang w:val="en-GB"/>
              </w:rPr>
            </w:pPr>
            <w:r w:rsidRPr="0A26D5AE" w:rsidR="5439EF7B">
              <w:rPr>
                <w:rFonts w:ascii="Times New Roman" w:hAnsi="Times New Roman" w:eastAsia="Times New Roman" w:cs="Times New Roman"/>
                <w:noProof w:val="0"/>
                <w:sz w:val="24"/>
                <w:szCs w:val="24"/>
                <w:lang w:val="en-GB"/>
              </w:rPr>
              <w:t>Stronger sense of purpose</w:t>
            </w:r>
          </w:p>
        </w:tc>
      </w:tr>
      <w:tr w:rsidR="0A26D5AE" w:rsidTr="0A26D5AE" w14:paraId="3EE3F1E0">
        <w:trPr>
          <w:trHeight w:val="300"/>
        </w:trPr>
        <w:tc>
          <w:tcPr>
            <w:tcW w:w="3000" w:type="dxa"/>
            <w:tcMar/>
          </w:tcPr>
          <w:p w:rsidR="146CABCF" w:rsidP="0A26D5AE" w:rsidRDefault="146CABCF" w14:paraId="59BAE191" w14:textId="5A43D6D2">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Autonomy</w:t>
            </w:r>
          </w:p>
        </w:tc>
        <w:tc>
          <w:tcPr>
            <w:tcW w:w="3000" w:type="dxa"/>
            <w:tcMar/>
          </w:tcPr>
          <w:p w:rsidR="146CABCF" w:rsidP="0A26D5AE" w:rsidRDefault="146CABCF" w14:paraId="7FD9E142" w14:textId="5CF29B48">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Experienced Meaningfulness</w:t>
            </w:r>
          </w:p>
        </w:tc>
        <w:tc>
          <w:tcPr>
            <w:tcW w:w="3005" w:type="dxa"/>
            <w:tcMar/>
          </w:tcPr>
          <w:p w:rsidR="022DA511" w:rsidP="0A26D5AE" w:rsidRDefault="022DA511" w14:paraId="7DE6A44F" w14:textId="0E02167B">
            <w:pPr>
              <w:pStyle w:val="Normal"/>
              <w:bidi w:val="0"/>
              <w:rPr>
                <w:rFonts w:ascii="Times New Roman" w:hAnsi="Times New Roman" w:eastAsia="Times New Roman" w:cs="Times New Roman"/>
                <w:noProof w:val="0"/>
                <w:sz w:val="24"/>
                <w:szCs w:val="24"/>
                <w:lang w:val="en-GB"/>
              </w:rPr>
            </w:pPr>
            <w:r w:rsidRPr="0A26D5AE" w:rsidR="022DA511">
              <w:rPr>
                <w:rFonts w:ascii="Times New Roman" w:hAnsi="Times New Roman" w:eastAsia="Times New Roman" w:cs="Times New Roman"/>
                <w:noProof w:val="0"/>
                <w:sz w:val="24"/>
                <w:szCs w:val="24"/>
                <w:lang w:val="en-GB"/>
              </w:rPr>
              <w:t>Higher innovation and motivation</w:t>
            </w:r>
          </w:p>
        </w:tc>
      </w:tr>
      <w:tr w:rsidR="0A26D5AE" w:rsidTr="0A26D5AE" w14:paraId="2022BB7B">
        <w:trPr>
          <w:trHeight w:val="300"/>
        </w:trPr>
        <w:tc>
          <w:tcPr>
            <w:tcW w:w="3000" w:type="dxa"/>
            <w:tcMar/>
          </w:tcPr>
          <w:p w:rsidR="146CABCF" w:rsidP="0A26D5AE" w:rsidRDefault="146CABCF" w14:paraId="241C3BCC" w14:textId="7968E11D">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Feedback</w:t>
            </w:r>
          </w:p>
        </w:tc>
        <w:tc>
          <w:tcPr>
            <w:tcW w:w="3000" w:type="dxa"/>
            <w:tcMar/>
          </w:tcPr>
          <w:p w:rsidR="146CABCF" w:rsidP="0A26D5AE" w:rsidRDefault="146CABCF" w14:paraId="2E8F70F0" w14:textId="3E3E5E1F">
            <w:pPr>
              <w:pStyle w:val="Normal"/>
              <w:bidi w:val="0"/>
              <w:rPr>
                <w:rFonts w:ascii="Times New Roman" w:hAnsi="Times New Roman" w:eastAsia="Times New Roman" w:cs="Times New Roman"/>
                <w:noProof w:val="0"/>
                <w:sz w:val="24"/>
                <w:szCs w:val="24"/>
                <w:lang w:val="en-GB"/>
              </w:rPr>
            </w:pPr>
            <w:r w:rsidRPr="0A26D5AE" w:rsidR="146CABCF">
              <w:rPr>
                <w:rFonts w:ascii="Times New Roman" w:hAnsi="Times New Roman" w:eastAsia="Times New Roman" w:cs="Times New Roman"/>
                <w:noProof w:val="0"/>
                <w:sz w:val="24"/>
                <w:szCs w:val="24"/>
                <w:lang w:val="en-GB"/>
              </w:rPr>
              <w:t>Knowledge of Results</w:t>
            </w:r>
          </w:p>
        </w:tc>
        <w:tc>
          <w:tcPr>
            <w:tcW w:w="3005" w:type="dxa"/>
            <w:tcMar/>
          </w:tcPr>
          <w:p w:rsidR="76A55FEF" w:rsidP="0A26D5AE" w:rsidRDefault="76A55FEF" w14:paraId="0F9E36FB" w14:textId="0D473886">
            <w:pPr>
              <w:pStyle w:val="Normal"/>
              <w:bidi w:val="0"/>
              <w:rPr>
                <w:rFonts w:ascii="Times New Roman" w:hAnsi="Times New Roman" w:eastAsia="Times New Roman" w:cs="Times New Roman"/>
                <w:noProof w:val="0"/>
                <w:sz w:val="24"/>
                <w:szCs w:val="24"/>
                <w:lang w:val="en-GB"/>
              </w:rPr>
            </w:pPr>
            <w:r w:rsidRPr="0A26D5AE" w:rsidR="76A55FEF">
              <w:rPr>
                <w:rFonts w:ascii="Times New Roman" w:hAnsi="Times New Roman" w:eastAsia="Times New Roman" w:cs="Times New Roman"/>
                <w:noProof w:val="0"/>
                <w:sz w:val="24"/>
                <w:szCs w:val="24"/>
                <w:lang w:val="en-GB"/>
              </w:rPr>
              <w:t>Continuous improvement and performance</w:t>
            </w:r>
          </w:p>
        </w:tc>
      </w:tr>
    </w:tbl>
    <w:tbl>
      <w:tblPr>
        <w:tblStyle w:val="TableGrid"/>
        <w:bidiVisual w:val="0"/>
        <w:tblW w:w="0" w:type="auto"/>
        <w:tblLook w:val="06A0" w:firstRow="1" w:lastRow="0" w:firstColumn="1" w:lastColumn="0" w:noHBand="1" w:noVBand="1"/>
      </w:tblPr>
      <w:tblGrid>
        <w:gridCol w:w="3015"/>
        <w:gridCol w:w="2995"/>
        <w:gridCol w:w="3005"/>
      </w:tblGrid>
      <w:tr w:rsidR="0A26D5AE" w:rsidTr="0A26D5AE" w14:paraId="0134C01B">
        <w:trPr>
          <w:trHeight w:val="300"/>
        </w:trPr>
        <w:tc>
          <w:tcPr>
            <w:tcW w:w="3015" w:type="dxa"/>
            <w:tcMar/>
          </w:tcPr>
          <w:p w:rsidR="76A55FEF" w:rsidP="0A26D5AE" w:rsidRDefault="76A55FEF" w14:paraId="34F2D2B1" w14:textId="0A6887B4">
            <w:pPr>
              <w:pStyle w:val="Normal"/>
              <w:bidi w:val="0"/>
              <w:rPr>
                <w:rFonts w:ascii="Times New Roman" w:hAnsi="Times New Roman" w:eastAsia="Times New Roman" w:cs="Times New Roman"/>
                <w:b w:val="1"/>
                <w:bCs w:val="1"/>
                <w:noProof w:val="0"/>
                <w:sz w:val="24"/>
                <w:szCs w:val="24"/>
                <w:lang w:val="en-GB"/>
              </w:rPr>
            </w:pPr>
            <w:r w:rsidRPr="0A26D5AE" w:rsidR="76A55FEF">
              <w:rPr>
                <w:rFonts w:ascii="Times New Roman" w:hAnsi="Times New Roman" w:eastAsia="Times New Roman" w:cs="Times New Roman"/>
                <w:b w:val="1"/>
                <w:bCs w:val="1"/>
                <w:noProof w:val="0"/>
                <w:sz w:val="24"/>
                <w:szCs w:val="24"/>
                <w:lang w:val="en-GB"/>
              </w:rPr>
              <w:t>Overall Result</w:t>
            </w:r>
          </w:p>
        </w:tc>
        <w:tc>
          <w:tcPr>
            <w:tcW w:w="2995" w:type="dxa"/>
            <w:tcMar/>
          </w:tcPr>
          <w:p w:rsidR="76A55FEF" w:rsidP="0A26D5AE" w:rsidRDefault="76A55FEF" w14:paraId="712B5E41" w14:textId="6C588202">
            <w:pPr>
              <w:pStyle w:val="Normal"/>
              <w:bidi w:val="0"/>
              <w:rPr>
                <w:rFonts w:ascii="Times New Roman" w:hAnsi="Times New Roman" w:eastAsia="Times New Roman" w:cs="Times New Roman"/>
                <w:b w:val="1"/>
                <w:bCs w:val="1"/>
                <w:noProof w:val="0"/>
                <w:sz w:val="24"/>
                <w:szCs w:val="24"/>
                <w:lang w:val="en-GB"/>
              </w:rPr>
            </w:pPr>
            <w:r w:rsidRPr="0A26D5AE" w:rsidR="76A55FEF">
              <w:rPr>
                <w:rFonts w:ascii="Times New Roman" w:hAnsi="Times New Roman" w:eastAsia="Times New Roman" w:cs="Times New Roman"/>
                <w:b w:val="1"/>
                <w:bCs w:val="1"/>
                <w:noProof w:val="0"/>
                <w:sz w:val="24"/>
                <w:szCs w:val="24"/>
                <w:lang w:val="en-GB"/>
              </w:rPr>
              <w:t>Intrinsic Motivation</w:t>
            </w:r>
          </w:p>
        </w:tc>
        <w:tc>
          <w:tcPr>
            <w:tcW w:w="3005" w:type="dxa"/>
            <w:tcMar/>
          </w:tcPr>
          <w:p w:rsidR="76A55FEF" w:rsidP="0A26D5AE" w:rsidRDefault="76A55FEF" w14:paraId="78BF8944" w14:textId="281FA755">
            <w:pPr>
              <w:pStyle w:val="Normal"/>
              <w:bidi w:val="0"/>
              <w:rPr>
                <w:rFonts w:ascii="Times New Roman" w:hAnsi="Times New Roman" w:eastAsia="Times New Roman" w:cs="Times New Roman"/>
                <w:b w:val="1"/>
                <w:bCs w:val="1"/>
                <w:noProof w:val="0"/>
                <w:sz w:val="24"/>
                <w:szCs w:val="24"/>
                <w:lang w:val="en-GB"/>
              </w:rPr>
            </w:pPr>
            <w:r w:rsidRPr="0A26D5AE" w:rsidR="76A55FEF">
              <w:rPr>
                <w:rFonts w:ascii="Times New Roman" w:hAnsi="Times New Roman" w:eastAsia="Times New Roman" w:cs="Times New Roman"/>
                <w:b w:val="1"/>
                <w:bCs w:val="1"/>
                <w:noProof w:val="0"/>
                <w:sz w:val="24"/>
                <w:szCs w:val="24"/>
                <w:lang w:val="en-GB"/>
              </w:rPr>
              <w:t>Higher engagement, innovation and employee retention</w:t>
            </w:r>
          </w:p>
        </w:tc>
      </w:tr>
    </w:tbl>
    <w:p w:rsidR="0A26D5AE" w:rsidP="0A26D5AE" w:rsidRDefault="0A26D5AE" w14:paraId="010DCB2E" w14:textId="6F9B1631">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noProof w:val="0"/>
          <w:sz w:val="24"/>
          <w:szCs w:val="24"/>
          <w:lang w:val="en-GB"/>
        </w:rPr>
      </w:pPr>
    </w:p>
    <w:p w:rsidR="469B822A" w:rsidP="0A26D5AE" w:rsidRDefault="469B822A" w14:paraId="63057D21" w14:textId="050B7570">
      <w:pPr>
        <w:spacing w:before="240" w:beforeAutospacing="off" w:after="240" w:afterAutospacing="off"/>
        <w:ind w:left="0"/>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The first characteristic, </w:t>
      </w:r>
      <w:r w:rsidRPr="0A26D5AE" w:rsidR="469B822A">
        <w:rPr>
          <w:rFonts w:ascii="Times New Roman" w:hAnsi="Times New Roman" w:eastAsia="Times New Roman" w:cs="Times New Roman"/>
          <w:b w:val="1"/>
          <w:bCs w:val="1"/>
          <w:noProof w:val="0"/>
          <w:sz w:val="24"/>
          <w:szCs w:val="24"/>
          <w:lang w:val="en-GB"/>
        </w:rPr>
        <w:t>skill variety</w:t>
      </w:r>
      <w:r w:rsidRPr="0A26D5AE" w:rsidR="469B822A">
        <w:rPr>
          <w:rFonts w:ascii="Times New Roman" w:hAnsi="Times New Roman" w:eastAsia="Times New Roman" w:cs="Times New Roman"/>
          <w:noProof w:val="0"/>
          <w:sz w:val="24"/>
          <w:szCs w:val="24"/>
          <w:lang w:val="en-GB"/>
        </w:rPr>
        <w:t>, refers to the extent to which employees use multiple skills and abilities in their work. Employees at Helios frequently specialise in areas such as AI development, software engineering or data analytics. While technical expertise is essential, excessive specialisation can reduce creativity and increase boredom. Helios should therefore encourage employees to participate in multidisciplinary innovation projects where engineers, data scientists and sustainability specialists collaborate to solve complex transport challenges. Greater skill variety not only enhances learning but also improves organisational flexibility.</w:t>
      </w:r>
    </w:p>
    <w:p w:rsidR="469B822A" w:rsidP="0A26D5AE" w:rsidRDefault="469B822A" w14:paraId="058274E5" w14:textId="03A52957">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The second characteristic, </w:t>
      </w:r>
      <w:r w:rsidRPr="0A26D5AE" w:rsidR="469B822A">
        <w:rPr>
          <w:rFonts w:ascii="Times New Roman" w:hAnsi="Times New Roman" w:eastAsia="Times New Roman" w:cs="Times New Roman"/>
          <w:b w:val="1"/>
          <w:bCs w:val="1"/>
          <w:noProof w:val="0"/>
          <w:sz w:val="24"/>
          <w:szCs w:val="24"/>
          <w:lang w:val="en-GB"/>
        </w:rPr>
        <w:t>task identity</w:t>
      </w:r>
      <w:r w:rsidRPr="0A26D5AE" w:rsidR="469B822A">
        <w:rPr>
          <w:rFonts w:ascii="Times New Roman" w:hAnsi="Times New Roman" w:eastAsia="Times New Roman" w:cs="Times New Roman"/>
          <w:noProof w:val="0"/>
          <w:sz w:val="24"/>
          <w:szCs w:val="24"/>
          <w:lang w:val="en-GB"/>
        </w:rPr>
        <w:t>, concerns employees completing identifiable pieces of work rather than isolated activities. Instead of assigning individuals to small components of a project, Helios should allow teams to manage entire innovation cycles, from concept development to implementation for city government clients. Employees who observe the complete impact of their work are more likely to experience ownership and commitment (Hackman and Oldham, 1976).</w:t>
      </w:r>
    </w:p>
    <w:p w:rsidR="469B822A" w:rsidP="0A26D5AE" w:rsidRDefault="469B822A" w14:paraId="2E880FB6" w14:textId="70C51C5C">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The third element, </w:t>
      </w:r>
      <w:r w:rsidRPr="0A26D5AE" w:rsidR="469B822A">
        <w:rPr>
          <w:rFonts w:ascii="Times New Roman" w:hAnsi="Times New Roman" w:eastAsia="Times New Roman" w:cs="Times New Roman"/>
          <w:b w:val="1"/>
          <w:bCs w:val="1"/>
          <w:noProof w:val="0"/>
          <w:sz w:val="24"/>
          <w:szCs w:val="24"/>
          <w:lang w:val="en-GB"/>
        </w:rPr>
        <w:t>task significance</w:t>
      </w:r>
      <w:r w:rsidRPr="0A26D5AE" w:rsidR="469B822A">
        <w:rPr>
          <w:rFonts w:ascii="Times New Roman" w:hAnsi="Times New Roman" w:eastAsia="Times New Roman" w:cs="Times New Roman"/>
          <w:noProof w:val="0"/>
          <w:sz w:val="24"/>
          <w:szCs w:val="24"/>
          <w:lang w:val="en-GB"/>
        </w:rPr>
        <w:t>, is particularly relevant to Helios because its products contribute directly to sustainable urban mobility and environmental improvement. Managers should regularly communicate how employees' work reduces traffic congestion, lowers carbon emissions and improves public transport systems. Connecting everyday work to wider social outcomes strengthens employees' sense of purpose, which is increasingly important for younger professionals seeking meaningful careers (Deloitte, 2024).</w:t>
      </w:r>
    </w:p>
    <w:p w:rsidR="469B822A" w:rsidP="0A26D5AE" w:rsidRDefault="469B822A" w14:paraId="79E28D2C" w14:textId="2C2C4B71">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The fourth characteristic, </w:t>
      </w:r>
      <w:r w:rsidRPr="0A26D5AE" w:rsidR="469B822A">
        <w:rPr>
          <w:rFonts w:ascii="Times New Roman" w:hAnsi="Times New Roman" w:eastAsia="Times New Roman" w:cs="Times New Roman"/>
          <w:b w:val="1"/>
          <w:bCs w:val="1"/>
          <w:noProof w:val="0"/>
          <w:sz w:val="24"/>
          <w:szCs w:val="24"/>
          <w:lang w:val="en-GB"/>
        </w:rPr>
        <w:t>autonomy</w:t>
      </w:r>
      <w:r w:rsidRPr="0A26D5AE" w:rsidR="469B822A">
        <w:rPr>
          <w:rFonts w:ascii="Times New Roman" w:hAnsi="Times New Roman" w:eastAsia="Times New Roman" w:cs="Times New Roman"/>
          <w:noProof w:val="0"/>
          <w:sz w:val="24"/>
          <w:szCs w:val="24"/>
          <w:lang w:val="en-GB"/>
        </w:rPr>
        <w:t>, refers to employees having discretion over how work is completed. Research consistently demonstrates that autonomy increases intrinsic motivation, creativity and innovation (Deci and Ryan, 2000). Rather than relying on close managerial supervision, Helios should empower project teams to determine technical approaches, allocate responsibilities and experiment with innovative solutions. Flexible working arrangements and outcome-based performance management would further reinforce employee autonomy.</w:t>
      </w:r>
    </w:p>
    <w:p w:rsidR="469B822A" w:rsidP="0A26D5AE" w:rsidRDefault="469B822A" w14:paraId="1EFFC93F" w14:textId="323C176D">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Finally, </w:t>
      </w:r>
      <w:r w:rsidRPr="0A26D5AE" w:rsidR="469B822A">
        <w:rPr>
          <w:rFonts w:ascii="Times New Roman" w:hAnsi="Times New Roman" w:eastAsia="Times New Roman" w:cs="Times New Roman"/>
          <w:b w:val="1"/>
          <w:bCs w:val="1"/>
          <w:noProof w:val="0"/>
          <w:sz w:val="24"/>
          <w:szCs w:val="24"/>
          <w:lang w:val="en-GB"/>
        </w:rPr>
        <w:t>feedback</w:t>
      </w:r>
      <w:r w:rsidRPr="0A26D5AE" w:rsidR="469B822A">
        <w:rPr>
          <w:rFonts w:ascii="Times New Roman" w:hAnsi="Times New Roman" w:eastAsia="Times New Roman" w:cs="Times New Roman"/>
          <w:noProof w:val="0"/>
          <w:sz w:val="24"/>
          <w:szCs w:val="24"/>
          <w:lang w:val="en-GB"/>
        </w:rPr>
        <w:t xml:space="preserve"> enables employees to understand the effectiveness of their performance and identify areas for improvement. Helios should replace annual performance reviews with continuous feedback supported by quarterly development conversations, peer evaluations and real-time project reviews. Continuous feedback encourages learning while reducing uncertainty, particularly among graduate employees adapting to complex technical roles.</w:t>
      </w:r>
    </w:p>
    <w:p w:rsidR="469B822A" w:rsidP="0A26D5AE" w:rsidRDefault="469B822A" w14:paraId="3F421565" w14:textId="1E637A60">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Collectively, these five job characteristics strengthen the three critical psychological states identified by Hackman and Oldham (1976): experienced meaningfulness, experienced responsibility and knowledge of results. Employees who experience these psychological conditions demonstrate higher motivation, stronger performance and greater organisational commitment.</w:t>
      </w:r>
    </w:p>
    <w:p w:rsidR="469B822A" w:rsidP="0A26D5AE" w:rsidRDefault="469B822A" w14:paraId="45169FD9" w14:textId="51812442">
      <w:pPr>
        <w:pStyle w:val="Heading2"/>
        <w:rPr>
          <w:rFonts w:ascii="Times New Roman" w:hAnsi="Times New Roman" w:eastAsia="Times New Roman" w:cs="Times New Roman"/>
          <w:noProof w:val="0"/>
          <w:lang w:val="en-GB"/>
        </w:rPr>
      </w:pPr>
      <w:bookmarkStart w:name="_Toc717041261" w:id="438067358"/>
      <w:r w:rsidRPr="0A26D5AE" w:rsidR="469B822A">
        <w:rPr>
          <w:rFonts w:ascii="Times New Roman" w:hAnsi="Times New Roman" w:eastAsia="Times New Roman" w:cs="Times New Roman"/>
          <w:noProof w:val="0"/>
          <w:lang w:val="en-GB"/>
        </w:rPr>
        <w:t>2.2 Encouraging Job Crafting</w:t>
      </w:r>
      <w:bookmarkEnd w:id="438067358"/>
    </w:p>
    <w:p w:rsidR="469B822A" w:rsidP="0A26D5AE" w:rsidRDefault="469B822A" w14:paraId="5EFA35CD" w14:textId="183B4196">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While organisations traditionally design jobs from the top down, </w:t>
      </w:r>
      <w:r w:rsidRPr="0A26D5AE" w:rsidR="469B822A">
        <w:rPr>
          <w:rFonts w:ascii="Times New Roman" w:hAnsi="Times New Roman" w:eastAsia="Times New Roman" w:cs="Times New Roman"/>
          <w:b w:val="1"/>
          <w:bCs w:val="1"/>
          <w:noProof w:val="0"/>
          <w:sz w:val="24"/>
          <w:szCs w:val="24"/>
          <w:lang w:val="en-GB"/>
        </w:rPr>
        <w:t>Job Crafting Theory</w:t>
      </w:r>
      <w:r w:rsidRPr="0A26D5AE" w:rsidR="469B822A">
        <w:rPr>
          <w:rFonts w:ascii="Times New Roman" w:hAnsi="Times New Roman" w:eastAsia="Times New Roman" w:cs="Times New Roman"/>
          <w:noProof w:val="0"/>
          <w:sz w:val="24"/>
          <w:szCs w:val="24"/>
          <w:lang w:val="en-GB"/>
        </w:rPr>
        <w:t xml:space="preserve"> recognises employees as active participants in shaping their own work experiences (Wrzesniewski and Dutton, 2001). Job crafting involves employees modifying aspects of their roles to improve motivation, engagement and personal fulfilment while continuing to support organisational objectives.</w:t>
      </w:r>
    </w:p>
    <w:p w:rsidR="469B822A" w:rsidP="0A26D5AE" w:rsidRDefault="469B822A" w14:paraId="18616327" w14:textId="114C19DE">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Helios should encourage three forms of job crafting.</w:t>
      </w:r>
    </w:p>
    <w:p w:rsidR="469B822A" w:rsidP="0A26D5AE" w:rsidRDefault="469B822A" w14:paraId="446907C9" w14:textId="76825B8C">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Firstly, </w:t>
      </w:r>
      <w:r w:rsidRPr="0A26D5AE" w:rsidR="469B822A">
        <w:rPr>
          <w:rFonts w:ascii="Times New Roman" w:hAnsi="Times New Roman" w:eastAsia="Times New Roman" w:cs="Times New Roman"/>
          <w:b w:val="1"/>
          <w:bCs w:val="1"/>
          <w:noProof w:val="0"/>
          <w:sz w:val="24"/>
          <w:szCs w:val="24"/>
          <w:lang w:val="en-GB"/>
        </w:rPr>
        <w:t>task crafting</w:t>
      </w:r>
      <w:r w:rsidRPr="0A26D5AE" w:rsidR="469B822A">
        <w:rPr>
          <w:rFonts w:ascii="Times New Roman" w:hAnsi="Times New Roman" w:eastAsia="Times New Roman" w:cs="Times New Roman"/>
          <w:noProof w:val="0"/>
          <w:sz w:val="24"/>
          <w:szCs w:val="24"/>
          <w:lang w:val="en-GB"/>
        </w:rPr>
        <w:t xml:space="preserve"> allows employees to undertake projects aligned with their personal interests and strengths. For example, a software engineer interested in sustainability analytics could contribute voluntarily to environmental data projects outside their primary responsibilities. Such flexibility encourages continuous learning while broadening organisational capabilities.</w:t>
      </w:r>
    </w:p>
    <w:p w:rsidR="469B822A" w:rsidP="0A26D5AE" w:rsidRDefault="469B822A" w14:paraId="51CAECE5" w14:textId="068826DC">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Secondly, </w:t>
      </w:r>
      <w:r w:rsidRPr="0A26D5AE" w:rsidR="469B822A">
        <w:rPr>
          <w:rFonts w:ascii="Times New Roman" w:hAnsi="Times New Roman" w:eastAsia="Times New Roman" w:cs="Times New Roman"/>
          <w:b w:val="1"/>
          <w:bCs w:val="1"/>
          <w:noProof w:val="0"/>
          <w:sz w:val="24"/>
          <w:szCs w:val="24"/>
          <w:lang w:val="en-GB"/>
        </w:rPr>
        <w:t>relational crafting</w:t>
      </w:r>
      <w:r w:rsidRPr="0A26D5AE" w:rsidR="469B822A">
        <w:rPr>
          <w:rFonts w:ascii="Times New Roman" w:hAnsi="Times New Roman" w:eastAsia="Times New Roman" w:cs="Times New Roman"/>
          <w:noProof w:val="0"/>
          <w:sz w:val="24"/>
          <w:szCs w:val="24"/>
          <w:lang w:val="en-GB"/>
        </w:rPr>
        <w:t xml:space="preserve"> focuses on developing new workplace relationships. Cross-functional collaboration between engineering, product development and customer engagement teams would increase knowledge sharing and strengthen innovation. Since Helios operates across London, Berlin and Singapore, virtual communities of practice could also facilitate international collaboration and reduce organisational silos.</w:t>
      </w:r>
    </w:p>
    <w:p w:rsidR="469B822A" w:rsidP="0A26D5AE" w:rsidRDefault="469B822A" w14:paraId="1464DD99" w14:textId="1878F334">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Thirdly, </w:t>
      </w:r>
      <w:r w:rsidRPr="0A26D5AE" w:rsidR="469B822A">
        <w:rPr>
          <w:rFonts w:ascii="Times New Roman" w:hAnsi="Times New Roman" w:eastAsia="Times New Roman" w:cs="Times New Roman"/>
          <w:b w:val="1"/>
          <w:bCs w:val="1"/>
          <w:noProof w:val="0"/>
          <w:sz w:val="24"/>
          <w:szCs w:val="24"/>
          <w:lang w:val="en-GB"/>
        </w:rPr>
        <w:t>cognitive crafting</w:t>
      </w:r>
      <w:r w:rsidRPr="0A26D5AE" w:rsidR="469B822A">
        <w:rPr>
          <w:rFonts w:ascii="Times New Roman" w:hAnsi="Times New Roman" w:eastAsia="Times New Roman" w:cs="Times New Roman"/>
          <w:noProof w:val="0"/>
          <w:sz w:val="24"/>
          <w:szCs w:val="24"/>
          <w:lang w:val="en-GB"/>
        </w:rPr>
        <w:t xml:space="preserve"> encourages employees to reinterpret the purpose of their work by recognising its broader contribution to society. Rather than viewing themselves solely as software developers or analysts, employees can perceive themselves as contributors to sustainable cities and improved public services. Research suggests that cognitive crafting enhances resilience, engagement and organisational identification (Berg, Dutton and Wrzesniewski, 2013).</w:t>
      </w:r>
    </w:p>
    <w:p w:rsidR="469B822A" w:rsidP="0A26D5AE" w:rsidRDefault="469B822A" w14:paraId="713303CC" w14:textId="06D0ED8F">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Managers play a crucial role in supporting job crafting by encouraging experimentation rather than enforcing rigid job boundaries. Leadership behaviours promoting trust, coaching and psychological safety enable employees to take ownership of their development without fear of failure (Edmondson, 1999). Such an environment is particularly valuable in technology organisations where innovation depends on continuous experimentation.</w:t>
      </w:r>
    </w:p>
    <w:p w:rsidR="469B822A" w:rsidP="0A26D5AE" w:rsidRDefault="469B822A" w14:paraId="64F06935" w14:textId="16E51E54">
      <w:pPr>
        <w:pStyle w:val="Heading2"/>
        <w:rPr>
          <w:rFonts w:ascii="Times New Roman" w:hAnsi="Times New Roman" w:eastAsia="Times New Roman" w:cs="Times New Roman"/>
          <w:noProof w:val="0"/>
          <w:lang w:val="en-GB"/>
        </w:rPr>
      </w:pPr>
      <w:bookmarkStart w:name="_Toc1820524550" w:id="327345022"/>
      <w:r w:rsidRPr="0A26D5AE" w:rsidR="469B822A">
        <w:rPr>
          <w:rFonts w:ascii="Times New Roman" w:hAnsi="Times New Roman" w:eastAsia="Times New Roman" w:cs="Times New Roman"/>
          <w:noProof w:val="0"/>
          <w:lang w:val="en-GB"/>
        </w:rPr>
        <w:t>2.3 Skills-Based Architecture and Internal Talent Marketplace</w:t>
      </w:r>
      <w:bookmarkEnd w:id="327345022"/>
    </w:p>
    <w:p w:rsidR="469B822A" w:rsidP="0A26D5AE" w:rsidRDefault="469B822A" w14:paraId="76F307E9" w14:textId="4AA8F523">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Rapid technological change has exposed the limitations of traditional organisational structures based primarily on job titles and hierarchical promotion. Increasingly, organisations are adopting </w:t>
      </w:r>
      <w:r w:rsidRPr="0A26D5AE" w:rsidR="469B822A">
        <w:rPr>
          <w:rFonts w:ascii="Times New Roman" w:hAnsi="Times New Roman" w:eastAsia="Times New Roman" w:cs="Times New Roman"/>
          <w:b w:val="1"/>
          <w:bCs w:val="1"/>
          <w:noProof w:val="0"/>
          <w:sz w:val="24"/>
          <w:szCs w:val="24"/>
          <w:lang w:val="en-GB"/>
        </w:rPr>
        <w:t>skills-based architectures</w:t>
      </w:r>
      <w:r w:rsidRPr="0A26D5AE" w:rsidR="469B822A">
        <w:rPr>
          <w:rFonts w:ascii="Times New Roman" w:hAnsi="Times New Roman" w:eastAsia="Times New Roman" w:cs="Times New Roman"/>
          <w:noProof w:val="0"/>
          <w:sz w:val="24"/>
          <w:szCs w:val="24"/>
          <w:lang w:val="en-GB"/>
        </w:rPr>
        <w:t>, where workforce planning focuses on employees' capabilities rather than fixed roles (CIPD, 2024).</w:t>
      </w:r>
    </w:p>
    <w:p w:rsidR="469B822A" w:rsidP="0A26D5AE" w:rsidRDefault="469B822A" w14:paraId="63AC5FF5" w14:textId="2ED63943">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For Helios, this approach would involve identifying employees' technical, analytical and leadership skills through a central digital skills database. Rather than recruiting externally whenever new projects emerge, managers could identify internal employees whose capabilities match project requirements. This enables the organisation to deploy talent more effectively while providing employees with diverse career opportunities.</w:t>
      </w:r>
    </w:p>
    <w:p w:rsidR="469B822A" w:rsidP="0A26D5AE" w:rsidRDefault="469B822A" w14:paraId="1E5A41CC" w14:textId="00693DEC">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Supporting this architecture, Helios should establish an </w:t>
      </w:r>
      <w:r w:rsidRPr="0A26D5AE" w:rsidR="469B822A">
        <w:rPr>
          <w:rFonts w:ascii="Times New Roman" w:hAnsi="Times New Roman" w:eastAsia="Times New Roman" w:cs="Times New Roman"/>
          <w:b w:val="1"/>
          <w:bCs w:val="1"/>
          <w:noProof w:val="0"/>
          <w:sz w:val="24"/>
          <w:szCs w:val="24"/>
          <w:lang w:val="en-GB"/>
        </w:rPr>
        <w:t>internal talent marketplace</w:t>
      </w:r>
      <w:r w:rsidRPr="0A26D5AE" w:rsidR="469B822A">
        <w:rPr>
          <w:rFonts w:ascii="Times New Roman" w:hAnsi="Times New Roman" w:eastAsia="Times New Roman" w:cs="Times New Roman"/>
          <w:noProof w:val="0"/>
          <w:sz w:val="24"/>
          <w:szCs w:val="24"/>
          <w:lang w:val="en-GB"/>
        </w:rPr>
        <w:t>, where employees can apply for short-term projects, innovation initiatives and international assignments. Such marketplaces increase workforce agility while reducing career stagnation, a common factor contributing to graduate turnover.</w:t>
      </w:r>
    </w:p>
    <w:p w:rsidR="469B822A" w:rsidP="0A26D5AE" w:rsidRDefault="469B822A" w14:paraId="2353CC9F" w14:textId="4C6F9A7B">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For example, an AI engineer based in London could temporarily join a smart infrastructure analytics project in Singapore without permanently changing positions. Employees would gain valuable international experience while expanding professional networks and acquiring new technical skills.</w:t>
      </w:r>
    </w:p>
    <w:p w:rsidR="469B822A" w:rsidP="0A26D5AE" w:rsidRDefault="469B822A" w14:paraId="6A8A0519" w14:textId="688F000F">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Internal mobility also strengthens employee retention because individuals perceive greater long-term career opportunities within the organisation rather than seeking advancement elsewhere. According to the World Economic Forum (2023), organisations investing in continuous reskilling and internal mobility demonstrate greater resilience in rapidly changing labour markets.</w:t>
      </w:r>
    </w:p>
    <w:p w:rsidR="469B822A" w:rsidP="0A26D5AE" w:rsidRDefault="469B822A" w14:paraId="66A3B6D4" w14:textId="50BAB60E">
      <w:pPr>
        <w:pStyle w:val="Heading2"/>
        <w:rPr>
          <w:rFonts w:ascii="Times New Roman" w:hAnsi="Times New Roman" w:eastAsia="Times New Roman" w:cs="Times New Roman"/>
          <w:noProof w:val="0"/>
          <w:lang w:val="en-GB"/>
        </w:rPr>
      </w:pPr>
      <w:bookmarkStart w:name="_Toc1398921497" w:id="1641539076"/>
      <w:r w:rsidRPr="0A26D5AE" w:rsidR="469B822A">
        <w:rPr>
          <w:rFonts w:ascii="Times New Roman" w:hAnsi="Times New Roman" w:eastAsia="Times New Roman" w:cs="Times New Roman"/>
          <w:noProof w:val="0"/>
          <w:lang w:val="en-GB"/>
        </w:rPr>
        <w:t>2.4 Supporting Intrinsic Motivation and Innovation</w:t>
      </w:r>
      <w:bookmarkEnd w:id="1641539076"/>
    </w:p>
    <w:p w:rsidR="469B822A" w:rsidP="0A26D5AE" w:rsidRDefault="469B822A" w14:paraId="2D89DCB6" w14:textId="01575931">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The proposed job design strategy integrates complementary theories that collectively strengthen intrinsic motivation and organisational innovation.</w:t>
      </w:r>
    </w:p>
    <w:p w:rsidR="469B822A" w:rsidP="0A26D5AE" w:rsidRDefault="469B822A" w14:paraId="6E256B4B" w14:textId="10C9EEEA">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The Job Characteristics Model increases meaningfulness, autonomy and performance through enriched work design (Hackman and Oldham, 1976). Job Crafting Theory empowers employees to personalise their work experiences, increasing engagement and psychological ownership (Wrzesniewski and Dutton, 2001). Skills-based architecture and internal talent marketplaces ensure employees continuously develop new capabilities while accessing diverse career opportunities.</w:t>
      </w:r>
    </w:p>
    <w:p w:rsidR="469B822A" w:rsidP="0A26D5AE" w:rsidRDefault="469B822A" w14:paraId="08EC77ED" w14:textId="0498B189">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 xml:space="preserve">Together, these approaches align closely with </w:t>
      </w:r>
      <w:r w:rsidRPr="0A26D5AE" w:rsidR="469B822A">
        <w:rPr>
          <w:rFonts w:ascii="Times New Roman" w:hAnsi="Times New Roman" w:eastAsia="Times New Roman" w:cs="Times New Roman"/>
          <w:b w:val="1"/>
          <w:bCs w:val="1"/>
          <w:noProof w:val="0"/>
          <w:sz w:val="24"/>
          <w:szCs w:val="24"/>
          <w:lang w:val="en-GB"/>
        </w:rPr>
        <w:t>Self-Determination Theory</w:t>
      </w:r>
      <w:r w:rsidRPr="0A26D5AE" w:rsidR="469B822A">
        <w:rPr>
          <w:rFonts w:ascii="Times New Roman" w:hAnsi="Times New Roman" w:eastAsia="Times New Roman" w:cs="Times New Roman"/>
          <w:noProof w:val="0"/>
          <w:sz w:val="24"/>
          <w:szCs w:val="24"/>
          <w:lang w:val="en-GB"/>
        </w:rPr>
        <w:t>, which argues that intrinsic motivation depends upon satisfying three fundamental psychological needs: autonomy, competence and relatedness (Deci and Ryan, 2000). The proposed strategy addresses all three requirements by empowering employees, encouraging continuous learning and strengthening collaborative relationships across international teams.</w:t>
      </w:r>
    </w:p>
    <w:p w:rsidR="469B822A" w:rsidP="0A26D5AE" w:rsidRDefault="469B822A" w14:paraId="51A4C643" w14:textId="6198F8BC">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For Helios Urban Mobility, the anticipated outcomes include reduced employee turnover, shorter learning curves, stronger engagement, increased innovation and improved organisational adaptability. Employees are more likely to remain committed when they experience meaningful work, career development opportunities and organisational trust. Simultaneously, the organisation benefits from greater knowledge sharing, enhanced creativity and improved responsiveness to changing customer and technological demands.</w:t>
      </w:r>
    </w:p>
    <w:p w:rsidR="469B822A" w:rsidP="0A26D5AE" w:rsidRDefault="469B822A" w14:paraId="1BE37754" w14:textId="0254D6C0">
      <w:pPr>
        <w:spacing w:before="240" w:beforeAutospacing="off" w:after="240" w:afterAutospacing="off"/>
        <w:rPr>
          <w:rFonts w:ascii="Times New Roman" w:hAnsi="Times New Roman" w:eastAsia="Times New Roman" w:cs="Times New Roman"/>
          <w:noProof w:val="0"/>
          <w:sz w:val="24"/>
          <w:szCs w:val="24"/>
          <w:lang w:val="en-GB"/>
        </w:rPr>
      </w:pPr>
      <w:r w:rsidRPr="0A26D5AE" w:rsidR="469B822A">
        <w:rPr>
          <w:rFonts w:ascii="Times New Roman" w:hAnsi="Times New Roman" w:eastAsia="Times New Roman" w:cs="Times New Roman"/>
          <w:noProof w:val="0"/>
          <w:sz w:val="24"/>
          <w:szCs w:val="24"/>
          <w:lang w:val="en-GB"/>
        </w:rPr>
        <w:t>Consequently, redesigning jobs should not be viewed as an operational HR initiative but as a strategic investment supporting Helios' long-term competitive advantage and sustainable organisational renewal.</w:t>
      </w:r>
    </w:p>
    <w:p w:rsidR="118BDDE8" w:rsidP="0A26D5AE" w:rsidRDefault="118BDDE8" w14:paraId="3F0F6EBC" w14:textId="4A64A163">
      <w:pPr>
        <w:pStyle w:val="Heading1"/>
        <w:rPr>
          <w:rFonts w:ascii="Times New Roman" w:hAnsi="Times New Roman" w:eastAsia="Times New Roman" w:cs="Times New Roman"/>
          <w:noProof w:val="0"/>
          <w:lang w:val="en-GB"/>
        </w:rPr>
      </w:pPr>
      <w:bookmarkStart w:name="_Toc1607451805" w:id="837541784"/>
      <w:r w:rsidRPr="0A26D5AE" w:rsidR="118BDDE8">
        <w:rPr>
          <w:rFonts w:ascii="Times New Roman" w:hAnsi="Times New Roman" w:eastAsia="Times New Roman" w:cs="Times New Roman"/>
          <w:noProof w:val="0"/>
          <w:lang w:val="en-GB"/>
        </w:rPr>
        <w:t>Reflective Report</w:t>
      </w:r>
      <w:bookmarkEnd w:id="837541784"/>
    </w:p>
    <w:p w:rsidR="118BDDE8" w:rsidP="0A26D5AE" w:rsidRDefault="118BDDE8" w14:paraId="5A49B579" w14:textId="25345A13">
      <w:pPr>
        <w:pStyle w:val="Heading2"/>
        <w:rPr>
          <w:rFonts w:ascii="Times New Roman" w:hAnsi="Times New Roman" w:eastAsia="Times New Roman" w:cs="Times New Roman"/>
          <w:noProof w:val="0"/>
          <w:lang w:val="en-GB"/>
        </w:rPr>
      </w:pPr>
      <w:bookmarkStart w:name="_Toc511928479" w:id="1919378932"/>
      <w:r w:rsidRPr="0A26D5AE" w:rsidR="118BDDE8">
        <w:rPr>
          <w:rFonts w:ascii="Times New Roman" w:hAnsi="Times New Roman" w:eastAsia="Times New Roman" w:cs="Times New Roman"/>
          <w:noProof w:val="0"/>
          <w:lang w:val="en-GB"/>
        </w:rPr>
        <w:t>Using AI as a Decision-Support Tool and Personal Capability Development</w:t>
      </w:r>
      <w:bookmarkEnd w:id="1919378932"/>
    </w:p>
    <w:p w:rsidR="118BDDE8" w:rsidP="0A26D5AE" w:rsidRDefault="118BDDE8" w14:paraId="553A6EED" w14:textId="444ED504">
      <w:pPr>
        <w:spacing w:before="240" w:beforeAutospacing="off" w:after="240" w:afterAutospacing="off"/>
        <w:rPr>
          <w:rFonts w:ascii="Times New Roman" w:hAnsi="Times New Roman" w:eastAsia="Times New Roman" w:cs="Times New Roman"/>
          <w:noProof w:val="0"/>
          <w:sz w:val="24"/>
          <w:szCs w:val="24"/>
          <w:lang w:val="en-GB"/>
        </w:rPr>
      </w:pPr>
      <w:r w:rsidRPr="0A26D5AE" w:rsidR="118BDDE8">
        <w:rPr>
          <w:rFonts w:ascii="Times New Roman" w:hAnsi="Times New Roman" w:eastAsia="Times New Roman" w:cs="Times New Roman"/>
          <w:noProof w:val="0"/>
          <w:sz w:val="24"/>
          <w:szCs w:val="24"/>
          <w:lang w:val="en-GB"/>
        </w:rPr>
        <w:t>Artificial intelligence (AI) is increasingly transforming human resource management by supporting recruitment, workforce planning and employee development. Throughout this module, I have learned that AI should be used to enhance decision-making rather than replace human judgement. AI can quickly analyse workforce data, identify trends and provide evidence-based recommendations, enabling HR professionals to make more informed strategic decisions (CIPD, 2024). However, AI systems may produce biased or inaccurate outcomes if they rely on poor-quality data or lack appropriate human oversight (Raisch and Krakowski, 2021). Therefore, I believe HR professionals must critically evaluate AI-generated insights while considering ethical, organisational and human factors before making final decisions.</w:t>
      </w:r>
    </w:p>
    <w:p w:rsidR="118BDDE8" w:rsidP="0A26D5AE" w:rsidRDefault="118BDDE8" w14:paraId="4AEE2826" w14:textId="053AE63B">
      <w:pPr>
        <w:spacing w:before="240" w:beforeAutospacing="off" w:after="240" w:afterAutospacing="off"/>
        <w:rPr>
          <w:rFonts w:ascii="Times New Roman" w:hAnsi="Times New Roman" w:eastAsia="Times New Roman" w:cs="Times New Roman"/>
          <w:noProof w:val="0"/>
          <w:sz w:val="24"/>
          <w:szCs w:val="24"/>
          <w:lang w:val="en-GB"/>
        </w:rPr>
      </w:pPr>
      <w:r w:rsidRPr="0A26D5AE" w:rsidR="118BDDE8">
        <w:rPr>
          <w:rFonts w:ascii="Times New Roman" w:hAnsi="Times New Roman" w:eastAsia="Times New Roman" w:cs="Times New Roman"/>
          <w:noProof w:val="0"/>
          <w:sz w:val="24"/>
          <w:szCs w:val="24"/>
          <w:lang w:val="en-GB"/>
        </w:rPr>
        <w:t xml:space="preserve">To improve my future employability, I intend to develop four key capabilities. Firstly, I will strengthen my </w:t>
      </w:r>
      <w:r w:rsidRPr="0A26D5AE" w:rsidR="118BDDE8">
        <w:rPr>
          <w:rFonts w:ascii="Times New Roman" w:hAnsi="Times New Roman" w:eastAsia="Times New Roman" w:cs="Times New Roman"/>
          <w:b w:val="1"/>
          <w:bCs w:val="1"/>
          <w:noProof w:val="0"/>
          <w:sz w:val="24"/>
          <w:szCs w:val="24"/>
          <w:lang w:val="en-GB"/>
        </w:rPr>
        <w:t>data literacy</w:t>
      </w:r>
      <w:r w:rsidRPr="0A26D5AE" w:rsidR="118BDDE8">
        <w:rPr>
          <w:rFonts w:ascii="Times New Roman" w:hAnsi="Times New Roman" w:eastAsia="Times New Roman" w:cs="Times New Roman"/>
          <w:noProof w:val="0"/>
          <w:sz w:val="24"/>
          <w:szCs w:val="24"/>
          <w:lang w:val="en-GB"/>
        </w:rPr>
        <w:t xml:space="preserve"> by improving my ability to analyse HR metrics and use workforce analytics to support strategic decision-making. Secondly, I will expand my knowledge of </w:t>
      </w:r>
      <w:r w:rsidRPr="0A26D5AE" w:rsidR="118BDDE8">
        <w:rPr>
          <w:rFonts w:ascii="Times New Roman" w:hAnsi="Times New Roman" w:eastAsia="Times New Roman" w:cs="Times New Roman"/>
          <w:b w:val="1"/>
          <w:bCs w:val="1"/>
          <w:noProof w:val="0"/>
          <w:sz w:val="24"/>
          <w:szCs w:val="24"/>
          <w:lang w:val="en-GB"/>
        </w:rPr>
        <w:t>AI applications in HR</w:t>
      </w:r>
      <w:r w:rsidRPr="0A26D5AE" w:rsidR="118BDDE8">
        <w:rPr>
          <w:rFonts w:ascii="Times New Roman" w:hAnsi="Times New Roman" w:eastAsia="Times New Roman" w:cs="Times New Roman"/>
          <w:noProof w:val="0"/>
          <w:sz w:val="24"/>
          <w:szCs w:val="24"/>
          <w:lang w:val="en-GB"/>
        </w:rPr>
        <w:t xml:space="preserve">, ensuring I understand both their opportunities and ethical limitations. Thirdly, I aim to develop </w:t>
      </w:r>
      <w:r w:rsidRPr="0A26D5AE" w:rsidR="118BDDE8">
        <w:rPr>
          <w:rFonts w:ascii="Times New Roman" w:hAnsi="Times New Roman" w:eastAsia="Times New Roman" w:cs="Times New Roman"/>
          <w:b w:val="1"/>
          <w:bCs w:val="1"/>
          <w:noProof w:val="0"/>
          <w:sz w:val="24"/>
          <w:szCs w:val="24"/>
          <w:lang w:val="en-GB"/>
        </w:rPr>
        <w:t>strategic influencing skills</w:t>
      </w:r>
      <w:r w:rsidRPr="0A26D5AE" w:rsidR="118BDDE8">
        <w:rPr>
          <w:rFonts w:ascii="Times New Roman" w:hAnsi="Times New Roman" w:eastAsia="Times New Roman" w:cs="Times New Roman"/>
          <w:noProof w:val="0"/>
          <w:sz w:val="24"/>
          <w:szCs w:val="24"/>
          <w:lang w:val="en-GB"/>
        </w:rPr>
        <w:t xml:space="preserve">, including communication and stakeholder management, to support organisational change and contribute effectively as a future HR business partner (Ulrich et al., 2013). Finally, I will increase my </w:t>
      </w:r>
      <w:r w:rsidRPr="0A26D5AE" w:rsidR="118BDDE8">
        <w:rPr>
          <w:rFonts w:ascii="Times New Roman" w:hAnsi="Times New Roman" w:eastAsia="Times New Roman" w:cs="Times New Roman"/>
          <w:b w:val="1"/>
          <w:bCs w:val="1"/>
          <w:noProof w:val="0"/>
          <w:sz w:val="24"/>
          <w:szCs w:val="24"/>
          <w:lang w:val="en-GB"/>
        </w:rPr>
        <w:t>global mobility awareness</w:t>
      </w:r>
      <w:r w:rsidRPr="0A26D5AE" w:rsidR="118BDDE8">
        <w:rPr>
          <w:rFonts w:ascii="Times New Roman" w:hAnsi="Times New Roman" w:eastAsia="Times New Roman" w:cs="Times New Roman"/>
          <w:noProof w:val="0"/>
          <w:sz w:val="24"/>
          <w:szCs w:val="24"/>
          <w:lang w:val="en-GB"/>
        </w:rPr>
        <w:t xml:space="preserve"> by developing a better understanding of international HR practices and cross-cultural management, which are essential in multinational organisations such as Helios Urban Mobility.</w:t>
      </w:r>
    </w:p>
    <w:p w:rsidR="118BDDE8" w:rsidP="0A26D5AE" w:rsidRDefault="118BDDE8" w14:paraId="30611711" w14:textId="11744411">
      <w:pPr>
        <w:spacing w:before="240" w:beforeAutospacing="off" w:after="240" w:afterAutospacing="off"/>
        <w:rPr>
          <w:rFonts w:ascii="Times New Roman" w:hAnsi="Times New Roman" w:eastAsia="Times New Roman" w:cs="Times New Roman"/>
          <w:noProof w:val="0"/>
          <w:sz w:val="24"/>
          <w:szCs w:val="24"/>
          <w:lang w:val="en-GB"/>
        </w:rPr>
      </w:pPr>
      <w:r w:rsidRPr="0A26D5AE" w:rsidR="118BDDE8">
        <w:rPr>
          <w:rFonts w:ascii="Times New Roman" w:hAnsi="Times New Roman" w:eastAsia="Times New Roman" w:cs="Times New Roman"/>
          <w:noProof w:val="0"/>
          <w:sz w:val="24"/>
          <w:szCs w:val="24"/>
          <w:lang w:val="en-GB"/>
        </w:rPr>
        <w:t xml:space="preserve">Overall, this module has </w:t>
      </w:r>
      <w:r w:rsidRPr="0A26D5AE" w:rsidR="118BDDE8">
        <w:rPr>
          <w:rFonts w:ascii="Times New Roman" w:hAnsi="Times New Roman" w:eastAsia="Times New Roman" w:cs="Times New Roman"/>
          <w:noProof w:val="0"/>
          <w:sz w:val="24"/>
          <w:szCs w:val="24"/>
          <w:lang w:val="en-GB"/>
        </w:rPr>
        <w:t>demonstrated</w:t>
      </w:r>
      <w:r w:rsidRPr="0A26D5AE" w:rsidR="118BDDE8">
        <w:rPr>
          <w:rFonts w:ascii="Times New Roman" w:hAnsi="Times New Roman" w:eastAsia="Times New Roman" w:cs="Times New Roman"/>
          <w:noProof w:val="0"/>
          <w:sz w:val="24"/>
          <w:szCs w:val="24"/>
          <w:lang w:val="en-GB"/>
        </w:rPr>
        <w:t xml:space="preserve"> that successful HR professionals must combine technological competence with ethical judgement, critical </w:t>
      </w:r>
      <w:r w:rsidRPr="0A26D5AE" w:rsidR="118BDDE8">
        <w:rPr>
          <w:rFonts w:ascii="Times New Roman" w:hAnsi="Times New Roman" w:eastAsia="Times New Roman" w:cs="Times New Roman"/>
          <w:noProof w:val="0"/>
          <w:sz w:val="24"/>
          <w:szCs w:val="24"/>
          <w:lang w:val="en-GB"/>
        </w:rPr>
        <w:t>thinking</w:t>
      </w:r>
      <w:r w:rsidRPr="0A26D5AE" w:rsidR="118BDDE8">
        <w:rPr>
          <w:rFonts w:ascii="Times New Roman" w:hAnsi="Times New Roman" w:eastAsia="Times New Roman" w:cs="Times New Roman"/>
          <w:noProof w:val="0"/>
          <w:sz w:val="24"/>
          <w:szCs w:val="24"/>
          <w:lang w:val="en-GB"/>
        </w:rPr>
        <w:t xml:space="preserve"> and continuous learning. These capabilities will enable me to make responsible strategic decisions while supporting both organisational performance and employee wellbeing.</w:t>
      </w:r>
      <w:r w:rsidRPr="0A26D5AE" w:rsidR="190AB7CC">
        <w:rPr>
          <w:rFonts w:ascii="Times New Roman" w:hAnsi="Times New Roman" w:eastAsia="Times New Roman" w:cs="Times New Roman"/>
          <w:noProof w:val="0"/>
          <w:sz w:val="24"/>
          <w:szCs w:val="24"/>
          <w:lang w:val="en-GB"/>
        </w:rPr>
        <w:t xml:space="preserve"> </w:t>
      </w:r>
    </w:p>
    <w:p w:rsidR="190AB7CC" w:rsidP="0A26D5AE" w:rsidRDefault="190AB7CC" w14:paraId="2F98AFE1" w14:textId="1611BD62">
      <w:pPr>
        <w:pStyle w:val="Heading1"/>
        <w:rPr>
          <w:rFonts w:ascii="Times New Roman" w:hAnsi="Times New Roman" w:eastAsia="Times New Roman" w:cs="Times New Roman"/>
          <w:noProof w:val="0"/>
          <w:lang w:val="en-GB"/>
        </w:rPr>
      </w:pPr>
      <w:bookmarkStart w:name="_Toc1984310885" w:id="1769433939"/>
      <w:r w:rsidRPr="0A26D5AE" w:rsidR="190AB7CC">
        <w:rPr>
          <w:rFonts w:ascii="Times New Roman" w:hAnsi="Times New Roman" w:eastAsia="Times New Roman" w:cs="Times New Roman"/>
          <w:noProof w:val="0"/>
          <w:lang w:val="en-GB"/>
        </w:rPr>
        <w:t>Conclusion</w:t>
      </w:r>
      <w:bookmarkEnd w:id="1769433939"/>
    </w:p>
    <w:p w:rsidR="190AB7CC" w:rsidP="0A26D5AE" w:rsidRDefault="190AB7CC" w14:paraId="66E59690" w14:textId="79FCA1D1">
      <w:pPr>
        <w:pStyle w:val="Normal"/>
        <w:spacing w:before="240" w:beforeAutospacing="off" w:after="240" w:afterAutospacing="off"/>
      </w:pPr>
      <w:r w:rsidRPr="2E53D9B2" w:rsidR="190AB7CC">
        <w:rPr>
          <w:rFonts w:ascii="Times New Roman" w:hAnsi="Times New Roman" w:eastAsia="Times New Roman" w:cs="Times New Roman"/>
          <w:noProof w:val="0"/>
          <w:sz w:val="24"/>
          <w:szCs w:val="24"/>
          <w:lang w:val="en-GB"/>
        </w:rPr>
        <w:t>This report has demonstrated that Helios Urban Mobility can strengthen its human capital architecture by adopting a strategic approach to organisational socialisation and innovative job design. Replacing traditional onboarding with a structured socialisation framework will improve organisational identification, employee engagement and graduate retention, while implementing enriched job design, job crafting and a skills-based architecture will enhance intrinsic motivation and innovation. Furthermore, the reflective discussion highlights that AI should support rather than replace human judgement, reinforcing the importance of ethical leadership and continuous professional development. Collectively, these recommendations provide Helios with a practical framework to enhance organisational performance and achieve sustainable strategic renewal.</w:t>
      </w:r>
    </w:p>
    <w:p w:rsidR="2E53D9B2" w:rsidP="2E53D9B2" w:rsidRDefault="2E53D9B2" w14:paraId="0A353452" w14:textId="5EEDF056">
      <w:pPr>
        <w:pStyle w:val="Normal"/>
        <w:spacing w:before="240" w:beforeAutospacing="off" w:after="240" w:afterAutospacing="off"/>
        <w:rPr>
          <w:rFonts w:ascii="Times New Roman" w:hAnsi="Times New Roman" w:eastAsia="Times New Roman" w:cs="Times New Roman"/>
          <w:noProof w:val="0"/>
          <w:sz w:val="24"/>
          <w:szCs w:val="24"/>
          <w:lang w:val="en-GB"/>
        </w:rPr>
      </w:pPr>
    </w:p>
    <w:p w:rsidR="2E53D9B2" w:rsidP="2E53D9B2" w:rsidRDefault="2E53D9B2" w14:paraId="320F3B8C" w14:textId="7A316974">
      <w:pPr>
        <w:pStyle w:val="Normal"/>
        <w:spacing w:before="240" w:beforeAutospacing="off" w:after="240" w:afterAutospacing="off"/>
        <w:rPr>
          <w:rFonts w:ascii="Times New Roman" w:hAnsi="Times New Roman" w:eastAsia="Times New Roman" w:cs="Times New Roman"/>
          <w:noProof w:val="0"/>
          <w:sz w:val="24"/>
          <w:szCs w:val="24"/>
          <w:lang w:val="en-GB"/>
        </w:rPr>
      </w:pPr>
    </w:p>
    <w:p w:rsidR="2E53D9B2" w:rsidP="2E53D9B2" w:rsidRDefault="2E53D9B2" w14:paraId="6B4C2910" w14:textId="066B427B">
      <w:pPr>
        <w:pStyle w:val="Normal"/>
        <w:spacing w:before="240" w:beforeAutospacing="off" w:after="240" w:afterAutospacing="off"/>
        <w:rPr>
          <w:rFonts w:ascii="Times New Roman" w:hAnsi="Times New Roman" w:eastAsia="Times New Roman" w:cs="Times New Roman"/>
          <w:noProof w:val="0"/>
          <w:sz w:val="24"/>
          <w:szCs w:val="24"/>
          <w:lang w:val="en-GB"/>
        </w:rPr>
      </w:pPr>
    </w:p>
    <w:p w:rsidR="190AB7CC" w:rsidP="2E53D9B2" w:rsidRDefault="190AB7CC" w14:paraId="2405B5C7" w14:textId="1FB163F4">
      <w:pPr>
        <w:pStyle w:val="Heading1"/>
      </w:pPr>
      <w:bookmarkStart w:name="_Toc954917515" w:id="362718221"/>
      <w:r w:rsidRPr="2E53D9B2" w:rsidR="190AB7CC">
        <w:rPr>
          <w:rFonts w:ascii="Times New Roman" w:hAnsi="Times New Roman" w:eastAsia="Times New Roman" w:cs="Times New Roman"/>
          <w:noProof w:val="0"/>
          <w:lang w:val="en-GB"/>
        </w:rPr>
        <w:t>References</w:t>
      </w:r>
      <w:bookmarkEnd w:id="362718221"/>
    </w:p>
    <w:p w:rsidR="404AAE74" w:rsidP="2E53D9B2" w:rsidRDefault="404AAE74" w14:paraId="1F27E2B8" w14:textId="2CA03D12">
      <w:pPr>
        <w:spacing w:before="240" w:beforeAutospacing="off" w:after="240" w:afterAutospacing="off"/>
      </w:pPr>
      <w:r w:rsidRPr="2E53D9B2" w:rsidR="404AAE74">
        <w:rPr>
          <w:rFonts w:ascii="Times New Roman" w:hAnsi="Times New Roman" w:eastAsia="Times New Roman" w:cs="Times New Roman"/>
          <w:noProof w:val="0"/>
          <w:sz w:val="24"/>
          <w:szCs w:val="24"/>
          <w:lang w:val="en-GB"/>
        </w:rPr>
        <w:t xml:space="preserve">Afonso, D., Franco-Santos, </w:t>
      </w:r>
      <w:r w:rsidRPr="2E53D9B2" w:rsidR="404AAE74">
        <w:rPr>
          <w:rFonts w:ascii="Times New Roman" w:hAnsi="Times New Roman" w:eastAsia="Times New Roman" w:cs="Times New Roman"/>
          <w:noProof w:val="0"/>
          <w:sz w:val="24"/>
          <w:szCs w:val="24"/>
          <w:lang w:val="en-GB"/>
        </w:rPr>
        <w:t>M.</w:t>
      </w:r>
      <w:r w:rsidRPr="2E53D9B2" w:rsidR="404AAE74">
        <w:rPr>
          <w:rFonts w:ascii="Times New Roman" w:hAnsi="Times New Roman" w:eastAsia="Times New Roman" w:cs="Times New Roman"/>
          <w:noProof w:val="0"/>
          <w:sz w:val="24"/>
          <w:szCs w:val="24"/>
          <w:lang w:val="en-GB"/>
        </w:rPr>
        <w:t xml:space="preserve"> and Battista, V. (2021) 'Individual identity and organizational control systems: A review and a new research agenda', Academy of Management Proceedings, 2021(1). </w:t>
      </w:r>
      <w:hyperlink r:id="R6744baa3921c4d3e">
        <w:r w:rsidRPr="2E53D9B2" w:rsidR="404AAE74">
          <w:rPr>
            <w:rStyle w:val="Hyperlink"/>
            <w:noProof w:val="0"/>
            <w:lang w:val="en-GB"/>
          </w:rPr>
          <w:t>https://doi.org/10.5465/AMBPP.2021.15250abstract⁠</w:t>
        </w:r>
      </w:hyperlink>
      <w:r w:rsidRPr="2E53D9B2" w:rsidR="404AAE74">
        <w:rPr>
          <w:rFonts w:ascii="Times New Roman" w:hAnsi="Times New Roman" w:eastAsia="Times New Roman" w:cs="Times New Roman"/>
          <w:noProof w:val="0"/>
          <w:sz w:val="24"/>
          <w:szCs w:val="24"/>
          <w:lang w:val="en-GB"/>
        </w:rPr>
        <w:t xml:space="preserve"> </w:t>
      </w:r>
    </w:p>
    <w:p w:rsidR="190AB7CC" w:rsidP="0A26D5AE" w:rsidRDefault="190AB7CC" w14:paraId="4B99477D" w14:textId="01B4515B">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Alvesson, M. and Willmott, H. (2002) ‘Identity regulation as organisational control: Producing the appropriate individual’, </w:t>
      </w:r>
      <w:r w:rsidRPr="0A26D5AE" w:rsidR="190AB7CC">
        <w:rPr>
          <w:rFonts w:ascii="Times New Roman" w:hAnsi="Times New Roman" w:eastAsia="Times New Roman" w:cs="Times New Roman"/>
          <w:i w:val="1"/>
          <w:iCs w:val="1"/>
          <w:noProof w:val="0"/>
          <w:sz w:val="24"/>
          <w:szCs w:val="24"/>
          <w:lang w:val="en-GB"/>
        </w:rPr>
        <w:t>Journal of Management Studies</w:t>
      </w:r>
      <w:r w:rsidRPr="0A26D5AE" w:rsidR="190AB7CC">
        <w:rPr>
          <w:rFonts w:ascii="Times New Roman" w:hAnsi="Times New Roman" w:eastAsia="Times New Roman" w:cs="Times New Roman"/>
          <w:noProof w:val="0"/>
          <w:sz w:val="24"/>
          <w:szCs w:val="24"/>
          <w:lang w:val="en-GB"/>
        </w:rPr>
        <w:t>, 39(5), pp. 619–644.</w:t>
      </w:r>
    </w:p>
    <w:p w:rsidR="190AB7CC" w:rsidP="0A26D5AE" w:rsidRDefault="190AB7CC" w14:paraId="46A9B0C6" w14:textId="46B4C03F">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Ashforth, B.E. and Mael, F. (1989) ‘Social identity theory and the organisation’, </w:t>
      </w:r>
      <w:r w:rsidRPr="0A26D5AE" w:rsidR="190AB7CC">
        <w:rPr>
          <w:rFonts w:ascii="Times New Roman" w:hAnsi="Times New Roman" w:eastAsia="Times New Roman" w:cs="Times New Roman"/>
          <w:i w:val="1"/>
          <w:iCs w:val="1"/>
          <w:noProof w:val="0"/>
          <w:sz w:val="24"/>
          <w:szCs w:val="24"/>
          <w:lang w:val="en-GB"/>
        </w:rPr>
        <w:t>Academy of Management Review</w:t>
      </w:r>
      <w:r w:rsidRPr="0A26D5AE" w:rsidR="190AB7CC">
        <w:rPr>
          <w:rFonts w:ascii="Times New Roman" w:hAnsi="Times New Roman" w:eastAsia="Times New Roman" w:cs="Times New Roman"/>
          <w:noProof w:val="0"/>
          <w:sz w:val="24"/>
          <w:szCs w:val="24"/>
          <w:lang w:val="en-GB"/>
        </w:rPr>
        <w:t>, 14(1), pp. 20–39.</w:t>
      </w:r>
    </w:p>
    <w:p w:rsidR="190AB7CC" w:rsidP="0A26D5AE" w:rsidRDefault="190AB7CC" w14:paraId="68156AB1" w14:textId="294065ED">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Avolio, B.J. and Gardner, W.L. (2005) ‘Authentic leadership development: Getting to the root of positive forms of leadership’, </w:t>
      </w:r>
      <w:r w:rsidRPr="0A26D5AE" w:rsidR="190AB7CC">
        <w:rPr>
          <w:rFonts w:ascii="Times New Roman" w:hAnsi="Times New Roman" w:eastAsia="Times New Roman" w:cs="Times New Roman"/>
          <w:i w:val="1"/>
          <w:iCs w:val="1"/>
          <w:noProof w:val="0"/>
          <w:sz w:val="24"/>
          <w:szCs w:val="24"/>
          <w:lang w:val="en-GB"/>
        </w:rPr>
        <w:t>The Leadership Quarterly</w:t>
      </w:r>
      <w:r w:rsidRPr="0A26D5AE" w:rsidR="190AB7CC">
        <w:rPr>
          <w:rFonts w:ascii="Times New Roman" w:hAnsi="Times New Roman" w:eastAsia="Times New Roman" w:cs="Times New Roman"/>
          <w:noProof w:val="0"/>
          <w:sz w:val="24"/>
          <w:szCs w:val="24"/>
          <w:lang w:val="en-GB"/>
        </w:rPr>
        <w:t>, 16(3), pp. 315–338.</w:t>
      </w:r>
    </w:p>
    <w:p w:rsidR="190AB7CC" w:rsidP="0A26D5AE" w:rsidRDefault="190AB7CC" w14:paraId="7640DBA4" w14:textId="2D31C4CC">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Bauer, T.N. (2010) </w:t>
      </w:r>
      <w:r w:rsidRPr="0A26D5AE" w:rsidR="190AB7CC">
        <w:rPr>
          <w:rFonts w:ascii="Times New Roman" w:hAnsi="Times New Roman" w:eastAsia="Times New Roman" w:cs="Times New Roman"/>
          <w:i w:val="1"/>
          <w:iCs w:val="1"/>
          <w:noProof w:val="0"/>
          <w:sz w:val="24"/>
          <w:szCs w:val="24"/>
          <w:lang w:val="en-GB"/>
        </w:rPr>
        <w:t>Onboarding New Employees: Maximizing Success</w:t>
      </w:r>
      <w:r w:rsidRPr="0A26D5AE" w:rsidR="190AB7CC">
        <w:rPr>
          <w:rFonts w:ascii="Times New Roman" w:hAnsi="Times New Roman" w:eastAsia="Times New Roman" w:cs="Times New Roman"/>
          <w:noProof w:val="0"/>
          <w:sz w:val="24"/>
          <w:szCs w:val="24"/>
          <w:lang w:val="en-GB"/>
        </w:rPr>
        <w:t>. Alexandria, VA: Society for Human Resource Management.</w:t>
      </w:r>
    </w:p>
    <w:p w:rsidR="190AB7CC" w:rsidP="0A26D5AE" w:rsidRDefault="190AB7CC" w14:paraId="54A51B3C" w14:textId="6C50624A">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Berg, J.M., Dutton, J.E. and Wrzesniewski, A. (2013) ‘Job crafting and meaningful work’, in Bakker, A.B. (ed.) </w:t>
      </w:r>
      <w:r w:rsidRPr="0A26D5AE" w:rsidR="190AB7CC">
        <w:rPr>
          <w:rFonts w:ascii="Times New Roman" w:hAnsi="Times New Roman" w:eastAsia="Times New Roman" w:cs="Times New Roman"/>
          <w:i w:val="1"/>
          <w:iCs w:val="1"/>
          <w:noProof w:val="0"/>
          <w:sz w:val="24"/>
          <w:szCs w:val="24"/>
          <w:lang w:val="en-GB"/>
        </w:rPr>
        <w:t>Advances in Positive Organizational Psychology</w:t>
      </w:r>
      <w:r w:rsidRPr="0A26D5AE" w:rsidR="190AB7CC">
        <w:rPr>
          <w:rFonts w:ascii="Times New Roman" w:hAnsi="Times New Roman" w:eastAsia="Times New Roman" w:cs="Times New Roman"/>
          <w:noProof w:val="0"/>
          <w:sz w:val="24"/>
          <w:szCs w:val="24"/>
          <w:lang w:val="en-GB"/>
        </w:rPr>
        <w:t>. Bingley: Emerald Group Publishing, pp. 81–104.</w:t>
      </w:r>
    </w:p>
    <w:p w:rsidR="190AB7CC" w:rsidP="0A26D5AE" w:rsidRDefault="190AB7CC" w14:paraId="19CA50C6" w14:textId="0C2F092E">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Blau, P.M. (1964) </w:t>
      </w:r>
      <w:r w:rsidRPr="0A26D5AE" w:rsidR="190AB7CC">
        <w:rPr>
          <w:rFonts w:ascii="Times New Roman" w:hAnsi="Times New Roman" w:eastAsia="Times New Roman" w:cs="Times New Roman"/>
          <w:i w:val="1"/>
          <w:iCs w:val="1"/>
          <w:noProof w:val="0"/>
          <w:sz w:val="24"/>
          <w:szCs w:val="24"/>
          <w:lang w:val="en-GB"/>
        </w:rPr>
        <w:t>Exchange and Power in Social Life</w:t>
      </w:r>
      <w:r w:rsidRPr="0A26D5AE" w:rsidR="190AB7CC">
        <w:rPr>
          <w:rFonts w:ascii="Times New Roman" w:hAnsi="Times New Roman" w:eastAsia="Times New Roman" w:cs="Times New Roman"/>
          <w:noProof w:val="0"/>
          <w:sz w:val="24"/>
          <w:szCs w:val="24"/>
          <w:lang w:val="en-GB"/>
        </w:rPr>
        <w:t>. New York: Wiley.</w:t>
      </w:r>
    </w:p>
    <w:p w:rsidR="190AB7CC" w:rsidP="0A26D5AE" w:rsidRDefault="190AB7CC" w14:paraId="47534449" w14:textId="5D472B44">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Boxall, P. and Purcell, J. (2016) </w:t>
      </w:r>
      <w:r w:rsidRPr="0A26D5AE" w:rsidR="190AB7CC">
        <w:rPr>
          <w:rFonts w:ascii="Times New Roman" w:hAnsi="Times New Roman" w:eastAsia="Times New Roman" w:cs="Times New Roman"/>
          <w:i w:val="1"/>
          <w:iCs w:val="1"/>
          <w:noProof w:val="0"/>
          <w:sz w:val="24"/>
          <w:szCs w:val="24"/>
          <w:lang w:val="en-GB"/>
        </w:rPr>
        <w:t>Strategy and Human Resource Management</w:t>
      </w:r>
      <w:r w:rsidRPr="0A26D5AE" w:rsidR="190AB7CC">
        <w:rPr>
          <w:rFonts w:ascii="Times New Roman" w:hAnsi="Times New Roman" w:eastAsia="Times New Roman" w:cs="Times New Roman"/>
          <w:noProof w:val="0"/>
          <w:sz w:val="24"/>
          <w:szCs w:val="24"/>
          <w:lang w:val="en-GB"/>
        </w:rPr>
        <w:t>. 4th edn. London: Palgrave Macmillan.</w:t>
      </w:r>
    </w:p>
    <w:p w:rsidR="190AB7CC" w:rsidP="0A26D5AE" w:rsidRDefault="190AB7CC" w14:paraId="75B64E45" w14:textId="278D0EBA">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CIPD (2024) </w:t>
      </w:r>
      <w:r w:rsidRPr="0A26D5AE" w:rsidR="190AB7CC">
        <w:rPr>
          <w:rFonts w:ascii="Times New Roman" w:hAnsi="Times New Roman" w:eastAsia="Times New Roman" w:cs="Times New Roman"/>
          <w:i w:val="1"/>
          <w:iCs w:val="1"/>
          <w:noProof w:val="0"/>
          <w:sz w:val="24"/>
          <w:szCs w:val="24"/>
          <w:lang w:val="en-GB"/>
        </w:rPr>
        <w:t>People Profession Survey 2024</w:t>
      </w:r>
      <w:r w:rsidRPr="0A26D5AE" w:rsidR="190AB7CC">
        <w:rPr>
          <w:rFonts w:ascii="Times New Roman" w:hAnsi="Times New Roman" w:eastAsia="Times New Roman" w:cs="Times New Roman"/>
          <w:noProof w:val="0"/>
          <w:sz w:val="24"/>
          <w:szCs w:val="24"/>
          <w:lang w:val="en-GB"/>
        </w:rPr>
        <w:t>. London: Chartered Institute of Personnel and Development.</w:t>
      </w:r>
    </w:p>
    <w:p w:rsidR="190AB7CC" w:rsidP="0A26D5AE" w:rsidRDefault="190AB7CC" w14:paraId="0577A2A1" w14:textId="18F5018A">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Deci, E.L. and Ryan, R.M. (2000) ‘The “what” and “why” of goal pursuits: Human needs and the self-determination of behaviour’, </w:t>
      </w:r>
      <w:r w:rsidRPr="0A26D5AE" w:rsidR="190AB7CC">
        <w:rPr>
          <w:rFonts w:ascii="Times New Roman" w:hAnsi="Times New Roman" w:eastAsia="Times New Roman" w:cs="Times New Roman"/>
          <w:i w:val="1"/>
          <w:iCs w:val="1"/>
          <w:noProof w:val="0"/>
          <w:sz w:val="24"/>
          <w:szCs w:val="24"/>
          <w:lang w:val="en-GB"/>
        </w:rPr>
        <w:t>Psychological Inquiry</w:t>
      </w:r>
      <w:r w:rsidRPr="0A26D5AE" w:rsidR="190AB7CC">
        <w:rPr>
          <w:rFonts w:ascii="Times New Roman" w:hAnsi="Times New Roman" w:eastAsia="Times New Roman" w:cs="Times New Roman"/>
          <w:noProof w:val="0"/>
          <w:sz w:val="24"/>
          <w:szCs w:val="24"/>
          <w:lang w:val="en-GB"/>
        </w:rPr>
        <w:t>, 11(4), pp. 227–268.</w:t>
      </w:r>
    </w:p>
    <w:p w:rsidR="190AB7CC" w:rsidP="0A26D5AE" w:rsidRDefault="190AB7CC" w14:paraId="6737F5E4" w14:textId="4250DBEE">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Deloitte (2024) </w:t>
      </w:r>
      <w:r w:rsidRPr="0A26D5AE" w:rsidR="190AB7CC">
        <w:rPr>
          <w:rFonts w:ascii="Times New Roman" w:hAnsi="Times New Roman" w:eastAsia="Times New Roman" w:cs="Times New Roman"/>
          <w:i w:val="1"/>
          <w:iCs w:val="1"/>
          <w:noProof w:val="0"/>
          <w:sz w:val="24"/>
          <w:szCs w:val="24"/>
          <w:lang w:val="en-GB"/>
        </w:rPr>
        <w:t>2024 Gen Z and Millennial Survey</w:t>
      </w:r>
      <w:r w:rsidRPr="0A26D5AE" w:rsidR="190AB7CC">
        <w:rPr>
          <w:rFonts w:ascii="Times New Roman" w:hAnsi="Times New Roman" w:eastAsia="Times New Roman" w:cs="Times New Roman"/>
          <w:noProof w:val="0"/>
          <w:sz w:val="24"/>
          <w:szCs w:val="24"/>
          <w:lang w:val="en-GB"/>
        </w:rPr>
        <w:t>. London: Deloitte.</w:t>
      </w:r>
    </w:p>
    <w:p w:rsidR="190AB7CC" w:rsidP="0A26D5AE" w:rsidRDefault="190AB7CC" w14:paraId="5F1F4F08" w14:textId="07647C57">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Edmondson, A.C. (1999) ‘Psychological safety and learning behaviour in work teams’, </w:t>
      </w:r>
      <w:r w:rsidRPr="0A26D5AE" w:rsidR="190AB7CC">
        <w:rPr>
          <w:rFonts w:ascii="Times New Roman" w:hAnsi="Times New Roman" w:eastAsia="Times New Roman" w:cs="Times New Roman"/>
          <w:i w:val="1"/>
          <w:iCs w:val="1"/>
          <w:noProof w:val="0"/>
          <w:sz w:val="24"/>
          <w:szCs w:val="24"/>
          <w:lang w:val="en-GB"/>
        </w:rPr>
        <w:t>Administrative Science Quarterly</w:t>
      </w:r>
      <w:r w:rsidRPr="0A26D5AE" w:rsidR="190AB7CC">
        <w:rPr>
          <w:rFonts w:ascii="Times New Roman" w:hAnsi="Times New Roman" w:eastAsia="Times New Roman" w:cs="Times New Roman"/>
          <w:noProof w:val="0"/>
          <w:sz w:val="24"/>
          <w:szCs w:val="24"/>
          <w:lang w:val="en-GB"/>
        </w:rPr>
        <w:t>, 44(2), pp. 350–383.</w:t>
      </w:r>
    </w:p>
    <w:p w:rsidR="190AB7CC" w:rsidP="0A26D5AE" w:rsidRDefault="190AB7CC" w14:paraId="2B34EC72" w14:textId="2831EB90">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Freeman, R.E. (1984) </w:t>
      </w:r>
      <w:r w:rsidRPr="0A26D5AE" w:rsidR="190AB7CC">
        <w:rPr>
          <w:rFonts w:ascii="Times New Roman" w:hAnsi="Times New Roman" w:eastAsia="Times New Roman" w:cs="Times New Roman"/>
          <w:i w:val="1"/>
          <w:iCs w:val="1"/>
          <w:noProof w:val="0"/>
          <w:sz w:val="24"/>
          <w:szCs w:val="24"/>
          <w:lang w:val="en-GB"/>
        </w:rPr>
        <w:t>Strategic Management: A Stakeholder Approach</w:t>
      </w:r>
      <w:r w:rsidRPr="0A26D5AE" w:rsidR="190AB7CC">
        <w:rPr>
          <w:rFonts w:ascii="Times New Roman" w:hAnsi="Times New Roman" w:eastAsia="Times New Roman" w:cs="Times New Roman"/>
          <w:noProof w:val="0"/>
          <w:sz w:val="24"/>
          <w:szCs w:val="24"/>
          <w:lang w:val="en-GB"/>
        </w:rPr>
        <w:t>. Boston: Pitman.</w:t>
      </w:r>
    </w:p>
    <w:p w:rsidR="190AB7CC" w:rsidP="0A26D5AE" w:rsidRDefault="190AB7CC" w14:paraId="10B4BEFE" w14:textId="2EAB56B8">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Hackman, J.R. and Oldham, G.R. (1976) ‘Motivation through the design of work: Test of a theory’, </w:t>
      </w:r>
      <w:r w:rsidRPr="0A26D5AE" w:rsidR="190AB7CC">
        <w:rPr>
          <w:rFonts w:ascii="Times New Roman" w:hAnsi="Times New Roman" w:eastAsia="Times New Roman" w:cs="Times New Roman"/>
          <w:i w:val="1"/>
          <w:iCs w:val="1"/>
          <w:noProof w:val="0"/>
          <w:sz w:val="24"/>
          <w:szCs w:val="24"/>
          <w:lang w:val="en-GB"/>
        </w:rPr>
        <w:t>Organizational Behavior and Human Performance</w:t>
      </w:r>
      <w:r w:rsidRPr="0A26D5AE" w:rsidR="190AB7CC">
        <w:rPr>
          <w:rFonts w:ascii="Times New Roman" w:hAnsi="Times New Roman" w:eastAsia="Times New Roman" w:cs="Times New Roman"/>
          <w:noProof w:val="0"/>
          <w:sz w:val="24"/>
          <w:szCs w:val="24"/>
          <w:lang w:val="en-GB"/>
        </w:rPr>
        <w:t>, 16(2), pp. 250–279.</w:t>
      </w:r>
    </w:p>
    <w:p w:rsidR="190AB7CC" w:rsidP="0A26D5AE" w:rsidRDefault="190AB7CC" w14:paraId="286747D7" w14:textId="188F0229">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Klein, H.J. and Polin, B. (2012) ‘Are organisations onboard with best practices onboarding?’, in </w:t>
      </w:r>
      <w:r w:rsidRPr="0A26D5AE" w:rsidR="190AB7CC">
        <w:rPr>
          <w:rFonts w:ascii="Times New Roman" w:hAnsi="Times New Roman" w:eastAsia="Times New Roman" w:cs="Times New Roman"/>
          <w:i w:val="1"/>
          <w:iCs w:val="1"/>
          <w:noProof w:val="0"/>
          <w:sz w:val="24"/>
          <w:szCs w:val="24"/>
          <w:lang w:val="en-GB"/>
        </w:rPr>
        <w:t>The Oxford Handbook of Organizational Socialization</w:t>
      </w:r>
      <w:r w:rsidRPr="0A26D5AE" w:rsidR="190AB7CC">
        <w:rPr>
          <w:rFonts w:ascii="Times New Roman" w:hAnsi="Times New Roman" w:eastAsia="Times New Roman" w:cs="Times New Roman"/>
          <w:noProof w:val="0"/>
          <w:sz w:val="24"/>
          <w:szCs w:val="24"/>
          <w:lang w:val="en-GB"/>
        </w:rPr>
        <w:t>. Oxford: Oxford University Press.</w:t>
      </w:r>
    </w:p>
    <w:p w:rsidR="190AB7CC" w:rsidP="0A26D5AE" w:rsidRDefault="190AB7CC" w14:paraId="543C5DB9" w14:textId="5CD26AC9">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Raisch, S. and Krakowski, S. (2021) ‘Artificial intelligence and management: The automation–augmentation paradox’, </w:t>
      </w:r>
      <w:r w:rsidRPr="0A26D5AE" w:rsidR="190AB7CC">
        <w:rPr>
          <w:rFonts w:ascii="Times New Roman" w:hAnsi="Times New Roman" w:eastAsia="Times New Roman" w:cs="Times New Roman"/>
          <w:i w:val="1"/>
          <w:iCs w:val="1"/>
          <w:noProof w:val="0"/>
          <w:sz w:val="24"/>
          <w:szCs w:val="24"/>
          <w:lang w:val="en-GB"/>
        </w:rPr>
        <w:t>Academy of Management Review</w:t>
      </w:r>
      <w:r w:rsidRPr="0A26D5AE" w:rsidR="190AB7CC">
        <w:rPr>
          <w:rFonts w:ascii="Times New Roman" w:hAnsi="Times New Roman" w:eastAsia="Times New Roman" w:cs="Times New Roman"/>
          <w:noProof w:val="0"/>
          <w:sz w:val="24"/>
          <w:szCs w:val="24"/>
          <w:lang w:val="en-GB"/>
        </w:rPr>
        <w:t>, 46(1), pp. 192–210.</w:t>
      </w:r>
    </w:p>
    <w:p w:rsidR="190AB7CC" w:rsidP="0A26D5AE" w:rsidRDefault="190AB7CC" w14:paraId="3DC3327E" w14:textId="34AFDC16">
      <w:pPr>
        <w:spacing w:before="240" w:beforeAutospacing="off" w:after="240" w:afterAutospacing="off"/>
      </w:pPr>
      <w:r w:rsidRPr="2E53D9B2" w:rsidR="190AB7CC">
        <w:rPr>
          <w:rFonts w:ascii="Times New Roman" w:hAnsi="Times New Roman" w:eastAsia="Times New Roman" w:cs="Times New Roman"/>
          <w:noProof w:val="0"/>
          <w:sz w:val="24"/>
          <w:szCs w:val="24"/>
          <w:lang w:val="en-GB"/>
        </w:rPr>
        <w:t xml:space="preserve">Rousseau, D.M. (1995) </w:t>
      </w:r>
      <w:r w:rsidRPr="2E53D9B2" w:rsidR="190AB7CC">
        <w:rPr>
          <w:rFonts w:ascii="Times New Roman" w:hAnsi="Times New Roman" w:eastAsia="Times New Roman" w:cs="Times New Roman"/>
          <w:i w:val="1"/>
          <w:iCs w:val="1"/>
          <w:noProof w:val="0"/>
          <w:sz w:val="24"/>
          <w:szCs w:val="24"/>
          <w:lang w:val="en-GB"/>
        </w:rPr>
        <w:t>Psychological Contracts in Organizations: Understanding Written and Unwritten Agreements</w:t>
      </w:r>
      <w:r w:rsidRPr="2E53D9B2" w:rsidR="190AB7CC">
        <w:rPr>
          <w:rFonts w:ascii="Times New Roman" w:hAnsi="Times New Roman" w:eastAsia="Times New Roman" w:cs="Times New Roman"/>
          <w:noProof w:val="0"/>
          <w:sz w:val="24"/>
          <w:szCs w:val="24"/>
          <w:lang w:val="en-GB"/>
        </w:rPr>
        <w:t>. Thousand Oaks, CA: Sage.</w:t>
      </w:r>
    </w:p>
    <w:p w:rsidR="5BCFDC73" w:rsidP="2E53D9B2" w:rsidRDefault="5BCFDC73" w14:paraId="7FE2CE00" w14:textId="05BB83EF">
      <w:pPr>
        <w:spacing w:before="240" w:beforeAutospacing="off" w:after="240" w:afterAutospacing="off"/>
        <w:rPr>
          <w:rFonts w:ascii="Times New Roman" w:hAnsi="Times New Roman" w:eastAsia="Times New Roman" w:cs="Times New Roman"/>
          <w:noProof w:val="0"/>
          <w:sz w:val="24"/>
          <w:szCs w:val="24"/>
          <w:lang w:val="en-GB"/>
        </w:rPr>
      </w:pPr>
      <w:r w:rsidRPr="2E53D9B2" w:rsidR="5BCFDC73">
        <w:rPr>
          <w:rFonts w:ascii="Times New Roman" w:hAnsi="Times New Roman" w:eastAsia="Times New Roman" w:cs="Times New Roman"/>
          <w:noProof w:val="0"/>
          <w:sz w:val="24"/>
          <w:szCs w:val="24"/>
          <w:lang w:val="en-GB"/>
        </w:rPr>
        <w:t xml:space="preserve">Schalk, R. and De Ruiter, M. (2020) Psychological Contracts and the Employment Relationship. Oxford Research </w:t>
      </w:r>
      <w:r w:rsidRPr="2E53D9B2" w:rsidR="5BCFDC73">
        <w:rPr>
          <w:rFonts w:ascii="Times New Roman" w:hAnsi="Times New Roman" w:eastAsia="Times New Roman" w:cs="Times New Roman"/>
          <w:noProof w:val="0"/>
          <w:sz w:val="24"/>
          <w:szCs w:val="24"/>
          <w:lang w:val="en-GB"/>
        </w:rPr>
        <w:t>Encyclopedia</w:t>
      </w:r>
      <w:r w:rsidRPr="2E53D9B2" w:rsidR="5BCFDC73">
        <w:rPr>
          <w:rFonts w:ascii="Times New Roman" w:hAnsi="Times New Roman" w:eastAsia="Times New Roman" w:cs="Times New Roman"/>
          <w:noProof w:val="0"/>
          <w:sz w:val="24"/>
          <w:szCs w:val="24"/>
          <w:lang w:val="en-GB"/>
        </w:rPr>
        <w:t xml:space="preserve"> of Psychology. Oxford University Press. </w:t>
      </w:r>
      <w:hyperlink r:id="R82f5bbf196db468d">
        <w:r w:rsidRPr="2E53D9B2" w:rsidR="5BCFDC73">
          <w:rPr>
            <w:rStyle w:val="Hyperlink"/>
            <w:noProof w:val="0"/>
            <w:lang w:val="en-GB"/>
          </w:rPr>
          <w:t>https://doi.org/10.1093/acrefore/9780190236557.013.556⁠</w:t>
        </w:r>
      </w:hyperlink>
    </w:p>
    <w:p w:rsidR="190AB7CC" w:rsidP="0A26D5AE" w:rsidRDefault="190AB7CC" w14:paraId="693BBC44" w14:textId="6702CE5D">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Ulrich, D., Younger, J., Brockbank, W. and Ulrich, M. (2013) </w:t>
      </w:r>
      <w:r w:rsidRPr="0A26D5AE" w:rsidR="190AB7CC">
        <w:rPr>
          <w:rFonts w:ascii="Times New Roman" w:hAnsi="Times New Roman" w:eastAsia="Times New Roman" w:cs="Times New Roman"/>
          <w:i w:val="1"/>
          <w:iCs w:val="1"/>
          <w:noProof w:val="0"/>
          <w:sz w:val="24"/>
          <w:szCs w:val="24"/>
          <w:lang w:val="en-GB"/>
        </w:rPr>
        <w:t>HR Competencies: Mastery at the Intersection of People and Business</w:t>
      </w:r>
      <w:r w:rsidRPr="0A26D5AE" w:rsidR="190AB7CC">
        <w:rPr>
          <w:rFonts w:ascii="Times New Roman" w:hAnsi="Times New Roman" w:eastAsia="Times New Roman" w:cs="Times New Roman"/>
          <w:noProof w:val="0"/>
          <w:sz w:val="24"/>
          <w:szCs w:val="24"/>
          <w:lang w:val="en-GB"/>
        </w:rPr>
        <w:t>. Alexandria, VA: Society for Human Resource Management.</w:t>
      </w:r>
    </w:p>
    <w:p w:rsidR="190AB7CC" w:rsidP="0A26D5AE" w:rsidRDefault="190AB7CC" w14:paraId="5AA35BA4" w14:textId="385382DF">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Van Maanen, J. and Schein, E.H. (1979) ‘Toward a theory of organisational socialisation’, in Staw, B.M. (ed.) </w:t>
      </w:r>
      <w:r w:rsidRPr="0A26D5AE" w:rsidR="190AB7CC">
        <w:rPr>
          <w:rFonts w:ascii="Times New Roman" w:hAnsi="Times New Roman" w:eastAsia="Times New Roman" w:cs="Times New Roman"/>
          <w:i w:val="1"/>
          <w:iCs w:val="1"/>
          <w:noProof w:val="0"/>
          <w:sz w:val="24"/>
          <w:szCs w:val="24"/>
          <w:lang w:val="en-GB"/>
        </w:rPr>
        <w:t>Research in Organizational Behavior</w:t>
      </w:r>
      <w:r w:rsidRPr="0A26D5AE" w:rsidR="190AB7CC">
        <w:rPr>
          <w:rFonts w:ascii="Times New Roman" w:hAnsi="Times New Roman" w:eastAsia="Times New Roman" w:cs="Times New Roman"/>
          <w:noProof w:val="0"/>
          <w:sz w:val="24"/>
          <w:szCs w:val="24"/>
          <w:lang w:val="en-GB"/>
        </w:rPr>
        <w:t>. Greenwich, CT: JAI Press, pp. 209–264.</w:t>
      </w:r>
    </w:p>
    <w:p w:rsidR="190AB7CC" w:rsidP="0A26D5AE" w:rsidRDefault="190AB7CC" w14:paraId="6CC7A560" w14:textId="5B253A68">
      <w:pPr>
        <w:spacing w:before="240" w:beforeAutospacing="off" w:after="240" w:afterAutospacing="off"/>
        <w:rPr>
          <w:rFonts w:ascii="Times New Roman" w:hAnsi="Times New Roman" w:eastAsia="Times New Roman" w:cs="Times New Roman"/>
          <w:noProof w:val="0"/>
          <w:sz w:val="24"/>
          <w:szCs w:val="24"/>
          <w:lang w:val="en-GB"/>
        </w:rPr>
      </w:pPr>
      <w:r w:rsidRPr="0A26D5AE" w:rsidR="190AB7CC">
        <w:rPr>
          <w:rFonts w:ascii="Times New Roman" w:hAnsi="Times New Roman" w:eastAsia="Times New Roman" w:cs="Times New Roman"/>
          <w:noProof w:val="0"/>
          <w:sz w:val="24"/>
          <w:szCs w:val="24"/>
          <w:lang w:val="en-GB"/>
        </w:rPr>
        <w:t xml:space="preserve">World Economic Forum (2023) </w:t>
      </w:r>
      <w:r w:rsidRPr="0A26D5AE" w:rsidR="190AB7CC">
        <w:rPr>
          <w:rFonts w:ascii="Times New Roman" w:hAnsi="Times New Roman" w:eastAsia="Times New Roman" w:cs="Times New Roman"/>
          <w:i w:val="1"/>
          <w:iCs w:val="1"/>
          <w:noProof w:val="0"/>
          <w:sz w:val="24"/>
          <w:szCs w:val="24"/>
          <w:lang w:val="en-GB"/>
        </w:rPr>
        <w:t>The Future of Jobs Report 2023</w:t>
      </w:r>
      <w:r w:rsidRPr="0A26D5AE" w:rsidR="190AB7CC">
        <w:rPr>
          <w:rFonts w:ascii="Times New Roman" w:hAnsi="Times New Roman" w:eastAsia="Times New Roman" w:cs="Times New Roman"/>
          <w:noProof w:val="0"/>
          <w:sz w:val="24"/>
          <w:szCs w:val="24"/>
          <w:lang w:val="en-GB"/>
        </w:rPr>
        <w:t>. Geneva: World Economic Forum.</w:t>
      </w:r>
    </w:p>
    <w:p w:rsidR="190AB7CC" w:rsidP="0A26D5AE" w:rsidRDefault="190AB7CC" w14:paraId="4893584C" w14:textId="23ECE793">
      <w:pPr>
        <w:spacing w:before="240" w:beforeAutospacing="off" w:after="240" w:afterAutospacing="off"/>
      </w:pPr>
      <w:r w:rsidRPr="0A26D5AE" w:rsidR="190AB7CC">
        <w:rPr>
          <w:rFonts w:ascii="Times New Roman" w:hAnsi="Times New Roman" w:eastAsia="Times New Roman" w:cs="Times New Roman"/>
          <w:noProof w:val="0"/>
          <w:sz w:val="24"/>
          <w:szCs w:val="24"/>
          <w:lang w:val="en-GB"/>
        </w:rPr>
        <w:t xml:space="preserve">Wrzesniewski, A. and Dutton, J.E. (2001) ‘Crafting a job: Revisioning employees as active crafters of their work’, </w:t>
      </w:r>
      <w:r w:rsidRPr="0A26D5AE" w:rsidR="190AB7CC">
        <w:rPr>
          <w:rFonts w:ascii="Times New Roman" w:hAnsi="Times New Roman" w:eastAsia="Times New Roman" w:cs="Times New Roman"/>
          <w:i w:val="1"/>
          <w:iCs w:val="1"/>
          <w:noProof w:val="0"/>
          <w:sz w:val="24"/>
          <w:szCs w:val="24"/>
          <w:lang w:val="en-GB"/>
        </w:rPr>
        <w:t>Academy of Management Review</w:t>
      </w:r>
      <w:r w:rsidRPr="0A26D5AE" w:rsidR="190AB7CC">
        <w:rPr>
          <w:rFonts w:ascii="Times New Roman" w:hAnsi="Times New Roman" w:eastAsia="Times New Roman" w:cs="Times New Roman"/>
          <w:noProof w:val="0"/>
          <w:sz w:val="24"/>
          <w:szCs w:val="24"/>
          <w:lang w:val="en-GB"/>
        </w:rPr>
        <w:t>, 26(2), pp. 179–201.</w:t>
      </w:r>
    </w:p>
    <w:p w:rsidR="0A26D5AE" w:rsidRDefault="0A26D5AE" w14:paraId="54FF73E6" w14:textId="64D4C798"/>
    <w:p w:rsidR="0A26D5AE" w:rsidP="0A26D5AE" w:rsidRDefault="0A26D5AE" w14:paraId="31083390" w14:textId="3A2BABD2">
      <w:pPr>
        <w:pStyle w:val="Normal"/>
        <w:spacing w:before="240" w:beforeAutospacing="off" w:after="240" w:afterAutospacing="off"/>
        <w:rPr>
          <w:rFonts w:ascii="Aptos" w:hAnsi="Aptos" w:eastAsia="Aptos" w:cs="Aptos"/>
          <w:noProof w:val="0"/>
          <w:sz w:val="24"/>
          <w:szCs w:val="24"/>
          <w:lang w:val="en-GB"/>
        </w:rPr>
      </w:pPr>
    </w:p>
    <w:p w:rsidR="0A26D5AE" w:rsidRDefault="0A26D5AE" w14:paraId="39470A0A" w14:textId="544C96DB"/>
    <w:p w:rsidR="0A26D5AE" w:rsidRDefault="0A26D5AE" w14:paraId="3AACCB73" w14:textId="3D5084EE"/>
    <w:p w:rsidR="0A26D5AE" w:rsidP="0A26D5AE" w:rsidRDefault="0A26D5AE" w14:paraId="7BAF9C8A" w14:textId="0AEAC6C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5f1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7cfb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d35a2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630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a694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038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E44D38"/>
    <w:rsid w:val="005E5EEE"/>
    <w:rsid w:val="0093CA2B"/>
    <w:rsid w:val="022DA511"/>
    <w:rsid w:val="027CAFEE"/>
    <w:rsid w:val="02D8AC91"/>
    <w:rsid w:val="03156988"/>
    <w:rsid w:val="035F69D1"/>
    <w:rsid w:val="06E9E0F9"/>
    <w:rsid w:val="078AA3BB"/>
    <w:rsid w:val="0A26D5AE"/>
    <w:rsid w:val="0A5FB877"/>
    <w:rsid w:val="0AF18D2F"/>
    <w:rsid w:val="105AD9D1"/>
    <w:rsid w:val="118BDDE8"/>
    <w:rsid w:val="146CABCF"/>
    <w:rsid w:val="16307FE5"/>
    <w:rsid w:val="17B5C9D1"/>
    <w:rsid w:val="190AB7CC"/>
    <w:rsid w:val="1921A014"/>
    <w:rsid w:val="1AD28C3E"/>
    <w:rsid w:val="1BB1EDA2"/>
    <w:rsid w:val="1C099994"/>
    <w:rsid w:val="1CF6FC56"/>
    <w:rsid w:val="242F98D6"/>
    <w:rsid w:val="2560F4C6"/>
    <w:rsid w:val="25D5FEB5"/>
    <w:rsid w:val="26D34333"/>
    <w:rsid w:val="29FADAD6"/>
    <w:rsid w:val="2A755CBA"/>
    <w:rsid w:val="2B4E2B39"/>
    <w:rsid w:val="2BB83C6F"/>
    <w:rsid w:val="2D207A92"/>
    <w:rsid w:val="2E07F13D"/>
    <w:rsid w:val="2E2210EE"/>
    <w:rsid w:val="2E53D9B2"/>
    <w:rsid w:val="35D7E568"/>
    <w:rsid w:val="36A82FEE"/>
    <w:rsid w:val="3B655170"/>
    <w:rsid w:val="3C057503"/>
    <w:rsid w:val="404AAE74"/>
    <w:rsid w:val="426BA115"/>
    <w:rsid w:val="469B822A"/>
    <w:rsid w:val="46C171C8"/>
    <w:rsid w:val="46C5B7FA"/>
    <w:rsid w:val="46E44D38"/>
    <w:rsid w:val="47AA0191"/>
    <w:rsid w:val="4A4838D0"/>
    <w:rsid w:val="4A78FA75"/>
    <w:rsid w:val="4C86090E"/>
    <w:rsid w:val="504E6341"/>
    <w:rsid w:val="50685D1A"/>
    <w:rsid w:val="51B80FD1"/>
    <w:rsid w:val="53217415"/>
    <w:rsid w:val="5412DA81"/>
    <w:rsid w:val="5439EF7B"/>
    <w:rsid w:val="56320AAD"/>
    <w:rsid w:val="569ABB96"/>
    <w:rsid w:val="5AFCE576"/>
    <w:rsid w:val="5BCFDC73"/>
    <w:rsid w:val="5EB96488"/>
    <w:rsid w:val="5F48357B"/>
    <w:rsid w:val="61B2AF27"/>
    <w:rsid w:val="62BB17FE"/>
    <w:rsid w:val="62C1470F"/>
    <w:rsid w:val="64892D1A"/>
    <w:rsid w:val="64EEAEEC"/>
    <w:rsid w:val="6844C761"/>
    <w:rsid w:val="6A92FEA2"/>
    <w:rsid w:val="6B8D606E"/>
    <w:rsid w:val="6D01B60B"/>
    <w:rsid w:val="6FED4E2F"/>
    <w:rsid w:val="715CE30F"/>
    <w:rsid w:val="76A55FEF"/>
    <w:rsid w:val="79C8CE09"/>
    <w:rsid w:val="7E1ECFF4"/>
    <w:rsid w:val="7FA97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C3579"/>
  <w15:chartTrackingRefBased/>
  <w15:docId w15:val="{990659DF-88C3-4880-86FD-02A3C044B2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uiPriority w:val="39"/>
    <w:name w:val="toc 1"/>
    <w:basedOn w:val="Normal"/>
    <w:next w:val="Normal"/>
    <w:unhideWhenUsed/>
    <w:rsid w:val="0A26D5AE"/>
    <w:pPr>
      <w:spacing w:after="100"/>
    </w:pPr>
  </w:style>
  <w:style w:type="paragraph" w:styleId="Heading1">
    <w:uiPriority w:val="9"/>
    <w:name w:val="heading 1"/>
    <w:basedOn w:val="Normal"/>
    <w:next w:val="Normal"/>
    <w:qFormat/>
    <w:rsid w:val="0A26D5A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A26D5A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A26D5AE"/>
    <w:pPr>
      <w:spacing/>
      <w:ind w:left="720"/>
      <w:contextualSpacing/>
    </w:pPr>
  </w:style>
  <w:style w:type="paragraph" w:styleId="Heading3">
    <w:uiPriority w:val="9"/>
    <w:name w:val="heading 3"/>
    <w:basedOn w:val="Normal"/>
    <w:next w:val="Normal"/>
    <w:unhideWhenUsed/>
    <w:qFormat/>
    <w:rsid w:val="0A26D5A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A26D5AE"/>
    <w:rPr>
      <w:color w:val="467886"/>
      <w:u w:val="single"/>
    </w:rPr>
  </w:style>
  <w:style w:type="paragraph" w:styleId="TOC2">
    <w:uiPriority w:val="39"/>
    <w:name w:val="toc 2"/>
    <w:basedOn w:val="Normal"/>
    <w:next w:val="Normal"/>
    <w:unhideWhenUsed/>
    <w:rsid w:val="0A26D5AE"/>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9adaed9e03544f4" /><Relationship Type="http://schemas.openxmlformats.org/officeDocument/2006/relationships/image" Target="/media/image.jpg" Id="rId1347667794" /><Relationship Type="http://schemas.openxmlformats.org/officeDocument/2006/relationships/hyperlink" Target="https://doi.org/10.5465/AMBPP.2021.15250abstract&#8288;" TargetMode="External" Id="R6744baa3921c4d3e" /><Relationship Type="http://schemas.openxmlformats.org/officeDocument/2006/relationships/hyperlink" Target="https://doi.org/10.1093/acrefore/9780190236557.013.556&#8288;&#65533;" TargetMode="External" Id="R82f5bbf196db46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Armands Putersevics (2242532)</dc:creator>
  <keywords/>
  <dc:description/>
  <lastModifiedBy>Armands Putersevics (2242532)</lastModifiedBy>
  <revision>4</revision>
  <dcterms:created xsi:type="dcterms:W3CDTF">2026-07-03T13:17:55.1560472Z</dcterms:created>
  <dcterms:modified xsi:type="dcterms:W3CDTF">2026-07-14T11:59:30.6759105Z</dcterms:modified>
</coreProperties>
</file>