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96F6D" w:rsidR="008618F2" w:rsidP="5374D737" w:rsidRDefault="008618F2" w14:paraId="1BD02366" w14:textId="45ED56CC">
      <w:pPr>
        <w:jc w:val="center"/>
        <w:rPr>
          <w:rFonts w:ascii="Times New Roman" w:hAnsi="Times New Roman" w:cs="Times New Roman" w:asciiTheme="majorBidi" w:hAnsiTheme="majorBidi" w:cstheme="majorBidi"/>
          <w:b w:val="1"/>
          <w:bCs w:val="1"/>
          <w:color w:val="000000" w:themeColor="text1" w:themeTint="FF" w:themeShade="FF"/>
          <w:lang w:eastAsia="en-GB"/>
        </w:rPr>
      </w:pPr>
    </w:p>
    <w:p w:rsidRPr="00996F6D" w:rsidR="008618F2" w:rsidP="5374D737" w:rsidRDefault="008618F2" w14:paraId="12F9891F" w14:textId="1D232C99">
      <w:pPr>
        <w:pStyle w:val="Normal"/>
        <w:jc w:val="both"/>
        <w:rPr>
          <w:rFonts w:ascii="Times New Roman" w:hAnsi="Times New Roman" w:cs="Times New Roman" w:asciiTheme="majorBidi" w:hAnsiTheme="majorBidi" w:cstheme="majorBidi"/>
          <w:b w:val="1"/>
          <w:bCs w:val="1"/>
          <w:i w:val="1"/>
          <w:iCs w:val="1"/>
          <w:color w:val="000000" w:themeColor="text1" w:themeTint="FF" w:themeShade="FF"/>
          <w:lang w:eastAsia="en-GB"/>
        </w:rPr>
      </w:pPr>
      <w:r w:rsidRPr="5374D737" w:rsidR="1606896A">
        <w:rPr>
          <w:rFonts w:ascii="Times New Roman" w:hAnsi="Times New Roman" w:cs="Times New Roman" w:asciiTheme="majorBidi" w:hAnsiTheme="majorBidi" w:cstheme="majorBidi"/>
          <w:b w:val="1"/>
          <w:bCs w:val="1"/>
          <w:i w:val="1"/>
          <w:iCs w:val="1"/>
          <w:color w:val="000000" w:themeColor="text1" w:themeTint="FF" w:themeShade="FF"/>
          <w:lang w:eastAsia="en-GB"/>
        </w:rPr>
        <w:t xml:space="preserve">University of Wales Trinity Saint David MBA 2025-26 </w:t>
      </w:r>
    </w:p>
    <w:p w:rsidRPr="00996F6D" w:rsidR="008618F2" w:rsidP="5374D737" w:rsidRDefault="008618F2" w14:paraId="2C576E52" w14:textId="15A418E4">
      <w:pPr>
        <w:pStyle w:val="Normal"/>
        <w:jc w:val="both"/>
        <w:rPr>
          <w:rFonts w:ascii="Times New Roman" w:hAnsi="Times New Roman" w:cs="Times New Roman" w:asciiTheme="majorBidi" w:hAnsiTheme="majorBidi" w:cstheme="majorBidi"/>
          <w:b w:val="1"/>
          <w:bCs w:val="1"/>
          <w:color w:val="000000" w:themeColor="text1" w:themeTint="FF" w:themeShade="FF"/>
          <w:lang w:eastAsia="en-GB"/>
        </w:rPr>
      </w:pPr>
      <w:r w:rsidRPr="5374D737" w:rsidR="1606896A">
        <w:rPr>
          <w:rFonts w:ascii="Times New Roman" w:hAnsi="Times New Roman" w:cs="Times New Roman" w:asciiTheme="majorBidi" w:hAnsiTheme="majorBidi" w:cstheme="majorBidi"/>
          <w:b w:val="1"/>
          <w:bCs w:val="1"/>
          <w:color w:val="000000" w:themeColor="text1" w:themeTint="FF" w:themeShade="FF"/>
          <w:lang w:eastAsia="en-GB"/>
        </w:rPr>
        <w:t xml:space="preserve">Institute of Management &amp; Health </w:t>
      </w:r>
      <w:r w:rsidRPr="5374D737" w:rsidR="493A2859">
        <w:rPr>
          <w:rFonts w:ascii="Times New Roman" w:hAnsi="Times New Roman" w:eastAsia="Times New Roman" w:cs="Times New Roman"/>
          <w:noProof w:val="0"/>
          <w:sz w:val="24"/>
          <w:szCs w:val="24"/>
          <w:lang w:val="en-GB"/>
        </w:rPr>
        <w:t>(IMH), Swansea,</w:t>
      </w:r>
      <w:r w:rsidRPr="5374D737" w:rsidR="1606896A">
        <w:rPr>
          <w:rFonts w:ascii="Times New Roman" w:hAnsi="Times New Roman" w:cs="Times New Roman" w:asciiTheme="majorBidi" w:hAnsiTheme="majorBidi" w:cstheme="majorBidi"/>
          <w:b w:val="1"/>
          <w:bCs w:val="1"/>
          <w:color w:val="000000" w:themeColor="text1" w:themeTint="FF" w:themeShade="FF"/>
          <w:lang w:eastAsia="en-GB"/>
        </w:rPr>
        <w:t xml:space="preserve"> United Kingdom</w:t>
      </w:r>
    </w:p>
    <w:p w:rsidRPr="00996F6D" w:rsidR="008618F2" w:rsidP="5374D737" w:rsidRDefault="008618F2" w14:paraId="592E5B2A" w14:textId="24B2CC91">
      <w:pPr>
        <w:jc w:val="both"/>
        <w:rPr>
          <w:rFonts w:ascii="Times New Roman" w:hAnsi="Times New Roman" w:cs="Times New Roman" w:asciiTheme="majorBidi" w:hAnsiTheme="majorBidi" w:cstheme="majorBidi"/>
          <w:b w:val="1"/>
          <w:bCs w:val="1"/>
          <w:color w:val="000000" w:themeColor="text1" w:themeTint="FF" w:themeShade="FF"/>
          <w:lang w:eastAsia="en-GB"/>
        </w:rPr>
      </w:pPr>
    </w:p>
    <w:p w:rsidRPr="00996F6D" w:rsidR="008618F2" w:rsidP="5374D737" w:rsidRDefault="008618F2" w14:paraId="236C0385" w14:textId="088165D6">
      <w:pPr>
        <w:pStyle w:val="Normal"/>
        <w:jc w:val="both"/>
        <w:rPr>
          <w:rFonts w:ascii="Times New Roman" w:hAnsi="Times New Roman" w:cs="Times New Roman" w:asciiTheme="majorBidi" w:hAnsiTheme="majorBidi" w:cstheme="majorBidi"/>
          <w:b w:val="1"/>
          <w:bCs w:val="1"/>
          <w:color w:val="000000" w:themeColor="text1" w:themeTint="FF" w:themeShade="FF"/>
          <w:lang w:eastAsia="en-GB"/>
        </w:rPr>
      </w:pPr>
      <w:r w:rsidRPr="5374D737" w:rsidR="1606896A">
        <w:rPr>
          <w:rFonts w:ascii="Times New Roman" w:hAnsi="Times New Roman" w:cs="Times New Roman" w:asciiTheme="majorBidi" w:hAnsiTheme="majorBidi" w:cstheme="majorBidi"/>
          <w:b w:val="1"/>
          <w:bCs w:val="1"/>
          <w:color w:val="000000" w:themeColor="text1" w:themeTint="FF" w:themeShade="FF"/>
          <w:lang w:eastAsia="en-GB"/>
        </w:rPr>
        <w:t>Student Name; - Mohmmad Rahil Aabidhussain Vahora</w:t>
      </w:r>
    </w:p>
    <w:p w:rsidRPr="00996F6D" w:rsidR="008618F2" w:rsidP="5374D737" w:rsidRDefault="008618F2" w14:paraId="29406F9A" w14:textId="53BA7C9F">
      <w:pPr>
        <w:pStyle w:val="Normal"/>
        <w:jc w:val="both"/>
        <w:rPr>
          <w:rFonts w:ascii="Times New Roman" w:hAnsi="Times New Roman" w:cs="Times New Roman" w:asciiTheme="majorBidi" w:hAnsiTheme="majorBidi" w:cstheme="majorBidi"/>
          <w:b w:val="1"/>
          <w:bCs w:val="1"/>
          <w:color w:val="000000" w:themeColor="text1" w:themeTint="FF" w:themeShade="FF"/>
          <w:lang w:eastAsia="en-GB"/>
        </w:rPr>
      </w:pPr>
      <w:r w:rsidRPr="5374D737" w:rsidR="1606896A">
        <w:rPr>
          <w:rFonts w:ascii="Times New Roman" w:hAnsi="Times New Roman" w:cs="Times New Roman" w:asciiTheme="majorBidi" w:hAnsiTheme="majorBidi" w:cstheme="majorBidi"/>
          <w:b w:val="1"/>
          <w:bCs w:val="1"/>
          <w:color w:val="000000" w:themeColor="text1" w:themeTint="FF" w:themeShade="FF"/>
          <w:lang w:eastAsia="en-GB"/>
        </w:rPr>
        <w:t xml:space="preserve">Student </w:t>
      </w:r>
      <w:r w:rsidRPr="5374D737" w:rsidR="1606896A">
        <w:rPr>
          <w:rFonts w:ascii="Times New Roman" w:hAnsi="Times New Roman" w:cs="Times New Roman" w:asciiTheme="majorBidi" w:hAnsiTheme="majorBidi" w:cstheme="majorBidi"/>
          <w:b w:val="1"/>
          <w:bCs w:val="1"/>
          <w:color w:val="000000" w:themeColor="text1" w:themeTint="FF" w:themeShade="FF"/>
          <w:lang w:eastAsia="en-GB"/>
        </w:rPr>
        <w:t>ID:-</w:t>
      </w:r>
      <w:r w:rsidRPr="5374D737" w:rsidR="1606896A">
        <w:rPr>
          <w:rFonts w:ascii="Times New Roman" w:hAnsi="Times New Roman" w:cs="Times New Roman" w:asciiTheme="majorBidi" w:hAnsiTheme="majorBidi" w:cstheme="majorBidi"/>
          <w:b w:val="1"/>
          <w:bCs w:val="1"/>
          <w:color w:val="000000" w:themeColor="text1" w:themeTint="FF" w:themeShade="FF"/>
          <w:lang w:eastAsia="en-GB"/>
        </w:rPr>
        <w:t xml:space="preserve"> 2508046</w:t>
      </w:r>
    </w:p>
    <w:p w:rsidRPr="00996F6D" w:rsidR="008618F2" w:rsidP="5374D737" w:rsidRDefault="008618F2" w14:paraId="22B3EDED" w14:textId="6CB5A301">
      <w:pPr>
        <w:jc w:val="both"/>
        <w:rPr>
          <w:rFonts w:ascii="Times New Roman" w:hAnsi="Times New Roman" w:cs="Times New Roman" w:asciiTheme="majorBidi" w:hAnsiTheme="majorBidi" w:cstheme="majorBidi"/>
          <w:b w:val="1"/>
          <w:bCs w:val="1"/>
          <w:color w:val="000000" w:themeColor="text1" w:themeTint="FF" w:themeShade="FF"/>
          <w:lang w:eastAsia="en-GB"/>
        </w:rPr>
      </w:pPr>
    </w:p>
    <w:p w:rsidRPr="00996F6D" w:rsidR="008618F2" w:rsidP="5374D737" w:rsidRDefault="008618F2" w14:paraId="0DD7DEA2" w14:textId="2EB8FA1D">
      <w:pPr>
        <w:pStyle w:val="Normal"/>
        <w:jc w:val="both"/>
        <w:rPr>
          <w:rFonts w:ascii="Times New Roman" w:hAnsi="Times New Roman" w:cs="Times New Roman" w:asciiTheme="majorBidi" w:hAnsiTheme="majorBidi" w:cstheme="majorBidi"/>
          <w:b w:val="1"/>
          <w:bCs w:val="1"/>
          <w:i w:val="1"/>
          <w:iCs w:val="1"/>
          <w:color w:val="000000" w:themeColor="text1"/>
          <w:lang w:eastAsia="en-GB"/>
        </w:rPr>
      </w:pPr>
      <w:bookmarkStart w:name="_Toc227383791" w:id="0"/>
      <w:r w:rsidRPr="5374D737" w:rsidR="008618F2">
        <w:rPr>
          <w:rFonts w:ascii="Times New Roman" w:hAnsi="Times New Roman" w:cs="Times New Roman" w:asciiTheme="majorBidi" w:hAnsiTheme="majorBidi" w:cstheme="majorBidi"/>
          <w:b w:val="1"/>
          <w:bCs w:val="1"/>
          <w:i w:val="1"/>
          <w:iCs w:val="1"/>
          <w:color w:val="000000" w:themeColor="text1" w:themeTint="FF" w:themeShade="FF"/>
          <w:lang w:eastAsia="en-GB"/>
        </w:rPr>
        <w:t>Artificial Intelligence and Risk Management in Global Business:</w:t>
      </w:r>
      <w:bookmarkEnd w:id="0"/>
    </w:p>
    <w:p w:rsidR="007F4641" w:rsidP="5374D737" w:rsidRDefault="008618F2" w14:paraId="2D84B562" w14:textId="26C37C56">
      <w:pPr>
        <w:pStyle w:val="Normal"/>
        <w:spacing w:before="100" w:beforeAutospacing="on" w:after="100" w:afterAutospacing="on" w:line="240" w:lineRule="auto"/>
        <w:jc w:val="both"/>
        <w:rPr>
          <w:rFonts w:ascii="Times New Roman" w:hAnsi="Times New Roman" w:eastAsia="Times New Roman" w:cs="Times New Roman"/>
          <w:i w:val="1"/>
          <w:iCs w:val="1"/>
          <w:lang w:eastAsia="en-GB"/>
          <w14:ligatures w14:val="none"/>
        </w:rPr>
      </w:pPr>
      <w:r w:rsidRPr="5374D737" w:rsidR="008618F2">
        <w:rPr>
          <w:rFonts w:ascii="Times New Roman" w:hAnsi="Times New Roman" w:eastAsia="Times New Roman" w:cs="Times New Roman"/>
          <w:i w:val="1"/>
          <w:iCs w:val="1"/>
          <w:lang w:eastAsia="en-GB"/>
          <w14:ligatures w14:val="none"/>
        </w:rPr>
        <w:t>A Strategic Analysis of Tesla Inc. in the United Kingdom and China</w:t>
      </w:r>
    </w:p>
    <w:p w:rsidRPr="00996F6D" w:rsidR="007F4641" w:rsidP="5374D737" w:rsidRDefault="007F4641" w14:paraId="5DA69A31" w14:textId="4B939481">
      <w:pPr>
        <w:pStyle w:val="Normal"/>
        <w:spacing w:line="360" w:lineRule="auto"/>
        <w:jc w:val="both"/>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br w:type="page"/>
      </w:r>
      <w:r w:rsidRPr="002B0654" w:rsidR="007F4641">
        <w:rPr>
          <w:rFonts w:ascii="Times New Roman" w:hAnsi="Times New Roman" w:eastAsia="Times New Roman" w:cs="Times New Roman"/>
          <w:b w:val="1"/>
          <w:bCs w:val="1"/>
          <w:lang w:eastAsia="en-GB"/>
          <w14:ligatures w14:val="none"/>
        </w:rPr>
        <w:t>Executive Summary</w:t>
      </w:r>
    </w:p>
    <w:p w:rsidRPr="00996F6D" w:rsidR="00996F6D" w:rsidP="002145DA" w:rsidRDefault="00996F6D" w14:paraId="611756B9" w14:textId="77777777">
      <w:pPr>
        <w:spacing w:before="100" w:beforeAutospacing="1" w:after="100" w:afterAutospacing="1" w:line="360" w:lineRule="auto"/>
        <w:jc w:val="both"/>
        <w:rPr>
          <w:rFonts w:ascii="Times New Roman" w:hAnsi="Times New Roman" w:eastAsia="Times New Roman" w:cs="Times New Roman"/>
          <w:lang w:eastAsia="en-GB"/>
          <w14:ligatures w14:val="none"/>
        </w:rPr>
      </w:pPr>
      <w:r w:rsidRPr="00996F6D">
        <w:rPr>
          <w:rFonts w:ascii="Times New Roman" w:hAnsi="Times New Roman" w:eastAsia="Times New Roman" w:cs="Times New Roman"/>
          <w:lang w:eastAsia="en-GB"/>
          <w14:ligatures w14:val="none"/>
        </w:rPr>
        <w:t>This report will recommend to RFD Global ways to manage the risk of AI usage in multi-national operations, drawing upon the case study of Tesla which has extensive exposure to AI with their Autopilot and Full Self Driving (FSD) technology, a large volume of data governance and exposure to very divergent regulatory regimes. AI will give Tesla plenty of room to grow: Automating efficiencies, providing an edge in autonomous driving, and offering manufacturing and scale fleet management predictive powers. This dependency, however, carries a major risk, in three areas – safety (accident liability and unreliable behaviour in everyday driving), car hacking and the vulnerability of OTA updates, operational continuity (OTA update failures and operational disruptions).</w:t>
      </w:r>
    </w:p>
    <w:p w:rsidRPr="00996F6D" w:rsidR="00996F6D" w:rsidP="002145DA" w:rsidRDefault="00996F6D" w14:paraId="5766E2A7" w14:textId="2CB12ADB">
      <w:pPr>
        <w:spacing w:before="100" w:beforeAutospacing="1" w:after="100" w:afterAutospacing="1" w:line="360" w:lineRule="auto"/>
        <w:jc w:val="both"/>
        <w:rPr>
          <w:rFonts w:ascii="Times New Roman" w:hAnsi="Times New Roman" w:eastAsia="Times New Roman" w:cs="Times New Roman"/>
          <w:lang w:eastAsia="en-GB"/>
          <w14:ligatures w14:val="none"/>
        </w:rPr>
      </w:pPr>
      <w:r w:rsidRPr="00996F6D">
        <w:rPr>
          <w:rFonts w:ascii="Times New Roman" w:hAnsi="Times New Roman" w:eastAsia="Times New Roman" w:cs="Times New Roman"/>
          <w:lang w:eastAsia="en-GB"/>
          <w14:ligatures w14:val="none"/>
        </w:rPr>
        <w:t xml:space="preserve">PESTLE and ISO 31000 analysis reveals that the UK has regulatory stability coupled with sustainability-focused demand, but longer autonomous vehicle approval processes, while China boasts rapid growth and robust AI environment and control measures with the PIPL and Data Security Law which are </w:t>
      </w:r>
      <w:r w:rsidRPr="00996F6D" w:rsidR="002477EC">
        <w:rPr>
          <w:rFonts w:ascii="Times New Roman" w:hAnsi="Times New Roman" w:eastAsia="Times New Roman" w:cs="Times New Roman"/>
          <w:lang w:eastAsia="en-GB"/>
          <w14:ligatures w14:val="none"/>
        </w:rPr>
        <w:t>stricter and more detailed</w:t>
      </w:r>
      <w:r w:rsidRPr="00996F6D">
        <w:rPr>
          <w:rFonts w:ascii="Times New Roman" w:hAnsi="Times New Roman" w:eastAsia="Times New Roman" w:cs="Times New Roman"/>
          <w:lang w:eastAsia="en-GB"/>
          <w14:ligatures w14:val="none"/>
        </w:rPr>
        <w:t>. As Tesla's biggest vulnerability, safety risk is accentuated by variable worldwide claims procedures and minimal public reporting of accident information.</w:t>
      </w:r>
    </w:p>
    <w:p w:rsidR="008618F2" w:rsidP="002145DA" w:rsidRDefault="00996F6D" w14:paraId="49B7AF0E" w14:textId="21120CA4">
      <w:pPr>
        <w:spacing w:before="100" w:beforeAutospacing="1" w:after="100" w:afterAutospacing="1" w:line="360" w:lineRule="auto"/>
        <w:jc w:val="both"/>
        <w:rPr>
          <w:rFonts w:ascii="Times New Roman" w:hAnsi="Times New Roman" w:eastAsia="Times New Roman" w:cs="Times New Roman"/>
          <w:lang w:eastAsia="en-GB"/>
          <w14:ligatures w14:val="none"/>
        </w:rPr>
      </w:pPr>
      <w:r w:rsidRPr="00996F6D">
        <w:rPr>
          <w:rFonts w:ascii="Times New Roman" w:hAnsi="Times New Roman" w:eastAsia="Times New Roman" w:cs="Times New Roman"/>
          <w:lang w:eastAsia="en-GB"/>
          <w14:ligatures w14:val="none"/>
        </w:rPr>
        <w:t>Five strategic recommendations have been put forward: AI governance framework needs to be developed on a global scale; AI safety validation needs to be bolstered; There is a need to plan for compliance approaches on region-by-region basis such as the UK and China; Cyber security and data governance should be enhanced; Transparency should be increased to build consumer confidence. These are all steps to put Tesla on a path to meet the need for ongoing innovation in AI, while providing the governance teeth needed for ongoing competitiveness.</w:t>
      </w:r>
    </w:p>
    <w:p w:rsidR="00996F6D" w:rsidP="00996F6D" w:rsidRDefault="008618F2" w14:paraId="36868136" w14:textId="77777777">
      <w:pPr>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br w:type="page"/>
      </w:r>
    </w:p>
    <w:sdt>
      <w:sdtPr>
        <w:id w:val="-1330595960"/>
        <w:docPartObj>
          <w:docPartGallery w:val="Table of Contents"/>
          <w:docPartUnique/>
        </w:docPartObj>
      </w:sdtPr>
      <w:sdtEndPr>
        <w:rPr>
          <w:b/>
          <w:bCs/>
          <w:noProof/>
        </w:rPr>
      </w:sdtEndPr>
      <w:sdtContent>
        <w:p w:rsidRPr="00996F6D" w:rsidR="008618F2" w:rsidP="00996F6D" w:rsidRDefault="008618F2" w14:paraId="7CCB96AA" w14:textId="4272507C">
          <w:pPr>
            <w:rPr>
              <w:rFonts w:eastAsia="Times New Roman" w:asciiTheme="majorBidi" w:hAnsiTheme="majorBidi" w:cstheme="majorBidi"/>
              <w:b/>
              <w:bCs/>
              <w:color w:val="000000" w:themeColor="text1"/>
              <w:sz w:val="32"/>
              <w:szCs w:val="32"/>
              <w:lang w:eastAsia="en-GB"/>
              <w14:ligatures w14:val="none"/>
            </w:rPr>
          </w:pPr>
          <w:r w:rsidRPr="00996F6D">
            <w:rPr>
              <w:rFonts w:asciiTheme="majorBidi" w:hAnsiTheme="majorBidi" w:cstheme="majorBidi"/>
              <w:b/>
              <w:bCs/>
              <w:color w:val="000000" w:themeColor="text1"/>
              <w:sz w:val="32"/>
              <w:szCs w:val="32"/>
            </w:rPr>
            <w:t>Contents</w:t>
          </w:r>
        </w:p>
        <w:p w:rsidR="002E444D" w:rsidRDefault="008618F2" w14:paraId="6B8D13B7" w14:textId="58D6291E">
          <w:pPr>
            <w:pStyle w:val="TOC1"/>
            <w:tabs>
              <w:tab w:val="right" w:leader="dot" w:pos="9350"/>
            </w:tabs>
            <w:rPr>
              <w:rFonts w:eastAsiaTheme="minorEastAsia"/>
              <w:noProof/>
              <w:kern w:val="2"/>
              <w:lang w:eastAsia="en-GB"/>
            </w:rPr>
          </w:pPr>
          <w:r>
            <w:fldChar w:fldCharType="begin"/>
          </w:r>
          <w:r>
            <w:instrText xml:space="preserve"> TOC \o "1-3" \h \z \u </w:instrText>
          </w:r>
          <w:r>
            <w:fldChar w:fldCharType="separate"/>
          </w:r>
          <w:hyperlink w:history="1" w:anchor="_Toc235032447">
            <w:r w:rsidRPr="00E43888" w:rsidR="002E444D">
              <w:rPr>
                <w:rStyle w:val="Hyperlink"/>
                <w:rFonts w:eastAsia="Times New Roman" w:asciiTheme="majorBidi" w:hAnsiTheme="majorBidi" w:cstheme="majorBidi"/>
                <w:b/>
                <w:bCs/>
                <w:noProof/>
                <w:kern w:val="36"/>
                <w:lang w:eastAsia="en-GB"/>
                <w14:ligatures w14:val="none"/>
              </w:rPr>
              <w:t>1. Introduction</w:t>
            </w:r>
            <w:r w:rsidR="002E444D">
              <w:rPr>
                <w:noProof/>
                <w:webHidden/>
              </w:rPr>
              <w:tab/>
            </w:r>
            <w:r w:rsidR="002E444D">
              <w:rPr>
                <w:noProof/>
                <w:webHidden/>
              </w:rPr>
              <w:fldChar w:fldCharType="begin"/>
            </w:r>
            <w:r w:rsidR="002E444D">
              <w:rPr>
                <w:noProof/>
                <w:webHidden/>
              </w:rPr>
              <w:instrText xml:space="preserve"> PAGEREF _Toc235032447 \h </w:instrText>
            </w:r>
            <w:r w:rsidR="002E444D">
              <w:rPr>
                <w:noProof/>
                <w:webHidden/>
              </w:rPr>
            </w:r>
            <w:r w:rsidR="002E444D">
              <w:rPr>
                <w:noProof/>
                <w:webHidden/>
              </w:rPr>
              <w:fldChar w:fldCharType="separate"/>
            </w:r>
            <w:r w:rsidR="002E444D">
              <w:rPr>
                <w:noProof/>
                <w:webHidden/>
              </w:rPr>
              <w:t>4</w:t>
            </w:r>
            <w:r w:rsidR="002E444D">
              <w:rPr>
                <w:noProof/>
                <w:webHidden/>
              </w:rPr>
              <w:fldChar w:fldCharType="end"/>
            </w:r>
          </w:hyperlink>
        </w:p>
        <w:p w:rsidR="002E444D" w:rsidRDefault="002E444D" w14:paraId="1E3A3856" w14:textId="78C8B81F">
          <w:pPr>
            <w:pStyle w:val="TOC3"/>
            <w:tabs>
              <w:tab w:val="right" w:leader="dot" w:pos="9350"/>
            </w:tabs>
            <w:rPr>
              <w:rFonts w:eastAsiaTheme="minorEastAsia"/>
              <w:noProof/>
              <w:kern w:val="2"/>
              <w:lang w:eastAsia="en-GB"/>
            </w:rPr>
          </w:pPr>
          <w:hyperlink w:history="1" w:anchor="_Toc235032448">
            <w:r w:rsidRPr="00E43888">
              <w:rPr>
                <w:rStyle w:val="Hyperlink"/>
                <w:rFonts w:eastAsia="Times New Roman" w:asciiTheme="majorBidi" w:hAnsiTheme="majorBidi" w:cstheme="majorBidi"/>
                <w:b/>
                <w:bCs/>
                <w:noProof/>
                <w:lang w:eastAsia="en-GB"/>
                <w14:ligatures w14:val="none"/>
              </w:rPr>
              <w:t>2. Global Business Environment Analysis (PESTLE)</w:t>
            </w:r>
            <w:r>
              <w:rPr>
                <w:noProof/>
                <w:webHidden/>
              </w:rPr>
              <w:tab/>
            </w:r>
            <w:r>
              <w:rPr>
                <w:noProof/>
                <w:webHidden/>
              </w:rPr>
              <w:fldChar w:fldCharType="begin"/>
            </w:r>
            <w:r>
              <w:rPr>
                <w:noProof/>
                <w:webHidden/>
              </w:rPr>
              <w:instrText xml:space="preserve"> PAGEREF _Toc235032448 \h </w:instrText>
            </w:r>
            <w:r>
              <w:rPr>
                <w:noProof/>
                <w:webHidden/>
              </w:rPr>
            </w:r>
            <w:r>
              <w:rPr>
                <w:noProof/>
                <w:webHidden/>
              </w:rPr>
              <w:fldChar w:fldCharType="separate"/>
            </w:r>
            <w:r>
              <w:rPr>
                <w:noProof/>
                <w:webHidden/>
              </w:rPr>
              <w:t>5</w:t>
            </w:r>
            <w:r>
              <w:rPr>
                <w:noProof/>
                <w:webHidden/>
              </w:rPr>
              <w:fldChar w:fldCharType="end"/>
            </w:r>
          </w:hyperlink>
        </w:p>
        <w:p w:rsidR="002E444D" w:rsidRDefault="002E444D" w14:paraId="3A90019A" w14:textId="58D8799E">
          <w:pPr>
            <w:pStyle w:val="TOC2"/>
            <w:tabs>
              <w:tab w:val="right" w:leader="dot" w:pos="9350"/>
            </w:tabs>
            <w:rPr>
              <w:rFonts w:eastAsiaTheme="minorEastAsia"/>
              <w:noProof/>
              <w:kern w:val="2"/>
              <w:lang w:eastAsia="en-GB"/>
            </w:rPr>
          </w:pPr>
          <w:hyperlink w:history="1" w:anchor="_Toc235032449">
            <w:r w:rsidRPr="00E43888">
              <w:rPr>
                <w:rStyle w:val="Hyperlink"/>
                <w:rFonts w:eastAsia="Times New Roman" w:asciiTheme="majorBidi" w:hAnsiTheme="majorBidi" w:cstheme="majorBidi"/>
                <w:b/>
                <w:bCs/>
                <w:noProof/>
                <w:lang w:eastAsia="en-GB"/>
                <w14:ligatures w14:val="none"/>
              </w:rPr>
              <w:t>3. Macroeconomic and Microeconomic Impact of Artificial Intelligence</w:t>
            </w:r>
            <w:r>
              <w:rPr>
                <w:noProof/>
                <w:webHidden/>
              </w:rPr>
              <w:tab/>
            </w:r>
            <w:r>
              <w:rPr>
                <w:noProof/>
                <w:webHidden/>
              </w:rPr>
              <w:fldChar w:fldCharType="begin"/>
            </w:r>
            <w:r>
              <w:rPr>
                <w:noProof/>
                <w:webHidden/>
              </w:rPr>
              <w:instrText xml:space="preserve"> PAGEREF _Toc235032449 \h </w:instrText>
            </w:r>
            <w:r>
              <w:rPr>
                <w:noProof/>
                <w:webHidden/>
              </w:rPr>
            </w:r>
            <w:r>
              <w:rPr>
                <w:noProof/>
                <w:webHidden/>
              </w:rPr>
              <w:fldChar w:fldCharType="separate"/>
            </w:r>
            <w:r>
              <w:rPr>
                <w:noProof/>
                <w:webHidden/>
              </w:rPr>
              <w:t>8</w:t>
            </w:r>
            <w:r>
              <w:rPr>
                <w:noProof/>
                <w:webHidden/>
              </w:rPr>
              <w:fldChar w:fldCharType="end"/>
            </w:r>
          </w:hyperlink>
        </w:p>
        <w:p w:rsidR="002E444D" w:rsidRDefault="002E444D" w14:paraId="419A39ED" w14:textId="420F2F86">
          <w:pPr>
            <w:pStyle w:val="TOC3"/>
            <w:tabs>
              <w:tab w:val="right" w:leader="dot" w:pos="9350"/>
            </w:tabs>
            <w:rPr>
              <w:rFonts w:eastAsiaTheme="minorEastAsia"/>
              <w:noProof/>
              <w:kern w:val="2"/>
              <w:lang w:eastAsia="en-GB"/>
            </w:rPr>
          </w:pPr>
          <w:hyperlink w:history="1" w:anchor="_Toc235032450">
            <w:r w:rsidRPr="00E43888">
              <w:rPr>
                <w:rStyle w:val="Hyperlink"/>
                <w:rFonts w:eastAsia="Times New Roman" w:asciiTheme="majorBidi" w:hAnsiTheme="majorBidi" w:cstheme="majorBidi"/>
                <w:b/>
                <w:bCs/>
                <w:noProof/>
                <w:lang w:eastAsia="en-GB"/>
                <w14:ligatures w14:val="none"/>
              </w:rPr>
              <w:t>3.1 Macroeconomic Impact</w:t>
            </w:r>
            <w:r>
              <w:rPr>
                <w:noProof/>
                <w:webHidden/>
              </w:rPr>
              <w:tab/>
            </w:r>
            <w:r>
              <w:rPr>
                <w:noProof/>
                <w:webHidden/>
              </w:rPr>
              <w:fldChar w:fldCharType="begin"/>
            </w:r>
            <w:r>
              <w:rPr>
                <w:noProof/>
                <w:webHidden/>
              </w:rPr>
              <w:instrText xml:space="preserve"> PAGEREF _Toc235032450 \h </w:instrText>
            </w:r>
            <w:r>
              <w:rPr>
                <w:noProof/>
                <w:webHidden/>
              </w:rPr>
            </w:r>
            <w:r>
              <w:rPr>
                <w:noProof/>
                <w:webHidden/>
              </w:rPr>
              <w:fldChar w:fldCharType="separate"/>
            </w:r>
            <w:r>
              <w:rPr>
                <w:noProof/>
                <w:webHidden/>
              </w:rPr>
              <w:t>9</w:t>
            </w:r>
            <w:r>
              <w:rPr>
                <w:noProof/>
                <w:webHidden/>
              </w:rPr>
              <w:fldChar w:fldCharType="end"/>
            </w:r>
          </w:hyperlink>
        </w:p>
        <w:p w:rsidR="002E444D" w:rsidRDefault="002E444D" w14:paraId="54AD0FCA" w14:textId="7F322FAA">
          <w:pPr>
            <w:pStyle w:val="TOC3"/>
            <w:tabs>
              <w:tab w:val="right" w:leader="dot" w:pos="9350"/>
            </w:tabs>
            <w:rPr>
              <w:rFonts w:eastAsiaTheme="minorEastAsia"/>
              <w:noProof/>
              <w:kern w:val="2"/>
              <w:lang w:eastAsia="en-GB"/>
            </w:rPr>
          </w:pPr>
          <w:hyperlink w:history="1" w:anchor="_Toc235032451">
            <w:r w:rsidRPr="00E43888">
              <w:rPr>
                <w:rStyle w:val="Hyperlink"/>
                <w:rFonts w:eastAsia="Times New Roman" w:asciiTheme="majorBidi" w:hAnsiTheme="majorBidi" w:cstheme="majorBidi"/>
                <w:b/>
                <w:bCs/>
                <w:noProof/>
                <w:lang w:eastAsia="en-GB"/>
                <w14:ligatures w14:val="none"/>
              </w:rPr>
              <w:t>3.2 Microeconomic Impact</w:t>
            </w:r>
            <w:r>
              <w:rPr>
                <w:noProof/>
                <w:webHidden/>
              </w:rPr>
              <w:tab/>
            </w:r>
            <w:r>
              <w:rPr>
                <w:noProof/>
                <w:webHidden/>
              </w:rPr>
              <w:fldChar w:fldCharType="begin"/>
            </w:r>
            <w:r>
              <w:rPr>
                <w:noProof/>
                <w:webHidden/>
              </w:rPr>
              <w:instrText xml:space="preserve"> PAGEREF _Toc235032451 \h </w:instrText>
            </w:r>
            <w:r>
              <w:rPr>
                <w:noProof/>
                <w:webHidden/>
              </w:rPr>
            </w:r>
            <w:r>
              <w:rPr>
                <w:noProof/>
                <w:webHidden/>
              </w:rPr>
              <w:fldChar w:fldCharType="separate"/>
            </w:r>
            <w:r>
              <w:rPr>
                <w:noProof/>
                <w:webHidden/>
              </w:rPr>
              <w:t>10</w:t>
            </w:r>
            <w:r>
              <w:rPr>
                <w:noProof/>
                <w:webHidden/>
              </w:rPr>
              <w:fldChar w:fldCharType="end"/>
            </w:r>
          </w:hyperlink>
        </w:p>
        <w:p w:rsidR="002E444D" w:rsidRDefault="002E444D" w14:paraId="0E43984B" w14:textId="29CB7016">
          <w:pPr>
            <w:pStyle w:val="TOC3"/>
            <w:tabs>
              <w:tab w:val="right" w:leader="dot" w:pos="9350"/>
            </w:tabs>
            <w:rPr>
              <w:rFonts w:eastAsiaTheme="minorEastAsia"/>
              <w:noProof/>
              <w:kern w:val="2"/>
              <w:lang w:eastAsia="en-GB"/>
            </w:rPr>
          </w:pPr>
          <w:hyperlink w:history="1" w:anchor="_Toc235032452">
            <w:r w:rsidRPr="00E43888">
              <w:rPr>
                <w:rStyle w:val="Hyperlink"/>
                <w:rFonts w:eastAsia="Times New Roman" w:asciiTheme="majorBidi" w:hAnsiTheme="majorBidi" w:cstheme="majorBidi"/>
                <w:b/>
                <w:bCs/>
                <w:noProof/>
                <w:lang w:eastAsia="en-GB"/>
                <w14:ligatures w14:val="none"/>
              </w:rPr>
              <w:t>3.3 Critical Discussion</w:t>
            </w:r>
            <w:r>
              <w:rPr>
                <w:noProof/>
                <w:webHidden/>
              </w:rPr>
              <w:tab/>
            </w:r>
            <w:r>
              <w:rPr>
                <w:noProof/>
                <w:webHidden/>
              </w:rPr>
              <w:fldChar w:fldCharType="begin"/>
            </w:r>
            <w:r>
              <w:rPr>
                <w:noProof/>
                <w:webHidden/>
              </w:rPr>
              <w:instrText xml:space="preserve"> PAGEREF _Toc235032452 \h </w:instrText>
            </w:r>
            <w:r>
              <w:rPr>
                <w:noProof/>
                <w:webHidden/>
              </w:rPr>
            </w:r>
            <w:r>
              <w:rPr>
                <w:noProof/>
                <w:webHidden/>
              </w:rPr>
              <w:fldChar w:fldCharType="separate"/>
            </w:r>
            <w:r>
              <w:rPr>
                <w:noProof/>
                <w:webHidden/>
              </w:rPr>
              <w:t>11</w:t>
            </w:r>
            <w:r>
              <w:rPr>
                <w:noProof/>
                <w:webHidden/>
              </w:rPr>
              <w:fldChar w:fldCharType="end"/>
            </w:r>
          </w:hyperlink>
        </w:p>
        <w:p w:rsidR="002E444D" w:rsidRDefault="002E444D" w14:paraId="52363BE7" w14:textId="6338F47F">
          <w:pPr>
            <w:pStyle w:val="TOC3"/>
            <w:tabs>
              <w:tab w:val="right" w:leader="dot" w:pos="9350"/>
            </w:tabs>
            <w:rPr>
              <w:rFonts w:eastAsiaTheme="minorEastAsia"/>
              <w:noProof/>
              <w:kern w:val="2"/>
              <w:lang w:eastAsia="en-GB"/>
            </w:rPr>
          </w:pPr>
          <w:hyperlink w:history="1" w:anchor="_Toc235032453">
            <w:r w:rsidRPr="00E43888">
              <w:rPr>
                <w:rStyle w:val="Hyperlink"/>
                <w:rFonts w:eastAsia="Times New Roman" w:asciiTheme="majorBidi" w:hAnsiTheme="majorBidi" w:cstheme="majorBidi"/>
                <w:b/>
                <w:bCs/>
                <w:noProof/>
                <w:lang w:eastAsia="en-GB"/>
                <w14:ligatures w14:val="none"/>
              </w:rPr>
              <w:t>4. AI Risk Management</w:t>
            </w:r>
            <w:r>
              <w:rPr>
                <w:noProof/>
                <w:webHidden/>
              </w:rPr>
              <w:tab/>
            </w:r>
            <w:r>
              <w:rPr>
                <w:noProof/>
                <w:webHidden/>
              </w:rPr>
              <w:fldChar w:fldCharType="begin"/>
            </w:r>
            <w:r>
              <w:rPr>
                <w:noProof/>
                <w:webHidden/>
              </w:rPr>
              <w:instrText xml:space="preserve"> PAGEREF _Toc235032453 \h </w:instrText>
            </w:r>
            <w:r>
              <w:rPr>
                <w:noProof/>
                <w:webHidden/>
              </w:rPr>
            </w:r>
            <w:r>
              <w:rPr>
                <w:noProof/>
                <w:webHidden/>
              </w:rPr>
              <w:fldChar w:fldCharType="separate"/>
            </w:r>
            <w:r>
              <w:rPr>
                <w:noProof/>
                <w:webHidden/>
              </w:rPr>
              <w:t>11</w:t>
            </w:r>
            <w:r>
              <w:rPr>
                <w:noProof/>
                <w:webHidden/>
              </w:rPr>
              <w:fldChar w:fldCharType="end"/>
            </w:r>
          </w:hyperlink>
        </w:p>
        <w:p w:rsidR="002E444D" w:rsidRDefault="002E444D" w14:paraId="05A4F1C6" w14:textId="3244CB44">
          <w:pPr>
            <w:pStyle w:val="TOC3"/>
            <w:tabs>
              <w:tab w:val="right" w:leader="dot" w:pos="9350"/>
            </w:tabs>
            <w:rPr>
              <w:rFonts w:eastAsiaTheme="minorEastAsia"/>
              <w:noProof/>
              <w:kern w:val="2"/>
              <w:lang w:eastAsia="en-GB"/>
            </w:rPr>
          </w:pPr>
          <w:hyperlink w:history="1" w:anchor="_Toc235032454">
            <w:r w:rsidRPr="00E43888">
              <w:rPr>
                <w:rStyle w:val="Hyperlink"/>
                <w:rFonts w:eastAsia="Times New Roman" w:asciiTheme="majorBidi" w:hAnsiTheme="majorBidi" w:cstheme="majorBidi"/>
                <w:b/>
                <w:bCs/>
                <w:noProof/>
                <w:lang w:eastAsia="en-GB"/>
                <w14:ligatures w14:val="none"/>
              </w:rPr>
              <w:t>5. Data Governance, Ethical AI and Customer Trust</w:t>
            </w:r>
            <w:r>
              <w:rPr>
                <w:noProof/>
                <w:webHidden/>
              </w:rPr>
              <w:tab/>
            </w:r>
            <w:r>
              <w:rPr>
                <w:noProof/>
                <w:webHidden/>
              </w:rPr>
              <w:fldChar w:fldCharType="begin"/>
            </w:r>
            <w:r>
              <w:rPr>
                <w:noProof/>
                <w:webHidden/>
              </w:rPr>
              <w:instrText xml:space="preserve"> PAGEREF _Toc235032454 \h </w:instrText>
            </w:r>
            <w:r>
              <w:rPr>
                <w:noProof/>
                <w:webHidden/>
              </w:rPr>
            </w:r>
            <w:r>
              <w:rPr>
                <w:noProof/>
                <w:webHidden/>
              </w:rPr>
              <w:fldChar w:fldCharType="separate"/>
            </w:r>
            <w:r>
              <w:rPr>
                <w:noProof/>
                <w:webHidden/>
              </w:rPr>
              <w:t>15</w:t>
            </w:r>
            <w:r>
              <w:rPr>
                <w:noProof/>
                <w:webHidden/>
              </w:rPr>
              <w:fldChar w:fldCharType="end"/>
            </w:r>
          </w:hyperlink>
        </w:p>
        <w:p w:rsidR="002E444D" w:rsidRDefault="002E444D" w14:paraId="23DBFF24" w14:textId="15DB9FCA">
          <w:pPr>
            <w:pStyle w:val="TOC3"/>
            <w:tabs>
              <w:tab w:val="right" w:leader="dot" w:pos="9350"/>
            </w:tabs>
            <w:rPr>
              <w:rFonts w:eastAsiaTheme="minorEastAsia"/>
              <w:noProof/>
              <w:kern w:val="2"/>
              <w:lang w:eastAsia="en-GB"/>
            </w:rPr>
          </w:pPr>
          <w:hyperlink w:history="1" w:anchor="_Toc235032455">
            <w:r w:rsidRPr="00E43888">
              <w:rPr>
                <w:rStyle w:val="Hyperlink"/>
                <w:rFonts w:eastAsia="Times New Roman" w:asciiTheme="majorBidi" w:hAnsiTheme="majorBidi" w:cstheme="majorBidi"/>
                <w:b/>
                <w:bCs/>
                <w:noProof/>
                <w:lang w:eastAsia="en-GB"/>
                <w14:ligatures w14:val="none"/>
              </w:rPr>
              <w:t>6. Regulatory Environment (UK vs China)</w:t>
            </w:r>
            <w:r>
              <w:rPr>
                <w:noProof/>
                <w:webHidden/>
              </w:rPr>
              <w:tab/>
            </w:r>
            <w:r>
              <w:rPr>
                <w:noProof/>
                <w:webHidden/>
              </w:rPr>
              <w:fldChar w:fldCharType="begin"/>
            </w:r>
            <w:r>
              <w:rPr>
                <w:noProof/>
                <w:webHidden/>
              </w:rPr>
              <w:instrText xml:space="preserve"> PAGEREF _Toc235032455 \h </w:instrText>
            </w:r>
            <w:r>
              <w:rPr>
                <w:noProof/>
                <w:webHidden/>
              </w:rPr>
            </w:r>
            <w:r>
              <w:rPr>
                <w:noProof/>
                <w:webHidden/>
              </w:rPr>
              <w:fldChar w:fldCharType="separate"/>
            </w:r>
            <w:r>
              <w:rPr>
                <w:noProof/>
                <w:webHidden/>
              </w:rPr>
              <w:t>17</w:t>
            </w:r>
            <w:r>
              <w:rPr>
                <w:noProof/>
                <w:webHidden/>
              </w:rPr>
              <w:fldChar w:fldCharType="end"/>
            </w:r>
          </w:hyperlink>
        </w:p>
        <w:p w:rsidR="002E444D" w:rsidRDefault="002E444D" w14:paraId="49D7C31F" w14:textId="4C805528">
          <w:pPr>
            <w:pStyle w:val="TOC3"/>
            <w:tabs>
              <w:tab w:val="right" w:leader="dot" w:pos="9350"/>
            </w:tabs>
            <w:rPr>
              <w:rFonts w:eastAsiaTheme="minorEastAsia"/>
              <w:noProof/>
              <w:kern w:val="2"/>
              <w:lang w:eastAsia="en-GB"/>
            </w:rPr>
          </w:pPr>
          <w:hyperlink w:history="1" w:anchor="_Toc235032456">
            <w:r w:rsidRPr="00E43888">
              <w:rPr>
                <w:rStyle w:val="Hyperlink"/>
                <w:rFonts w:eastAsia="Times New Roman" w:asciiTheme="majorBidi" w:hAnsiTheme="majorBidi" w:cstheme="majorBidi"/>
                <w:b/>
                <w:bCs/>
                <w:noProof/>
                <w:lang w:eastAsia="en-GB"/>
                <w14:ligatures w14:val="none"/>
              </w:rPr>
              <w:t>7. Strategic Recommendations</w:t>
            </w:r>
            <w:r>
              <w:rPr>
                <w:noProof/>
                <w:webHidden/>
              </w:rPr>
              <w:tab/>
            </w:r>
            <w:r>
              <w:rPr>
                <w:noProof/>
                <w:webHidden/>
              </w:rPr>
              <w:fldChar w:fldCharType="begin"/>
            </w:r>
            <w:r>
              <w:rPr>
                <w:noProof/>
                <w:webHidden/>
              </w:rPr>
              <w:instrText xml:space="preserve"> PAGEREF _Toc235032456 \h </w:instrText>
            </w:r>
            <w:r>
              <w:rPr>
                <w:noProof/>
                <w:webHidden/>
              </w:rPr>
            </w:r>
            <w:r>
              <w:rPr>
                <w:noProof/>
                <w:webHidden/>
              </w:rPr>
              <w:fldChar w:fldCharType="separate"/>
            </w:r>
            <w:r>
              <w:rPr>
                <w:noProof/>
                <w:webHidden/>
              </w:rPr>
              <w:t>18</w:t>
            </w:r>
            <w:r>
              <w:rPr>
                <w:noProof/>
                <w:webHidden/>
              </w:rPr>
              <w:fldChar w:fldCharType="end"/>
            </w:r>
          </w:hyperlink>
        </w:p>
        <w:p w:rsidR="002E444D" w:rsidRDefault="002E444D" w14:paraId="75655B31" w14:textId="7AB79E74">
          <w:pPr>
            <w:pStyle w:val="TOC3"/>
            <w:tabs>
              <w:tab w:val="right" w:leader="dot" w:pos="9350"/>
            </w:tabs>
            <w:rPr>
              <w:rFonts w:eastAsiaTheme="minorEastAsia"/>
              <w:noProof/>
              <w:kern w:val="2"/>
              <w:lang w:eastAsia="en-GB"/>
            </w:rPr>
          </w:pPr>
          <w:hyperlink w:history="1" w:anchor="_Toc235032457">
            <w:r w:rsidRPr="00E43888">
              <w:rPr>
                <w:rStyle w:val="Hyperlink"/>
                <w:rFonts w:eastAsia="Times New Roman" w:asciiTheme="majorBidi" w:hAnsiTheme="majorBidi" w:cstheme="majorBidi"/>
                <w:b/>
                <w:bCs/>
                <w:noProof/>
                <w:lang w:eastAsia="en-GB"/>
                <w14:ligatures w14:val="none"/>
              </w:rPr>
              <w:t>8. Implementation Plan</w:t>
            </w:r>
            <w:r>
              <w:rPr>
                <w:noProof/>
                <w:webHidden/>
              </w:rPr>
              <w:tab/>
            </w:r>
            <w:r>
              <w:rPr>
                <w:noProof/>
                <w:webHidden/>
              </w:rPr>
              <w:fldChar w:fldCharType="begin"/>
            </w:r>
            <w:r>
              <w:rPr>
                <w:noProof/>
                <w:webHidden/>
              </w:rPr>
              <w:instrText xml:space="preserve"> PAGEREF _Toc235032457 \h </w:instrText>
            </w:r>
            <w:r>
              <w:rPr>
                <w:noProof/>
                <w:webHidden/>
              </w:rPr>
            </w:r>
            <w:r>
              <w:rPr>
                <w:noProof/>
                <w:webHidden/>
              </w:rPr>
              <w:fldChar w:fldCharType="separate"/>
            </w:r>
            <w:r>
              <w:rPr>
                <w:noProof/>
                <w:webHidden/>
              </w:rPr>
              <w:t>20</w:t>
            </w:r>
            <w:r>
              <w:rPr>
                <w:noProof/>
                <w:webHidden/>
              </w:rPr>
              <w:fldChar w:fldCharType="end"/>
            </w:r>
          </w:hyperlink>
        </w:p>
        <w:p w:rsidR="002E444D" w:rsidRDefault="002E444D" w14:paraId="4C686C53" w14:textId="4089CBDC">
          <w:pPr>
            <w:pStyle w:val="TOC3"/>
            <w:tabs>
              <w:tab w:val="right" w:leader="dot" w:pos="9350"/>
            </w:tabs>
            <w:rPr>
              <w:rFonts w:eastAsiaTheme="minorEastAsia"/>
              <w:noProof/>
              <w:kern w:val="2"/>
              <w:lang w:eastAsia="en-GB"/>
            </w:rPr>
          </w:pPr>
          <w:hyperlink w:history="1" w:anchor="_Toc235032458">
            <w:r w:rsidRPr="00E43888">
              <w:rPr>
                <w:rStyle w:val="Hyperlink"/>
                <w:rFonts w:eastAsia="Times New Roman" w:asciiTheme="majorBidi" w:hAnsiTheme="majorBidi" w:cstheme="majorBidi"/>
                <w:b/>
                <w:bCs/>
                <w:noProof/>
                <w:lang w:eastAsia="en-GB"/>
                <w14:ligatures w14:val="none"/>
              </w:rPr>
              <w:t>9. Conclusion</w:t>
            </w:r>
            <w:r>
              <w:rPr>
                <w:noProof/>
                <w:webHidden/>
              </w:rPr>
              <w:tab/>
            </w:r>
            <w:r>
              <w:rPr>
                <w:noProof/>
                <w:webHidden/>
              </w:rPr>
              <w:fldChar w:fldCharType="begin"/>
            </w:r>
            <w:r>
              <w:rPr>
                <w:noProof/>
                <w:webHidden/>
              </w:rPr>
              <w:instrText xml:space="preserve"> PAGEREF _Toc235032458 \h </w:instrText>
            </w:r>
            <w:r>
              <w:rPr>
                <w:noProof/>
                <w:webHidden/>
              </w:rPr>
            </w:r>
            <w:r>
              <w:rPr>
                <w:noProof/>
                <w:webHidden/>
              </w:rPr>
              <w:fldChar w:fldCharType="separate"/>
            </w:r>
            <w:r>
              <w:rPr>
                <w:noProof/>
                <w:webHidden/>
              </w:rPr>
              <w:t>20</w:t>
            </w:r>
            <w:r>
              <w:rPr>
                <w:noProof/>
                <w:webHidden/>
              </w:rPr>
              <w:fldChar w:fldCharType="end"/>
            </w:r>
          </w:hyperlink>
        </w:p>
        <w:p w:rsidR="002E444D" w:rsidRDefault="002E444D" w14:paraId="5D107A00" w14:textId="2132798D">
          <w:pPr>
            <w:pStyle w:val="TOC1"/>
            <w:tabs>
              <w:tab w:val="right" w:leader="dot" w:pos="9350"/>
            </w:tabs>
            <w:rPr>
              <w:rFonts w:eastAsiaTheme="minorEastAsia"/>
              <w:noProof/>
              <w:kern w:val="2"/>
              <w:lang w:eastAsia="en-GB"/>
            </w:rPr>
          </w:pPr>
          <w:hyperlink w:history="1" w:anchor="_Toc235032459">
            <w:r w:rsidRPr="00E43888">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_Toc235032459 \h </w:instrText>
            </w:r>
            <w:r>
              <w:rPr>
                <w:noProof/>
                <w:webHidden/>
              </w:rPr>
            </w:r>
            <w:r>
              <w:rPr>
                <w:noProof/>
                <w:webHidden/>
              </w:rPr>
              <w:fldChar w:fldCharType="separate"/>
            </w:r>
            <w:r>
              <w:rPr>
                <w:noProof/>
                <w:webHidden/>
              </w:rPr>
              <w:t>22</w:t>
            </w:r>
            <w:r>
              <w:rPr>
                <w:noProof/>
                <w:webHidden/>
              </w:rPr>
              <w:fldChar w:fldCharType="end"/>
            </w:r>
          </w:hyperlink>
        </w:p>
        <w:p w:rsidR="002E444D" w:rsidP="002E444D" w:rsidRDefault="008618F2" w14:paraId="0C530838" w14:textId="77777777">
          <w:pPr>
            <w:rPr>
              <w:noProof/>
            </w:rPr>
          </w:pPr>
          <w:r>
            <w:rPr>
              <w:b/>
              <w:bCs/>
              <w:noProof/>
            </w:rPr>
            <w:fldChar w:fldCharType="end"/>
          </w:r>
          <w:r w:rsidR="002E444D">
            <w:rPr>
              <w:b/>
              <w:bCs/>
              <w:noProof/>
            </w:rPr>
            <w:fldChar w:fldCharType="begin"/>
          </w:r>
          <w:r w:rsidR="002E444D">
            <w:rPr>
              <w:b/>
              <w:bCs/>
              <w:noProof/>
            </w:rPr>
            <w:instrText xml:space="preserve"> TOC \h \z \c "Table" </w:instrText>
          </w:r>
          <w:r w:rsidR="002E444D">
            <w:rPr>
              <w:b/>
              <w:bCs/>
              <w:noProof/>
            </w:rPr>
            <w:fldChar w:fldCharType="separate"/>
          </w:r>
        </w:p>
        <w:p w:rsidR="002E444D" w:rsidRDefault="002E444D" w14:paraId="686F04EA" w14:textId="61D9DC3C">
          <w:pPr>
            <w:pStyle w:val="TableofFigures"/>
            <w:tabs>
              <w:tab w:val="right" w:leader="dot" w:pos="9350"/>
            </w:tabs>
            <w:rPr>
              <w:rFonts w:eastAsiaTheme="minorEastAsia"/>
              <w:noProof/>
              <w:kern w:val="2"/>
              <w:lang w:eastAsia="en-GB"/>
            </w:rPr>
          </w:pPr>
          <w:hyperlink w:history="1" w:anchor="_Toc235032460">
            <w:r w:rsidRPr="00DE3E67">
              <w:rPr>
                <w:rStyle w:val="Hyperlink"/>
                <w:noProof/>
              </w:rPr>
              <w:t>Table 1: PESTLE Analysis of Tesla in the UK and China.</w:t>
            </w:r>
            <w:r>
              <w:rPr>
                <w:noProof/>
                <w:webHidden/>
              </w:rPr>
              <w:tab/>
            </w:r>
            <w:r>
              <w:rPr>
                <w:noProof/>
                <w:webHidden/>
              </w:rPr>
              <w:fldChar w:fldCharType="begin"/>
            </w:r>
            <w:r>
              <w:rPr>
                <w:noProof/>
                <w:webHidden/>
              </w:rPr>
              <w:instrText xml:space="preserve"> PAGEREF _Toc235032460 \h </w:instrText>
            </w:r>
            <w:r>
              <w:rPr>
                <w:noProof/>
                <w:webHidden/>
              </w:rPr>
            </w:r>
            <w:r>
              <w:rPr>
                <w:noProof/>
                <w:webHidden/>
              </w:rPr>
              <w:fldChar w:fldCharType="separate"/>
            </w:r>
            <w:r>
              <w:rPr>
                <w:noProof/>
                <w:webHidden/>
              </w:rPr>
              <w:t>5</w:t>
            </w:r>
            <w:r>
              <w:rPr>
                <w:noProof/>
                <w:webHidden/>
              </w:rPr>
              <w:fldChar w:fldCharType="end"/>
            </w:r>
          </w:hyperlink>
        </w:p>
        <w:p w:rsidR="002E444D" w:rsidRDefault="002E444D" w14:paraId="061C642C" w14:textId="0021AE43">
          <w:pPr>
            <w:pStyle w:val="TableofFigures"/>
            <w:tabs>
              <w:tab w:val="right" w:leader="dot" w:pos="9350"/>
            </w:tabs>
            <w:rPr>
              <w:rFonts w:eastAsiaTheme="minorEastAsia"/>
              <w:noProof/>
              <w:kern w:val="2"/>
              <w:lang w:eastAsia="en-GB"/>
            </w:rPr>
          </w:pPr>
          <w:hyperlink w:history="1" w:anchor="_Toc235032461">
            <w:r w:rsidRPr="00DE3E67">
              <w:rPr>
                <w:rStyle w:val="Hyperlink"/>
                <w:noProof/>
              </w:rPr>
              <w:t>Table 2: AI Risk Register for Tesla.</w:t>
            </w:r>
            <w:r>
              <w:rPr>
                <w:noProof/>
                <w:webHidden/>
              </w:rPr>
              <w:tab/>
            </w:r>
            <w:r>
              <w:rPr>
                <w:noProof/>
                <w:webHidden/>
              </w:rPr>
              <w:fldChar w:fldCharType="begin"/>
            </w:r>
            <w:r>
              <w:rPr>
                <w:noProof/>
                <w:webHidden/>
              </w:rPr>
              <w:instrText xml:space="preserve"> PAGEREF _Toc235032461 \h </w:instrText>
            </w:r>
            <w:r>
              <w:rPr>
                <w:noProof/>
                <w:webHidden/>
              </w:rPr>
            </w:r>
            <w:r>
              <w:rPr>
                <w:noProof/>
                <w:webHidden/>
              </w:rPr>
              <w:fldChar w:fldCharType="separate"/>
            </w:r>
            <w:r>
              <w:rPr>
                <w:noProof/>
                <w:webHidden/>
              </w:rPr>
              <w:t>14</w:t>
            </w:r>
            <w:r>
              <w:rPr>
                <w:noProof/>
                <w:webHidden/>
              </w:rPr>
              <w:fldChar w:fldCharType="end"/>
            </w:r>
          </w:hyperlink>
        </w:p>
        <w:p w:rsidR="002E444D" w:rsidRDefault="002E444D" w14:paraId="0A3B9353" w14:textId="1A64C19F">
          <w:pPr>
            <w:pStyle w:val="TableofFigures"/>
            <w:tabs>
              <w:tab w:val="right" w:leader="dot" w:pos="9350"/>
            </w:tabs>
            <w:rPr>
              <w:rFonts w:eastAsiaTheme="minorEastAsia"/>
              <w:noProof/>
              <w:kern w:val="2"/>
              <w:lang w:eastAsia="en-GB"/>
            </w:rPr>
          </w:pPr>
          <w:hyperlink w:history="1" w:anchor="_Toc235032462">
            <w:r w:rsidRPr="00DE3E67">
              <w:rPr>
                <w:rStyle w:val="Hyperlink"/>
                <w:rFonts w:asciiTheme="majorBidi" w:hAnsiTheme="majorBidi" w:cstheme="majorBidi"/>
                <w:noProof/>
              </w:rPr>
              <w:t>Table 3 Implementation Plan</w:t>
            </w:r>
            <w:r>
              <w:rPr>
                <w:noProof/>
                <w:webHidden/>
              </w:rPr>
              <w:tab/>
            </w:r>
            <w:r>
              <w:rPr>
                <w:noProof/>
                <w:webHidden/>
              </w:rPr>
              <w:fldChar w:fldCharType="begin"/>
            </w:r>
            <w:r>
              <w:rPr>
                <w:noProof/>
                <w:webHidden/>
              </w:rPr>
              <w:instrText xml:space="preserve"> PAGEREF _Toc235032462 \h </w:instrText>
            </w:r>
            <w:r>
              <w:rPr>
                <w:noProof/>
                <w:webHidden/>
              </w:rPr>
            </w:r>
            <w:r>
              <w:rPr>
                <w:noProof/>
                <w:webHidden/>
              </w:rPr>
              <w:fldChar w:fldCharType="separate"/>
            </w:r>
            <w:r>
              <w:rPr>
                <w:noProof/>
                <w:webHidden/>
              </w:rPr>
              <w:t>20</w:t>
            </w:r>
            <w:r>
              <w:rPr>
                <w:noProof/>
                <w:webHidden/>
              </w:rPr>
              <w:fldChar w:fldCharType="end"/>
            </w:r>
          </w:hyperlink>
        </w:p>
        <w:p w:rsidR="002E444D" w:rsidP="002E444D" w:rsidRDefault="002E444D" w14:paraId="725FF660" w14:textId="77777777">
          <w:pPr>
            <w:rPr>
              <w:noProof/>
            </w:rPr>
          </w:pPr>
          <w:r>
            <w:rPr>
              <w:b/>
              <w:bCs/>
              <w:noProof/>
            </w:rPr>
            <w:fldChar w:fldCharType="end"/>
          </w:r>
          <w:r>
            <w:rPr>
              <w:b/>
              <w:bCs/>
              <w:noProof/>
            </w:rPr>
            <w:fldChar w:fldCharType="begin"/>
          </w:r>
          <w:r>
            <w:rPr>
              <w:b/>
              <w:bCs/>
              <w:noProof/>
            </w:rPr>
            <w:instrText xml:space="preserve"> TOC \h \z \c "Figure" </w:instrText>
          </w:r>
          <w:r>
            <w:rPr>
              <w:b/>
              <w:bCs/>
              <w:noProof/>
            </w:rPr>
            <w:fldChar w:fldCharType="separate"/>
          </w:r>
        </w:p>
        <w:p w:rsidR="002E444D" w:rsidRDefault="002E444D" w14:paraId="667BB9E2" w14:textId="4A93F76A">
          <w:pPr>
            <w:pStyle w:val="TableofFigures"/>
            <w:tabs>
              <w:tab w:val="right" w:leader="dot" w:pos="9350"/>
            </w:tabs>
            <w:rPr>
              <w:rFonts w:eastAsiaTheme="minorEastAsia"/>
              <w:noProof/>
              <w:kern w:val="2"/>
              <w:lang w:eastAsia="en-GB"/>
            </w:rPr>
          </w:pPr>
          <w:hyperlink w:history="1" w:anchor="_Toc235032463">
            <w:r w:rsidRPr="00E26B74">
              <w:rPr>
                <w:rStyle w:val="Hyperlink"/>
                <w:noProof/>
              </w:rPr>
              <w:t xml:space="preserve">Figure 1: </w:t>
            </w:r>
            <w:r w:rsidRPr="00E26B74">
              <w:rPr>
                <w:rStyle w:val="Hyperlink"/>
                <w:rFonts w:ascii="Aptos" w:hAnsi="Aptos" w:cs="Times New Roman"/>
                <w:noProof/>
              </w:rPr>
              <w:t>(AI &amp; Robotics, no date)</w:t>
            </w:r>
            <w:r w:rsidRPr="00E26B74">
              <w:rPr>
                <w:rStyle w:val="Hyperlink"/>
                <w:noProof/>
              </w:rPr>
              <w:t>.</w:t>
            </w:r>
            <w:r>
              <w:rPr>
                <w:noProof/>
                <w:webHidden/>
              </w:rPr>
              <w:tab/>
            </w:r>
            <w:r>
              <w:rPr>
                <w:noProof/>
                <w:webHidden/>
              </w:rPr>
              <w:fldChar w:fldCharType="begin"/>
            </w:r>
            <w:r>
              <w:rPr>
                <w:noProof/>
                <w:webHidden/>
              </w:rPr>
              <w:instrText xml:space="preserve"> PAGEREF _Toc235032463 \h </w:instrText>
            </w:r>
            <w:r>
              <w:rPr>
                <w:noProof/>
                <w:webHidden/>
              </w:rPr>
            </w:r>
            <w:r>
              <w:rPr>
                <w:noProof/>
                <w:webHidden/>
              </w:rPr>
              <w:fldChar w:fldCharType="separate"/>
            </w:r>
            <w:r>
              <w:rPr>
                <w:noProof/>
                <w:webHidden/>
              </w:rPr>
              <w:t>4</w:t>
            </w:r>
            <w:r>
              <w:rPr>
                <w:noProof/>
                <w:webHidden/>
              </w:rPr>
              <w:fldChar w:fldCharType="end"/>
            </w:r>
          </w:hyperlink>
        </w:p>
        <w:p w:rsidR="002E444D" w:rsidRDefault="002E444D" w14:paraId="3396FA6E" w14:textId="4F9824DF">
          <w:pPr>
            <w:pStyle w:val="TableofFigures"/>
            <w:tabs>
              <w:tab w:val="right" w:leader="dot" w:pos="9350"/>
            </w:tabs>
            <w:rPr>
              <w:rFonts w:eastAsiaTheme="minorEastAsia"/>
              <w:noProof/>
              <w:kern w:val="2"/>
              <w:lang w:eastAsia="en-GB"/>
            </w:rPr>
          </w:pPr>
          <w:hyperlink w:history="1" w:anchor="_Toc235032464">
            <w:r w:rsidRPr="00E26B74">
              <w:rPr>
                <w:rStyle w:val="Hyperlink"/>
                <w:noProof/>
              </w:rPr>
              <w:t xml:space="preserve">Figure 2: </w:t>
            </w:r>
            <w:r w:rsidRPr="00E26B74">
              <w:rPr>
                <w:rStyle w:val="Hyperlink"/>
                <w:rFonts w:ascii="Aptos" w:hAnsi="Aptos" w:cs="Times New Roman"/>
                <w:noProof/>
              </w:rPr>
              <w:t>(Artificial intelligence,"how to think about the ai impact on the economy", no date)</w:t>
            </w:r>
            <w:r w:rsidRPr="00E26B74">
              <w:rPr>
                <w:rStyle w:val="Hyperlink"/>
                <w:noProof/>
              </w:rPr>
              <w:t>.</w:t>
            </w:r>
            <w:r>
              <w:rPr>
                <w:noProof/>
                <w:webHidden/>
              </w:rPr>
              <w:tab/>
            </w:r>
            <w:r>
              <w:rPr>
                <w:noProof/>
                <w:webHidden/>
              </w:rPr>
              <w:fldChar w:fldCharType="begin"/>
            </w:r>
            <w:r>
              <w:rPr>
                <w:noProof/>
                <w:webHidden/>
              </w:rPr>
              <w:instrText xml:space="preserve"> PAGEREF _Toc235032464 \h </w:instrText>
            </w:r>
            <w:r>
              <w:rPr>
                <w:noProof/>
                <w:webHidden/>
              </w:rPr>
            </w:r>
            <w:r>
              <w:rPr>
                <w:noProof/>
                <w:webHidden/>
              </w:rPr>
              <w:fldChar w:fldCharType="separate"/>
            </w:r>
            <w:r>
              <w:rPr>
                <w:noProof/>
                <w:webHidden/>
              </w:rPr>
              <w:t>9</w:t>
            </w:r>
            <w:r>
              <w:rPr>
                <w:noProof/>
                <w:webHidden/>
              </w:rPr>
              <w:fldChar w:fldCharType="end"/>
            </w:r>
          </w:hyperlink>
        </w:p>
        <w:p w:rsidR="008618F2" w:rsidP="002E444D" w:rsidRDefault="002E444D" w14:paraId="295FF1D1" w14:textId="6E98AE34">
          <w:r>
            <w:rPr>
              <w:b/>
              <w:bCs/>
              <w:noProof/>
            </w:rPr>
            <w:fldChar w:fldCharType="end"/>
          </w:r>
        </w:p>
      </w:sdtContent>
    </w:sdt>
    <w:p w:rsidR="008618F2" w:rsidRDefault="008618F2" w14:paraId="0C1414DA" w14:textId="20ABA10A">
      <w:pPr>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br w:type="page"/>
      </w:r>
    </w:p>
    <w:p w:rsidRPr="002145DA" w:rsidR="008618F2" w:rsidP="002145DA" w:rsidRDefault="008618F2" w14:paraId="71F56ED3" w14:textId="77777777">
      <w:pPr>
        <w:spacing w:before="100" w:beforeAutospacing="1" w:after="100" w:afterAutospacing="1" w:line="360" w:lineRule="auto"/>
        <w:jc w:val="both"/>
        <w:outlineLvl w:val="0"/>
        <w:rPr>
          <w:rFonts w:eastAsia="Times New Roman" w:asciiTheme="majorBidi" w:hAnsiTheme="majorBidi" w:cstheme="majorBidi"/>
          <w:b/>
          <w:bCs/>
          <w:kern w:val="36"/>
          <w:lang w:eastAsia="en-GB"/>
          <w14:ligatures w14:val="none"/>
        </w:rPr>
      </w:pPr>
      <w:bookmarkStart w:name="_Toc235032447" w:id="1"/>
      <w:r w:rsidRPr="002145DA">
        <w:rPr>
          <w:rFonts w:eastAsia="Times New Roman" w:asciiTheme="majorBidi" w:hAnsiTheme="majorBidi" w:cstheme="majorBidi"/>
          <w:b/>
          <w:bCs/>
          <w:kern w:val="36"/>
          <w:lang w:eastAsia="en-GB"/>
          <w14:ligatures w14:val="none"/>
        </w:rPr>
        <w:t>1. Introduction</w:t>
      </w:r>
      <w:bookmarkEnd w:id="1"/>
      <w:r w:rsidRPr="002145DA">
        <w:rPr>
          <w:rFonts w:eastAsia="Times New Roman" w:asciiTheme="majorBidi" w:hAnsiTheme="majorBidi" w:cstheme="majorBidi"/>
          <w:b/>
          <w:bCs/>
          <w:kern w:val="36"/>
          <w:lang w:eastAsia="en-GB"/>
          <w14:ligatures w14:val="none"/>
        </w:rPr>
        <w:t xml:space="preserve"> </w:t>
      </w:r>
    </w:p>
    <w:p w:rsidR="00996F6D" w:rsidP="002145DA" w:rsidRDefault="00996F6D" w14:paraId="501EF514"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Artificial Intelligence (AI), in its transformative capabilities, has changed the landscape of international business, impacting its strategies, innovations and value generation across international markets. AI is not simply a technological solution, but also a strategic competence that enhances efficiency in operations, data-informed decision making and competitive advantage in a sustainable manner. Initiatives for expansion into foreign markets come in tandem with movements to fit the new institutional characteristics or regulatory frameworks and market conditions. The Uppsala Internationalisation Model and the Eclectic (OLI) Paradigm are among the theories that identified multinational companies' success in internationalization as a process of learning to identify host country conditions and adapt to them, as well as leveraging firm specific capabilities (Dunning, 2001; Johanson and Vahlne, 1977). Moreover, the institutional theory suggests that organizations need to build legitimacy and competitively survive in the long-term by accepting formal institutions and social norms (DiMaggio and Powell 1983; Sahin and Mert 2023).</w:t>
      </w:r>
    </w:p>
    <w:p w:rsidR="006672FA" w:rsidP="002145DA" w:rsidRDefault="006672FA" w14:paraId="6E01BDB9" w14:textId="7D43922A">
      <w:pPr>
        <w:spacing w:before="100" w:beforeAutospacing="1" w:after="100" w:afterAutospacing="1" w:line="360" w:lineRule="auto"/>
        <w:jc w:val="both"/>
        <w:rPr>
          <w:rFonts w:eastAsia="Times New Roman" w:asciiTheme="majorBidi" w:hAnsiTheme="majorBidi" w:cstheme="majorBidi"/>
          <w:lang w:eastAsia="en-GB"/>
          <w14:ligatures w14:val="none"/>
        </w:rPr>
      </w:pPr>
      <w:r w:rsidRPr="006672FA">
        <w:rPr>
          <w:rFonts w:eastAsia="Times New Roman" w:asciiTheme="majorBidi" w:hAnsiTheme="majorBidi" w:cstheme="majorBidi"/>
          <w:noProof/>
          <w:lang w:eastAsia="en-GB"/>
          <w14:ligatures w14:val="none"/>
        </w:rPr>
        <w:drawing>
          <wp:inline distT="0" distB="0" distL="0" distR="0" wp14:anchorId="244B5BC2" wp14:editId="7ACC5A89">
            <wp:extent cx="5943600" cy="2903855"/>
            <wp:effectExtent l="0" t="0" r="0" b="0"/>
            <wp:docPr id="1406533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33312" name=""/>
                    <pic:cNvPicPr/>
                  </pic:nvPicPr>
                  <pic:blipFill>
                    <a:blip r:embed="rId7"/>
                    <a:stretch>
                      <a:fillRect/>
                    </a:stretch>
                  </pic:blipFill>
                  <pic:spPr>
                    <a:xfrm>
                      <a:off x="0" y="0"/>
                      <a:ext cx="5943600" cy="2903855"/>
                    </a:xfrm>
                    <a:prstGeom prst="rect">
                      <a:avLst/>
                    </a:prstGeom>
                  </pic:spPr>
                </pic:pic>
              </a:graphicData>
            </a:graphic>
          </wp:inline>
        </w:drawing>
      </w:r>
    </w:p>
    <w:p w:rsidRPr="002145DA" w:rsidR="006672FA" w:rsidP="006672FA" w:rsidRDefault="006672FA" w14:paraId="5DF8C684" w14:textId="6AF24896">
      <w:pPr>
        <w:pStyle w:val="Caption"/>
        <w:rPr>
          <w:rFonts w:eastAsia="Times New Roman" w:asciiTheme="majorBidi" w:hAnsiTheme="majorBidi" w:cstheme="majorBidi"/>
          <w:lang w:eastAsia="en-GB"/>
          <w14:ligatures w14:val="none"/>
        </w:rPr>
      </w:pPr>
      <w:bookmarkStart w:name="_Toc235032463" w:id="2"/>
      <w:r>
        <w:t xml:space="preserve">Figure </w:t>
      </w:r>
      <w:r>
        <w:fldChar w:fldCharType="begin"/>
      </w:r>
      <w:r>
        <w:instrText> SEQ Figure \* ARABIC </w:instrText>
      </w:r>
      <w:r>
        <w:fldChar w:fldCharType="separate"/>
      </w:r>
      <w:r w:rsidR="002477EC">
        <w:rPr>
          <w:noProof/>
        </w:rPr>
        <w:t>1</w:t>
      </w:r>
      <w:r>
        <w:fldChar w:fldCharType="end"/>
      </w:r>
      <w:r>
        <w:t xml:space="preserve">: </w:t>
      </w:r>
      <w:r>
        <w:fldChar w:fldCharType="begin"/>
      </w:r>
      <w:r>
        <w:instrText xml:space="preserve"> ADDIN ZOTERO_ITEM CSL_CITATION {"citationID":"XC3NEGfu","properties":{"unsorted":false,"formattedCitation":"({\\i{}AI &amp; Robotics}, no date)","plainCitation":"(AI &amp; Robotics, no date)","noteIndex":0},"citationItems":[{"id":1216,"uris":["http://zotero.org/users/local/tRuoqBhx/items/8CX8JPDA"],"itemData":{"id":1216,"type":"webpage","abstract":"We develop and deploy autonomy at scale in vehicles, robots and more. Join us to build the future of artificial intelligence.","container-title":"Tesla","language":"en","title":"AI &amp; Robotics","URL":"https://www.tesla.com/AI","accessed":{"date-parts":[["2026",7,15]]}}}],"schema":"https://github.com/citation-style-language/schema/raw/master/csl-citation.json"} </w:instrText>
      </w:r>
      <w:r>
        <w:fldChar w:fldCharType="separate"/>
      </w:r>
      <w:r w:rsidRPr="006672FA">
        <w:rPr>
          <w:rFonts w:ascii="Aptos" w:hAnsi="Aptos" w:cs="Times New Roman"/>
        </w:rPr>
        <w:t>(</w:t>
      </w:r>
      <w:r w:rsidRPr="006672FA">
        <w:rPr>
          <w:rFonts w:ascii="Aptos" w:hAnsi="Aptos" w:cs="Times New Roman"/>
          <w:i w:val="0"/>
          <w:iCs w:val="0"/>
        </w:rPr>
        <w:t>AI &amp; Robotics</w:t>
      </w:r>
      <w:r w:rsidRPr="006672FA">
        <w:rPr>
          <w:rFonts w:ascii="Aptos" w:hAnsi="Aptos" w:cs="Times New Roman"/>
        </w:rPr>
        <w:t>, no date)</w:t>
      </w:r>
      <w:r>
        <w:fldChar w:fldCharType="end"/>
      </w:r>
      <w:r>
        <w:t>.</w:t>
      </w:r>
      <w:bookmarkEnd w:id="2"/>
    </w:p>
    <w:p w:rsidRPr="002145DA" w:rsidR="00996F6D" w:rsidP="002145DA" w:rsidRDefault="00996F6D" w14:paraId="4EACDC21"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Tesla Inc. is a suitable example to consider these challenges as they are a multi-national Automobile Company as well as an AI Technology Company. The competitive system of the business is not only limited to the use of electric cars, but also autonomous driving systems, AI, machine learning, robotics and continuous software development (Tesla, 2024; Hopkins and </w:t>
      </w:r>
      <w:r w:rsidRPr="002145DA">
        <w:rPr>
          <w:rFonts w:eastAsia="Times New Roman" w:asciiTheme="majorBidi" w:hAnsiTheme="majorBidi" w:cstheme="majorBidi"/>
          <w:lang w:eastAsia="en-GB"/>
          <w14:ligatures w14:val="none"/>
        </w:rPr>
        <w:t>Lazonick, 2024). The roll-out and ongoing investment in intelligent mobility by Tesla have boosted its market standing, while also posing new challenges related to regulation, ethics, and operation regarding the adoption of AI (Lu, 2023; Zhou, 2024).</w:t>
      </w:r>
    </w:p>
    <w:p w:rsidRPr="002145DA" w:rsidR="00996F6D" w:rsidP="002145DA" w:rsidRDefault="00996F6D" w14:paraId="5885ABFD" w14:textId="062309E0">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The goal of this report is to engage the attention of Tesla's senior leadership team with the opportunities and risks of adopting this new technology known as artificial intelligence (AI). The analysis emphasizes AI governance, risk management, and regulatory conformance by comparing the regulation of AI in the United Kingdom and </w:t>
      </w:r>
      <w:r w:rsidRPr="002145DA" w:rsidR="002145DA">
        <w:rPr>
          <w:rFonts w:eastAsia="Times New Roman" w:asciiTheme="majorBidi" w:hAnsiTheme="majorBidi" w:cstheme="majorBidi"/>
          <w:lang w:eastAsia="en-GB"/>
          <w14:ligatures w14:val="none"/>
        </w:rPr>
        <w:t>China. The</w:t>
      </w:r>
      <w:r w:rsidRPr="002145DA">
        <w:rPr>
          <w:rFonts w:eastAsia="Times New Roman" w:asciiTheme="majorBidi" w:hAnsiTheme="majorBidi" w:cstheme="majorBidi"/>
          <w:lang w:eastAsia="en-GB"/>
          <w14:ligatures w14:val="none"/>
        </w:rPr>
        <w:t xml:space="preserve"> analysis highlights the discussions on the governance, risk management, and regulatory compliance aspects of using AI, highlighting a comparative evaluation of how AI is regulated in both nations, the United Kingdom and China. The report first </w:t>
      </w:r>
      <w:r w:rsidRPr="002145DA" w:rsidR="002145DA">
        <w:rPr>
          <w:rFonts w:eastAsia="Times New Roman" w:asciiTheme="majorBidi" w:hAnsiTheme="majorBidi" w:cstheme="majorBidi"/>
          <w:lang w:eastAsia="en-GB"/>
          <w14:ligatures w14:val="none"/>
        </w:rPr>
        <w:t>analyses</w:t>
      </w:r>
      <w:r w:rsidRPr="002145DA">
        <w:rPr>
          <w:rFonts w:eastAsia="Times New Roman" w:asciiTheme="majorBidi" w:hAnsiTheme="majorBidi" w:cstheme="majorBidi"/>
          <w:lang w:eastAsia="en-GB"/>
          <w14:ligatures w14:val="none"/>
        </w:rPr>
        <w:t xml:space="preserve"> the external business environment, followed by a discussion of the economic implications of AI, a risk assessment of AI risks, issues of governance and the regulatory landscape before articulating strategic suggestions and a roadmap associated with implementing AI features to bolster long-term Tesla competitive performance.</w:t>
      </w:r>
    </w:p>
    <w:p w:rsidRPr="002145DA" w:rsidR="008618F2" w:rsidP="002145DA" w:rsidRDefault="008618F2" w14:paraId="2C4CA2C4"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48" w:id="3"/>
      <w:r w:rsidRPr="002145DA">
        <w:rPr>
          <w:rFonts w:eastAsia="Times New Roman" w:asciiTheme="majorBidi" w:hAnsiTheme="majorBidi" w:cstheme="majorBidi"/>
          <w:b/>
          <w:bCs/>
          <w:lang w:eastAsia="en-GB"/>
          <w14:ligatures w14:val="none"/>
        </w:rPr>
        <w:t>2. Global Business Environment Analysis (PESTLE)</w:t>
      </w:r>
      <w:bookmarkEnd w:id="3"/>
    </w:p>
    <w:p w:rsidR="00996F6D" w:rsidP="002145DA" w:rsidRDefault="00996F6D" w14:paraId="6313C8C9" w14:textId="773A8160">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AI has revolutionized the EV sector's competitive landscape, </w:t>
      </w:r>
      <w:r w:rsidRPr="002145DA" w:rsidR="002145DA">
        <w:rPr>
          <w:rFonts w:eastAsia="Times New Roman" w:asciiTheme="majorBidi" w:hAnsiTheme="majorBidi" w:cstheme="majorBidi"/>
          <w:lang w:eastAsia="en-GB"/>
          <w14:ligatures w14:val="none"/>
        </w:rPr>
        <w:t>fostered</w:t>
      </w:r>
      <w:r w:rsidRPr="002145DA">
        <w:rPr>
          <w:rFonts w:eastAsia="Times New Roman" w:asciiTheme="majorBidi" w:hAnsiTheme="majorBidi" w:cstheme="majorBidi"/>
          <w:lang w:eastAsia="en-GB"/>
          <w14:ligatures w14:val="none"/>
        </w:rPr>
        <w:t xml:space="preserve"> innovation and </w:t>
      </w:r>
      <w:r w:rsidRPr="002145DA" w:rsidR="002477EC">
        <w:rPr>
          <w:rFonts w:eastAsia="Times New Roman" w:asciiTheme="majorBidi" w:hAnsiTheme="majorBidi" w:cstheme="majorBidi"/>
          <w:lang w:eastAsia="en-GB"/>
          <w14:ligatures w14:val="none"/>
        </w:rPr>
        <w:t>regulated</w:t>
      </w:r>
      <w:r w:rsidRPr="002145DA">
        <w:rPr>
          <w:rFonts w:eastAsia="Times New Roman" w:asciiTheme="majorBidi" w:hAnsiTheme="majorBidi" w:cstheme="majorBidi"/>
          <w:lang w:eastAsia="en-GB"/>
          <w14:ligatures w14:val="none"/>
        </w:rPr>
        <w:t xml:space="preserve"> the sector on an international scale.AI has transformed the competitive landscape, fostered innovation, and regulated the global EV industry. The external environment is at crucial level for Tesla </w:t>
      </w:r>
      <w:proofErr w:type="gramStart"/>
      <w:r w:rsidRPr="002145DA">
        <w:rPr>
          <w:rFonts w:eastAsia="Times New Roman" w:asciiTheme="majorBidi" w:hAnsiTheme="majorBidi" w:cstheme="majorBidi"/>
          <w:lang w:eastAsia="en-GB"/>
          <w14:ligatures w14:val="none"/>
        </w:rPr>
        <w:t>in order to</w:t>
      </w:r>
      <w:proofErr w:type="gramEnd"/>
      <w:r w:rsidRPr="002145DA">
        <w:rPr>
          <w:rFonts w:eastAsia="Times New Roman" w:asciiTheme="majorBidi" w:hAnsiTheme="majorBidi" w:cstheme="majorBidi"/>
          <w:lang w:eastAsia="en-GB"/>
          <w14:ligatures w14:val="none"/>
        </w:rPr>
        <w:t xml:space="preserve"> introduce the autonomous driving capabilities with AI and to maintain the competitive advantage. The analysis of the political, economic, social, technological, legal and environmental factors (PESTLE) that impact Tesla's activities in the UK and China will foster adaptation to the </w:t>
      </w:r>
      <w:proofErr w:type="gramStart"/>
      <w:r w:rsidRPr="002145DA">
        <w:rPr>
          <w:rFonts w:eastAsia="Times New Roman" w:asciiTheme="majorBidi" w:hAnsiTheme="majorBidi" w:cstheme="majorBidi"/>
          <w:lang w:eastAsia="en-GB"/>
          <w14:ligatures w14:val="none"/>
        </w:rPr>
        <w:t>particular institutional</w:t>
      </w:r>
      <w:proofErr w:type="gramEnd"/>
      <w:r w:rsidRPr="002145DA">
        <w:rPr>
          <w:rFonts w:eastAsia="Times New Roman" w:asciiTheme="majorBidi" w:hAnsiTheme="majorBidi" w:cstheme="majorBidi"/>
          <w:lang w:eastAsia="en-GB"/>
          <w14:ligatures w14:val="none"/>
        </w:rPr>
        <w:t xml:space="preserve"> context required for the action planning </w:t>
      </w:r>
      <w:r w:rsidRPr="002145DA" w:rsidR="002145DA">
        <w:rPr>
          <w:rFonts w:eastAsia="Times New Roman" w:asciiTheme="majorBidi" w:hAnsiTheme="majorBidi" w:cstheme="majorBidi"/>
          <w:lang w:eastAsia="en-GB"/>
          <w14:ligatures w14:val="none"/>
        </w:rPr>
        <w:t>process. The</w:t>
      </w:r>
      <w:r w:rsidRPr="002145DA">
        <w:rPr>
          <w:rFonts w:eastAsia="Times New Roman" w:asciiTheme="majorBidi" w:hAnsiTheme="majorBidi" w:cstheme="majorBidi"/>
          <w:lang w:eastAsia="en-GB"/>
          <w14:ligatures w14:val="none"/>
        </w:rPr>
        <w:t xml:space="preserve"> PESTLE framework will analyse the political, economic, social, technological, legal and environmental factors affecting the operation of Tesla in the UK and China, two markets where the institutional environment will be different, providing flexibility to adapt an action planning process.</w:t>
      </w:r>
    </w:p>
    <w:p w:rsidR="000B4F79" w:rsidP="000B4F79" w:rsidRDefault="000B4F79" w14:paraId="034CA1EF" w14:textId="38E6C974">
      <w:pPr>
        <w:pStyle w:val="Caption"/>
      </w:pPr>
      <w:bookmarkStart w:name="_Toc235032460" w:id="4"/>
      <w:r>
        <w:t xml:space="preserve">Table </w:t>
      </w:r>
      <w:r>
        <w:fldChar w:fldCharType="begin"/>
      </w:r>
      <w:r>
        <w:instrText> SEQ Table \* ARABIC </w:instrText>
      </w:r>
      <w:r>
        <w:fldChar w:fldCharType="separate"/>
      </w:r>
      <w:r w:rsidR="002477EC">
        <w:rPr>
          <w:noProof/>
        </w:rPr>
        <w:t>1</w:t>
      </w:r>
      <w:r>
        <w:fldChar w:fldCharType="end"/>
      </w:r>
      <w:r>
        <w:t xml:space="preserve">: </w:t>
      </w:r>
      <w:r w:rsidRPr="00BE0481">
        <w:t>PESTLE Analysis of Tesla in the UK and China</w:t>
      </w:r>
      <w:r>
        <w:t>.</w:t>
      </w:r>
      <w:bookmarkEnd w:id="4"/>
    </w:p>
    <w:p w:rsidRPr="000B4F79" w:rsidR="000B4F79" w:rsidP="000B4F79" w:rsidRDefault="000B4F79" w14:paraId="7687441C" w14:textId="0B3C13EA">
      <w:pPr>
        <w:rPr>
          <w:lang w:eastAsia="en-GB"/>
        </w:rPr>
      </w:pPr>
      <w:r w:rsidRPr="000B4F79">
        <w:rPr>
          <w:noProof/>
        </w:rPr>
        <w:drawing>
          <wp:inline distT="0" distB="0" distL="0" distR="0" wp14:anchorId="7BC1B4B1" wp14:editId="1FDC5CC5">
            <wp:extent cx="5943600" cy="4067810"/>
            <wp:effectExtent l="0" t="0" r="0" b="8890"/>
            <wp:docPr id="1569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alphaModFix amt="85000"/>
                      <a:extLst>
                        <a:ext uri="{28A0092B-C50C-407E-A947-70E740481C1C}">
                          <a14:useLocalDpi xmlns:a14="http://schemas.microsoft.com/office/drawing/2010/main" val="0"/>
                        </a:ext>
                      </a:extLst>
                    </a:blip>
                    <a:srcRect/>
                    <a:stretch>
                      <a:fillRect/>
                    </a:stretch>
                  </pic:blipFill>
                  <pic:spPr bwMode="auto">
                    <a:xfrm>
                      <a:off x="0" y="0"/>
                      <a:ext cx="5943600" cy="4067810"/>
                    </a:xfrm>
                    <a:prstGeom prst="rect">
                      <a:avLst/>
                    </a:prstGeom>
                    <a:noFill/>
                    <a:ln>
                      <a:noFill/>
                    </a:ln>
                  </pic:spPr>
                </pic:pic>
              </a:graphicData>
            </a:graphic>
          </wp:inline>
        </w:drawing>
      </w:r>
    </w:p>
    <w:p w:rsidRPr="002145DA" w:rsidR="008618F2" w:rsidP="002145DA" w:rsidRDefault="008618F2" w14:paraId="73C38B27"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2.1 Political Factors</w:t>
      </w:r>
    </w:p>
    <w:p w:rsidRPr="002145DA" w:rsidR="00996F6D" w:rsidP="002145DA" w:rsidRDefault="00996F6D" w14:paraId="654CECF1" w14:textId="43662FB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While UK government policies are </w:t>
      </w:r>
      <w:r w:rsidRPr="002145DA" w:rsidR="002145DA">
        <w:rPr>
          <w:rFonts w:eastAsia="Times New Roman" w:asciiTheme="majorBidi" w:hAnsiTheme="majorBidi" w:cstheme="majorBidi"/>
          <w:lang w:eastAsia="en-GB"/>
          <w14:ligatures w14:val="none"/>
        </w:rPr>
        <w:t>favourable</w:t>
      </w:r>
      <w:r w:rsidRPr="002145DA">
        <w:rPr>
          <w:rFonts w:eastAsia="Times New Roman" w:asciiTheme="majorBidi" w:hAnsiTheme="majorBidi" w:cstheme="majorBidi"/>
          <w:lang w:eastAsia="en-GB"/>
          <w14:ligatures w14:val="none"/>
        </w:rPr>
        <w:t xml:space="preserve"> for low carbon transport through charging infrastructure investments and incentivizing ZE vehicles, the regulatory climate for AI in autonomous vehicles takes a cautious stance with a focus on safety and the possible hindrances to commercialization might be a challenge (Hopkins and Lazonick, 2024). China's AI and EV policies are strategic national initiatives, </w:t>
      </w:r>
      <w:r w:rsidRPr="002145DA" w:rsidR="002477EC">
        <w:rPr>
          <w:rFonts w:eastAsia="Times New Roman" w:asciiTheme="majorBidi" w:hAnsiTheme="majorBidi" w:cstheme="majorBidi"/>
          <w:lang w:eastAsia="en-GB"/>
          <w14:ligatures w14:val="none"/>
        </w:rPr>
        <w:t>which</w:t>
      </w:r>
      <w:r w:rsidRPr="002145DA">
        <w:rPr>
          <w:rFonts w:eastAsia="Times New Roman" w:asciiTheme="majorBidi" w:hAnsiTheme="majorBidi" w:cstheme="majorBidi"/>
          <w:lang w:eastAsia="en-GB"/>
          <w14:ligatures w14:val="none"/>
        </w:rPr>
        <w:t xml:space="preserve"> were unable to emerge without substantial public funding and economic policies, but do feature a higher degree of State regulation, including data governance (Irfan and Tang, 2025). Consequently, Tesla doesn't have the flexibility of the same political playbook in both countries, and it'll be required to master a different approach in China than in the UK.</w:t>
      </w:r>
    </w:p>
    <w:p w:rsidRPr="002145DA" w:rsidR="008618F2" w:rsidP="002145DA" w:rsidRDefault="008618F2" w14:paraId="33D46D24"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2.2 Economic Factors</w:t>
      </w:r>
    </w:p>
    <w:p w:rsidRPr="002145DA" w:rsidR="00996F6D" w:rsidP="002145DA" w:rsidRDefault="00996F6D" w14:paraId="70120CCD"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While demand for EVs in the UK is on the rise, the combination of inflation, supply chain challenges and increasing energy costs puts pressure on margins and can push Tesla towards an </w:t>
      </w:r>
      <w:r w:rsidRPr="002145DA">
        <w:rPr>
          <w:rFonts w:eastAsia="Times New Roman" w:asciiTheme="majorBidi" w:hAnsiTheme="majorBidi" w:cstheme="majorBidi"/>
          <w:lang w:eastAsia="en-GB"/>
          <w14:ligatures w14:val="none"/>
        </w:rPr>
        <w:t>AI enhanced manufacturing and supply chain for EVs (Hopkins and Lazonick, 2024). In China, the market is the biggest in the world, and has the strongest government backing, but a lot of price and tech competition from other firms in the country, such as BYD, meaning continued investment in the fields of AI and auto-driving is essential to stand out rather than being a race to the bottom (Lu, 2025; Irfan and Tang, 2025). Whilst AI can save money by cutting out processes and maintain products more predictively and at a lower cost, the volume of research and development investment needed increases risk to the business – and having innovation without cost control will prevent long term competition (Barrie, 2023).</w:t>
      </w:r>
    </w:p>
    <w:p w:rsidRPr="002145DA" w:rsidR="008618F2" w:rsidP="002145DA" w:rsidRDefault="008618F2" w14:paraId="7BC92C43"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2.3 Social Factors</w:t>
      </w:r>
    </w:p>
    <w:p w:rsidRPr="002145DA" w:rsidR="00996F6D" w:rsidP="002145DA" w:rsidRDefault="00996F6D" w14:paraId="0E6B5092" w14:textId="3289B1B6">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Consumer acceptance of EVs is rapidly growing on environmental grounds, while there is some hesitation with autonomous driving; consumers are concerned with accountability, cyber security and safety etc., therefore, the public will only trust and use autonomous driving if it is transparent and reliable in real world scenarios (Debnath et al., 2021). Chinese customers are more open to AI-enabled digital services, </w:t>
      </w:r>
      <w:r w:rsidRPr="002145DA" w:rsidR="002145DA">
        <w:rPr>
          <w:rFonts w:eastAsia="Times New Roman" w:asciiTheme="majorBidi" w:hAnsiTheme="majorBidi" w:cstheme="majorBidi"/>
          <w:lang w:eastAsia="en-GB"/>
          <w14:ligatures w14:val="none"/>
        </w:rPr>
        <w:t>fuelled</w:t>
      </w:r>
      <w:r w:rsidRPr="002145DA">
        <w:rPr>
          <w:rFonts w:eastAsia="Times New Roman" w:asciiTheme="majorBidi" w:hAnsiTheme="majorBidi" w:cstheme="majorBidi"/>
          <w:lang w:eastAsia="en-GB"/>
          <w14:ligatures w14:val="none"/>
        </w:rPr>
        <w:t xml:space="preserve"> by a robust digital ecosystem, and yet, the increasing data privacy awareness makes it essential for digital services to be built on data accountability and management, and less on innovation (Irfan and Tang, 2025).</w:t>
      </w:r>
    </w:p>
    <w:p w:rsidRPr="002145DA" w:rsidR="008618F2" w:rsidP="002145DA" w:rsidRDefault="008618F2" w14:paraId="64F67C13"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2.4 Technological Factors</w:t>
      </w:r>
    </w:p>
    <w:p w:rsidRPr="002145DA" w:rsidR="00996F6D" w:rsidP="002145DA" w:rsidRDefault="00996F6D" w14:paraId="0507FC83"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The strength of Tesla's business is based on its use of the latest technologies such as artificial intelligence, machine learning, over the air updates and battery technology. While China has a strong focus on investing in AI infrastructure, smart cities, and intelligent transport systems, which facilitate quicker testing and deployment of AVs, the UK has robust research capabilities that need to be complemented by faster infrastructure development and regulation for AVs, and ultimately, its commercialisation (Niño Suarez et al., 2025). The continuous effort of investing in software and data analytics will continue to be crucial as the competitors close that gap (Huang, 2024).</w:t>
      </w:r>
    </w:p>
    <w:p w:rsidRPr="002145DA" w:rsidR="008618F2" w:rsidP="002145DA" w:rsidRDefault="008618F2" w14:paraId="08D7BFA1"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2.5 Legal Factors</w:t>
      </w:r>
    </w:p>
    <w:p w:rsidRPr="002145DA" w:rsidR="00996F6D" w:rsidP="002145DA" w:rsidRDefault="00996F6D" w14:paraId="4FA7A56F"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However, regulation in the UK calls on safety, accountability, and rigorous testing before embarked on a commercial deployment. China has robust innovation support, and its strict rules </w:t>
      </w:r>
      <w:r w:rsidRPr="002145DA">
        <w:rPr>
          <w:rFonts w:eastAsia="Times New Roman" w:asciiTheme="majorBidi" w:hAnsiTheme="majorBidi" w:cstheme="majorBidi"/>
          <w:lang w:eastAsia="en-GB"/>
          <w14:ligatures w14:val="none"/>
        </w:rPr>
        <w:t>on digital regulation, including data localisation requirements and cybersecurity requirements, as laid out in the Personal Information Protection Law and Data Security Law (Calzada, 2022; Chen and Sun, 2021), which are backed by increased regulation of digital technologies from the Chinese government (Determann et al., 2021). The instability of these different legalisms means that there is no single compliance model that can be applied worldwide and governance would have to emerge on a regional basis.</w:t>
      </w:r>
    </w:p>
    <w:p w:rsidRPr="002145DA" w:rsidR="008618F2" w:rsidP="002145DA" w:rsidRDefault="008618F2" w14:paraId="2832C014"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2.6 Environmental Factors</w:t>
      </w:r>
    </w:p>
    <w:p w:rsidRPr="002145DA" w:rsidR="00996F6D" w:rsidP="002145DA" w:rsidRDefault="00996F6D" w14:paraId="59365E6A" w14:textId="616B20AE">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Both markets aim for highly ambitious reduction targets that will be here in a way that will still be beneficial to long term EV </w:t>
      </w:r>
      <w:r w:rsidRPr="002145DA" w:rsidR="002477EC">
        <w:rPr>
          <w:rFonts w:eastAsia="Times New Roman" w:asciiTheme="majorBidi" w:hAnsiTheme="majorBidi" w:cstheme="majorBidi"/>
          <w:lang w:eastAsia="en-GB"/>
          <w14:ligatures w14:val="none"/>
        </w:rPr>
        <w:t>use and</w:t>
      </w:r>
      <w:r w:rsidRPr="002145DA">
        <w:rPr>
          <w:rFonts w:eastAsia="Times New Roman" w:asciiTheme="majorBidi" w:hAnsiTheme="majorBidi" w:cstheme="majorBidi"/>
          <w:lang w:eastAsia="en-GB"/>
          <w14:ligatures w14:val="none"/>
        </w:rPr>
        <w:t xml:space="preserve"> strengthen Tesla's core business model. Current environmental demands are no longer limited to tail pipe emissions, but also reach the battery manufacturing process, the resources extracted and the sustainability of the supply chain, compelling Tesla to incorporate AI into a sustainable approach to manufacturing </w:t>
      </w:r>
      <w:r w:rsidRPr="002145DA" w:rsidR="002145DA">
        <w:rPr>
          <w:rFonts w:eastAsia="Times New Roman" w:asciiTheme="majorBidi" w:hAnsiTheme="majorBidi" w:cstheme="majorBidi"/>
          <w:lang w:eastAsia="en-GB"/>
          <w14:ligatures w14:val="none"/>
        </w:rPr>
        <w:t>CO. Today</w:t>
      </w:r>
      <w:r w:rsidRPr="002145DA">
        <w:rPr>
          <w:rFonts w:eastAsia="Times New Roman" w:asciiTheme="majorBidi" w:hAnsiTheme="majorBidi" w:cstheme="majorBidi"/>
          <w:lang w:eastAsia="en-GB"/>
          <w14:ligatures w14:val="none"/>
        </w:rPr>
        <w:t>, environmental expectations have gone beyond tail pipe emissions, and include the production of batteries, the extraction of resources, sustainability of their supply chain – the whole product lifecycle (De Sousa and Castañeda Ayarza, 2022; Niño Suarez et al., 2025).</w:t>
      </w:r>
    </w:p>
    <w:p w:rsidRPr="002145DA" w:rsidR="008618F2" w:rsidP="002145DA" w:rsidRDefault="008618F2" w14:paraId="0ED8928E"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2.7 Critical Evaluation</w:t>
      </w:r>
    </w:p>
    <w:p w:rsidRPr="002145DA" w:rsidR="00996F6D" w:rsidP="002145DA" w:rsidRDefault="00996F6D" w14:paraId="16A3352B" w14:textId="2D089490">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Tesla has two attractive, but very different, environments. The Chinese government provides generous support, cutting-edge technology and advanced infrastructure, with growth comes a level of regulation and competition. The UK provides a more stable and sustainable regulatory landscape with duration lags, tempered by public mistrust and cautiousness around the use of autonomous technology. Thus, given the considerable opportunity and operational, legal and strategic risk </w:t>
      </w:r>
      <w:r w:rsidRPr="002145DA" w:rsidR="002145DA">
        <w:rPr>
          <w:rFonts w:eastAsia="Times New Roman" w:asciiTheme="majorBidi" w:hAnsiTheme="majorBidi" w:cstheme="majorBidi"/>
          <w:lang w:eastAsia="en-GB"/>
          <w14:ligatures w14:val="none"/>
        </w:rPr>
        <w:t>Tesla’s</w:t>
      </w:r>
      <w:r w:rsidRPr="002145DA">
        <w:rPr>
          <w:rFonts w:eastAsia="Times New Roman" w:asciiTheme="majorBidi" w:hAnsiTheme="majorBidi" w:cstheme="majorBidi"/>
          <w:lang w:eastAsia="en-GB"/>
          <w14:ligatures w14:val="none"/>
        </w:rPr>
        <w:t xml:space="preserve"> could face due to the external environment, long-term success will require adapting the governance and market strategy of artificial intelligence to the political climate of each country (Barrie, 2023; Hopkins and Lazonick, 2024).</w:t>
      </w:r>
    </w:p>
    <w:p w:rsidRPr="002145DA" w:rsidR="00A819AB" w:rsidP="002145DA" w:rsidRDefault="00A819AB" w14:paraId="1E4FF8C4" w14:textId="77777777">
      <w:pPr>
        <w:spacing w:before="100" w:beforeAutospacing="1" w:after="100" w:afterAutospacing="1" w:line="360" w:lineRule="auto"/>
        <w:jc w:val="both"/>
        <w:outlineLvl w:val="1"/>
        <w:rPr>
          <w:rFonts w:eastAsia="Times New Roman" w:asciiTheme="majorBidi" w:hAnsiTheme="majorBidi" w:cstheme="majorBidi"/>
          <w:b/>
          <w:bCs/>
          <w:lang w:eastAsia="en-GB"/>
          <w14:ligatures w14:val="none"/>
        </w:rPr>
      </w:pPr>
      <w:bookmarkStart w:name="_Toc235032449" w:id="5"/>
      <w:r w:rsidRPr="002145DA">
        <w:rPr>
          <w:rFonts w:eastAsia="Times New Roman" w:asciiTheme="majorBidi" w:hAnsiTheme="majorBidi" w:cstheme="majorBidi"/>
          <w:b/>
          <w:bCs/>
          <w:lang w:eastAsia="en-GB"/>
          <w14:ligatures w14:val="none"/>
        </w:rPr>
        <w:t>3. Macroeconomic and Microeconomic Impact of Artificial Intelligence</w:t>
      </w:r>
      <w:bookmarkEnd w:id="5"/>
    </w:p>
    <w:p w:rsidRPr="002145DA" w:rsidR="00996F6D" w:rsidP="002145DA" w:rsidRDefault="00996F6D" w14:paraId="7D38EB22"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As labour markets, productivity, competitiveness of businesses, and economic growth are all affected, artificial intelligence (AI) is changing economies around the world. In the case of Tesla, </w:t>
      </w:r>
      <w:r w:rsidRPr="002145DA">
        <w:rPr>
          <w:rFonts w:eastAsia="Times New Roman" w:asciiTheme="majorBidi" w:hAnsiTheme="majorBidi" w:cstheme="majorBidi"/>
          <w:lang w:eastAsia="en-GB"/>
          <w14:ligatures w14:val="none"/>
        </w:rPr>
        <w:t>AI is more than just a technological advancement; it's a strategic asset that influences the company's operations and future success. There are considerable economic, social, and organisational considerations that need to be taken care of effectively, however, the advantages of AI come in the package.</w:t>
      </w:r>
    </w:p>
    <w:p w:rsidR="00A819AB" w:rsidP="002145DA" w:rsidRDefault="00A819AB" w14:paraId="1B6F73AC"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0" w:id="6"/>
      <w:r w:rsidRPr="002145DA">
        <w:rPr>
          <w:rFonts w:eastAsia="Times New Roman" w:asciiTheme="majorBidi" w:hAnsiTheme="majorBidi" w:cstheme="majorBidi"/>
          <w:b/>
          <w:bCs/>
          <w:lang w:eastAsia="en-GB"/>
          <w14:ligatures w14:val="none"/>
        </w:rPr>
        <w:t>3.1 Macroeconomic Impact</w:t>
      </w:r>
      <w:bookmarkEnd w:id="6"/>
    </w:p>
    <w:p w:rsidR="002477EC" w:rsidP="002477EC" w:rsidRDefault="002477EC" w14:paraId="29FF518E" w14:textId="05F87507">
      <w:pPr>
        <w:rPr>
          <w:lang w:eastAsia="en-GB"/>
        </w:rPr>
      </w:pPr>
      <w:r>
        <w:rPr>
          <w:noProof/>
          <w:lang w:eastAsia="en-GB"/>
        </w:rPr>
        <w:drawing>
          <wp:inline distT="0" distB="0" distL="0" distR="0" wp14:anchorId="2F4BF117" wp14:editId="67DC355F">
            <wp:extent cx="5353050" cy="3409950"/>
            <wp:effectExtent l="0" t="0" r="0" b="0"/>
            <wp:docPr id="1705434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3050" cy="3409950"/>
                    </a:xfrm>
                    <a:prstGeom prst="rect">
                      <a:avLst/>
                    </a:prstGeom>
                    <a:noFill/>
                  </pic:spPr>
                </pic:pic>
              </a:graphicData>
            </a:graphic>
          </wp:inline>
        </w:drawing>
      </w:r>
    </w:p>
    <w:p w:rsidRPr="002145DA" w:rsidR="002477EC" w:rsidP="002477EC" w:rsidRDefault="002477EC" w14:paraId="6160613D" w14:textId="6F72ACE8">
      <w:pPr>
        <w:pStyle w:val="Caption"/>
        <w:rPr>
          <w:lang w:eastAsia="en-GB"/>
        </w:rPr>
      </w:pPr>
      <w:bookmarkStart w:name="_Toc235032464" w:id="7"/>
      <w:r>
        <w:t xml:space="preserve">Figure </w:t>
      </w:r>
      <w:r>
        <w:fldChar w:fldCharType="begin"/>
      </w:r>
      <w:r>
        <w:instrText> SEQ Figure \* ARABIC </w:instrText>
      </w:r>
      <w:r>
        <w:fldChar w:fldCharType="separate"/>
      </w:r>
      <w:r>
        <w:rPr>
          <w:noProof/>
        </w:rPr>
        <w:t>2</w:t>
      </w:r>
      <w:r>
        <w:fldChar w:fldCharType="end"/>
      </w:r>
      <w:r>
        <w:t xml:space="preserve">: </w:t>
      </w:r>
      <w:r>
        <w:fldChar w:fldCharType="begin"/>
      </w:r>
      <w:r>
        <w:instrText xml:space="preserve"> ADDIN ZOTERO_ITEM CSL_CITATION {"citationID":"mElBt4RH","properties":{"unsorted":false,"formattedCitation":"({\\i{}Artificial intelligence,\"how to think about the ai impact on the economy\"}, no date)","plainCitation":"(Artificial intelligence,\"how to think about the ai impact on the economy\", no date)","noteIndex":0},"citationItems":[{"id":1218,"uris":["http://zotero.org/users/local/tRuoqBhx/items/348LVWYQ"],"itemData":{"id":1218,"type":"webpage","abstract":"Artificial Intelligence (AI) has been even more in the news in 2023 because of the spectacular breakthroughs of generative AI, which is capable of generating texts, images and many other things through generative models.","container-title":"Artificial intelligence,\"how to think about the ai impact on the economy\"","language":"en","title":"Artificial intelligence,\"how to think about the ai impact on the economy\"","URL":"https://cpram.com/fra/en/individual/publications/megatrends/cpram.com/fra/en/individual/publications/megatrends/artificial-intelligence-how-to-think-about-the-ai-impact-on-the-economy","accessed":{"date-parts":[["2026",7,15]]}}}],"schema":"https://github.com/citation-style-language/schema/raw/master/csl-citation.json"} </w:instrText>
      </w:r>
      <w:r>
        <w:fldChar w:fldCharType="separate"/>
      </w:r>
      <w:r w:rsidRPr="002477EC">
        <w:rPr>
          <w:rFonts w:ascii="Aptos" w:hAnsi="Aptos" w:cs="Times New Roman"/>
        </w:rPr>
        <w:t>(</w:t>
      </w:r>
      <w:r w:rsidRPr="002477EC">
        <w:rPr>
          <w:rFonts w:ascii="Aptos" w:hAnsi="Aptos" w:cs="Times New Roman"/>
          <w:i w:val="0"/>
          <w:iCs w:val="0"/>
        </w:rPr>
        <w:t>Artificial intelligence,"how to think about the ai impact on the economy"</w:t>
      </w:r>
      <w:r w:rsidRPr="002477EC">
        <w:rPr>
          <w:rFonts w:ascii="Aptos" w:hAnsi="Aptos" w:cs="Times New Roman"/>
        </w:rPr>
        <w:t>, no date)</w:t>
      </w:r>
      <w:r>
        <w:fldChar w:fldCharType="end"/>
      </w:r>
      <w:r>
        <w:t>.</w:t>
      </w:r>
      <w:bookmarkEnd w:id="7"/>
    </w:p>
    <w:p w:rsidRPr="002145DA" w:rsidR="00996F6D" w:rsidP="002145DA" w:rsidRDefault="00996F6D" w14:paraId="589C19D7" w14:textId="60B66AF0">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From an economic perspective, AI is transforming job market dynamics by influencing various </w:t>
      </w:r>
      <w:r w:rsidRPr="002145DA" w:rsidR="002145DA">
        <w:rPr>
          <w:rFonts w:eastAsia="Times New Roman" w:asciiTheme="majorBidi" w:hAnsiTheme="majorBidi" w:cstheme="majorBidi"/>
          <w:lang w:eastAsia="en-GB"/>
          <w14:ligatures w14:val="none"/>
        </w:rPr>
        <w:t>sectors. On</w:t>
      </w:r>
      <w:r w:rsidRPr="002145DA">
        <w:rPr>
          <w:rFonts w:eastAsia="Times New Roman" w:asciiTheme="majorBidi" w:hAnsiTheme="majorBidi" w:cstheme="majorBidi"/>
          <w:lang w:eastAsia="en-GB"/>
          <w14:ligatures w14:val="none"/>
        </w:rPr>
        <w:t xml:space="preserve"> the macro level, AI is changing the economic landscape by impacting work across sectors. The efficiency of repetitive and routine tasks </w:t>
      </w:r>
      <w:r w:rsidRPr="002145DA" w:rsidR="002145DA">
        <w:rPr>
          <w:rFonts w:eastAsia="Times New Roman" w:asciiTheme="majorBidi" w:hAnsiTheme="majorBidi" w:cstheme="majorBidi"/>
          <w:lang w:eastAsia="en-GB"/>
          <w14:ligatures w14:val="none"/>
        </w:rPr>
        <w:t>has</w:t>
      </w:r>
      <w:r w:rsidRPr="002145DA">
        <w:rPr>
          <w:rFonts w:eastAsia="Times New Roman" w:asciiTheme="majorBidi" w:hAnsiTheme="majorBidi" w:cstheme="majorBidi"/>
          <w:lang w:eastAsia="en-GB"/>
          <w14:ligatures w14:val="none"/>
        </w:rPr>
        <w:t xml:space="preserve"> been raised in the field of automation, leading to a decrease in the need for certain jobs that necessitate fewer traditional skills and qualities, and the creation of new opportunities for highly skilled occupations, such as software engineering, data analytics and AI development (Abuselidze and Mamaladze, 2021). Likewise, Georgieff (2022) and Hyee (2022) state that gains in productivity and economic performance occur in countries grossly deploying AI, although at differential rates between sectors and groups of workers. It also indicates that AI is not about losing jobs but a revolution in how they are done, </w:t>
      </w:r>
      <w:r w:rsidRPr="002145DA">
        <w:rPr>
          <w:rFonts w:eastAsia="Times New Roman" w:asciiTheme="majorBidi" w:hAnsiTheme="majorBidi" w:cstheme="majorBidi"/>
          <w:lang w:eastAsia="en-GB"/>
          <w14:ligatures w14:val="none"/>
        </w:rPr>
        <w:t>meaning that the jobs of the future will be different and continuing investment is needed in the skills of employees and the development of digital skills.</w:t>
      </w:r>
    </w:p>
    <w:p w:rsidRPr="002145DA" w:rsidR="00996F6D" w:rsidP="002145DA" w:rsidRDefault="00996F6D" w14:paraId="77982EBC"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AI is equally a key driver of productivity improvement. Data analysis, forecasting, and automated learning offer businesses the chance to transform their production workflows for optimal efficiency, minimise their inefficiencies, and enhance their decision-making capabilities. Through their study of AI's impact on industrial innovation and knowledge sharing within virtual industrial clusters, Shen and Zhang (2024) found that AI can boost productivity. Similarly, Tschang and Almirall (2021) state that 'AI is a tool that should be used to complement, not supplant' human abilities and organisations should blend the technological power with the skills of people.</w:t>
      </w:r>
    </w:p>
    <w:p w:rsidRPr="002145DA" w:rsidR="00996F6D" w:rsidP="002145DA" w:rsidRDefault="00996F6D" w14:paraId="2445D623" w14:textId="0CFBE3B1">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In particular, the competitiveness in international industries has grown at an accelerated pace with the growing usage of AI by organisations for better innovation and customer value. Any company that can share AI into their products and operations can achieve competitive benefits by reducing their expenses, quickening their decision-making process, and improving their product quality. But, if companies don't invest enough in AI, then they will lose the market to companies with advanced technologies (Patil, 2024). At a macroeconomic level, AI is also a driver of GDP growth because AI leads to lower unemployment levels, by contributing to innovation and stimulating investment in the digital infrastructure. However, Acemoglu and Restrepo (2018) warn that “</w:t>
      </w:r>
      <w:r w:rsidRPr="002145DA" w:rsidR="002145DA">
        <w:rPr>
          <w:rFonts w:eastAsia="Times New Roman" w:asciiTheme="majorBidi" w:hAnsiTheme="majorBidi" w:cstheme="majorBidi"/>
          <w:lang w:eastAsia="en-GB"/>
          <w14:ligatures w14:val="none"/>
        </w:rPr>
        <w:t>over automation</w:t>
      </w:r>
      <w:r w:rsidRPr="002145DA">
        <w:rPr>
          <w:rFonts w:eastAsia="Times New Roman" w:asciiTheme="majorBidi" w:hAnsiTheme="majorBidi" w:cstheme="majorBidi"/>
          <w:lang w:eastAsia="en-GB"/>
          <w14:ligatures w14:val="none"/>
        </w:rPr>
        <w:t>” can lead to an increase in income inequality in the long-run, and, that these gains in productivity can accrue to the more technologically advanced firms, which will pose socioeconomic challenges in the future.</w:t>
      </w:r>
    </w:p>
    <w:p w:rsidRPr="002145DA" w:rsidR="00A819AB" w:rsidP="002145DA" w:rsidRDefault="00A819AB" w14:paraId="15625F73"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1" w:id="8"/>
      <w:r w:rsidRPr="002145DA">
        <w:rPr>
          <w:rFonts w:eastAsia="Times New Roman" w:asciiTheme="majorBidi" w:hAnsiTheme="majorBidi" w:cstheme="majorBidi"/>
          <w:b/>
          <w:bCs/>
          <w:lang w:eastAsia="en-GB"/>
          <w14:ligatures w14:val="none"/>
        </w:rPr>
        <w:t>3.2 Microeconomic Impact</w:t>
      </w:r>
      <w:bookmarkEnd w:id="8"/>
    </w:p>
    <w:p w:rsidRPr="002145DA" w:rsidR="00996F6D" w:rsidP="002145DA" w:rsidRDefault="00996F6D" w14:paraId="76ED9EB8" w14:textId="383042F1">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On an organisational level, AI plays a profound role in disrupting Tesla's cost structure, enabling a remarkable level of operational efficiency, aiding in investment choices, and guiding pricing </w:t>
      </w:r>
      <w:r w:rsidRPr="002145DA" w:rsidR="002145DA">
        <w:rPr>
          <w:rFonts w:eastAsia="Times New Roman" w:asciiTheme="majorBidi" w:hAnsiTheme="majorBidi" w:cstheme="majorBidi"/>
          <w:lang w:eastAsia="en-GB"/>
          <w14:ligatures w14:val="none"/>
        </w:rPr>
        <w:t>decisions. On</w:t>
      </w:r>
      <w:r w:rsidRPr="002145DA">
        <w:rPr>
          <w:rFonts w:eastAsia="Times New Roman" w:asciiTheme="majorBidi" w:hAnsiTheme="majorBidi" w:cstheme="majorBidi"/>
          <w:lang w:eastAsia="en-GB"/>
          <w14:ligatures w14:val="none"/>
        </w:rPr>
        <w:t xml:space="preserve"> an organisational level, AI is having a significant effect on Tesla's cost structure, operational efficiency, investment decision making and price strategy. Tesla applies AI technology across its production, self-driving technology, battery management and supply chain. The Annual Report from Tesla (2024) shows that further investment in the automation through AI has enhanced production </w:t>
      </w:r>
      <w:r w:rsidRPr="002145DA" w:rsidR="002477EC">
        <w:rPr>
          <w:rFonts w:eastAsia="Times New Roman" w:asciiTheme="majorBidi" w:hAnsiTheme="majorBidi" w:cstheme="majorBidi"/>
          <w:lang w:eastAsia="en-GB"/>
          <w14:ligatures w14:val="none"/>
        </w:rPr>
        <w:t>efficiency and</w:t>
      </w:r>
      <w:r w:rsidRPr="002145DA">
        <w:rPr>
          <w:rFonts w:eastAsia="Times New Roman" w:asciiTheme="majorBidi" w:hAnsiTheme="majorBidi" w:cstheme="majorBidi"/>
          <w:lang w:eastAsia="en-GB"/>
          <w14:ligatures w14:val="none"/>
        </w:rPr>
        <w:t xml:space="preserve"> contributed to product innovation and scale-up.</w:t>
      </w:r>
    </w:p>
    <w:p w:rsidRPr="002145DA" w:rsidR="00996F6D" w:rsidP="002145DA" w:rsidRDefault="00996F6D" w14:paraId="14EEE784" w14:textId="67D6586D">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Predictive Maintenance, robotics and automated manufacturing are other areas where AI can help Tesla lower its </w:t>
      </w:r>
      <w:r w:rsidRPr="002145DA" w:rsidR="002145DA">
        <w:rPr>
          <w:rFonts w:eastAsia="Times New Roman" w:asciiTheme="majorBidi" w:hAnsiTheme="majorBidi" w:cstheme="majorBidi"/>
          <w:lang w:eastAsia="en-GB"/>
          <w14:ligatures w14:val="none"/>
        </w:rPr>
        <w:t>long-term</w:t>
      </w:r>
      <w:r w:rsidRPr="002145DA">
        <w:rPr>
          <w:rFonts w:eastAsia="Times New Roman" w:asciiTheme="majorBidi" w:hAnsiTheme="majorBidi" w:cstheme="majorBidi"/>
          <w:lang w:eastAsia="en-GB"/>
          <w14:ligatures w14:val="none"/>
        </w:rPr>
        <w:t xml:space="preserve"> operating costs. While the startup costs associated with AI research, systems, and software may be high, the benefits of efficiency in the future will outweigh the initial investment and contribute to increased profitability. Additionally, AI can assist in quicker decision-making processes by looking at real-time operational data, which helps Tesla optimize stock management, manufacturing plans, and vehicle operation.</w:t>
      </w:r>
    </w:p>
    <w:p w:rsidRPr="002145DA" w:rsidR="00996F6D" w:rsidP="002145DA" w:rsidRDefault="00996F6D" w14:paraId="2C34715F"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Investment is also important, since it is vital to maintain technological leadership to also spend continuously on R&amp;D. Lu (2025) believes in Tesla's competitive edge rather relying on its current market status, the company should continue investing in its autonomous driving systems and enhanced innovations in artificial intelligence. In parallel, AI fortifies Tesla's pricing strategy by rendering its cars distinctive features through sophisticated software, amidst the intensifying competition from global EV manufacturers.</w:t>
      </w:r>
    </w:p>
    <w:p w:rsidRPr="002145DA" w:rsidR="00A819AB" w:rsidP="002145DA" w:rsidRDefault="00A819AB" w14:paraId="2014E17D"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2" w:id="9"/>
      <w:r w:rsidRPr="002145DA">
        <w:rPr>
          <w:rFonts w:eastAsia="Times New Roman" w:asciiTheme="majorBidi" w:hAnsiTheme="majorBidi" w:cstheme="majorBidi"/>
          <w:b/>
          <w:bCs/>
          <w:lang w:eastAsia="en-GB"/>
          <w14:ligatures w14:val="none"/>
        </w:rPr>
        <w:t>3.3 Critical Discussion</w:t>
      </w:r>
      <w:bookmarkEnd w:id="9"/>
    </w:p>
    <w:p w:rsidRPr="002145DA" w:rsidR="00996F6D" w:rsidP="002145DA" w:rsidRDefault="00996F6D" w14:paraId="337F4634" w14:textId="3CBA6E65">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The potential for economic gain opportunities and risks for Tesla </w:t>
      </w:r>
      <w:r w:rsidRPr="002145DA" w:rsidR="002145DA">
        <w:rPr>
          <w:rFonts w:eastAsia="Times New Roman" w:asciiTheme="majorBidi" w:hAnsiTheme="majorBidi" w:cstheme="majorBidi"/>
          <w:lang w:eastAsia="en-GB"/>
          <w14:ligatures w14:val="none"/>
        </w:rPr>
        <w:t>is</w:t>
      </w:r>
      <w:r w:rsidRPr="002145DA">
        <w:rPr>
          <w:rFonts w:eastAsia="Times New Roman" w:asciiTheme="majorBidi" w:hAnsiTheme="majorBidi" w:cstheme="majorBidi"/>
          <w:lang w:eastAsia="en-GB"/>
          <w14:ligatures w14:val="none"/>
        </w:rPr>
        <w:t xml:space="preserve"> enormous, with the arrival of AI. In one way, AI improves productivity, cuts down on operational and business costs, boosts innovation, and aids the competitiveness in the long term. Such advantages continue to highlight Tesla's strategic entry and stance in the dynamic electric vehicle market. The costs, ongoing technological innovation and skilled human resources needed to achieve these benefits can also be significant. Some studies also suggest that automation based on AI could escalate the skills gap, impact the overall skills of the workforce and consequently employability, unless the organisation invests in training employees (Subhikshan, 2023; Cramarenco et al., 2023).</w:t>
      </w:r>
    </w:p>
    <w:p w:rsidRPr="002145DA" w:rsidR="00996F6D" w:rsidP="002145DA" w:rsidRDefault="00996F6D" w14:paraId="34B517AD" w14:textId="75809D7B">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So, the intention behind using AI should not be limited as a cost-saving technology. Rather, it's a strategic investment that will take years to execute, even with economic efficiency, while at the same time implementing prudent working practices and sustainable innovation. Equipped with the knowledge of technological leadership, Tesla must also invest in constantly enhancing its human talents </w:t>
      </w:r>
      <w:proofErr w:type="gramStart"/>
      <w:r w:rsidRPr="002145DA">
        <w:rPr>
          <w:rFonts w:eastAsia="Times New Roman" w:asciiTheme="majorBidi" w:hAnsiTheme="majorBidi" w:cstheme="majorBidi"/>
          <w:lang w:eastAsia="en-GB"/>
          <w14:ligatures w14:val="none"/>
        </w:rPr>
        <w:t>in order to</w:t>
      </w:r>
      <w:proofErr w:type="gramEnd"/>
      <w:r w:rsidRPr="002145DA">
        <w:rPr>
          <w:rFonts w:eastAsia="Times New Roman" w:asciiTheme="majorBidi" w:hAnsiTheme="majorBidi" w:cstheme="majorBidi"/>
          <w:lang w:eastAsia="en-GB"/>
          <w14:ligatures w14:val="none"/>
        </w:rPr>
        <w:t xml:space="preserve"> sustainably secure its own competitive position so that economic growth enabled by artificial intelligence can continue.</w:t>
      </w:r>
    </w:p>
    <w:p w:rsidRPr="002145DA" w:rsidR="00E33611" w:rsidP="002145DA" w:rsidRDefault="00E33611" w14:paraId="03E69A55"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3" w:id="10"/>
      <w:r w:rsidRPr="002145DA">
        <w:rPr>
          <w:rFonts w:eastAsia="Times New Roman" w:asciiTheme="majorBidi" w:hAnsiTheme="majorBidi" w:cstheme="majorBidi"/>
          <w:b/>
          <w:bCs/>
          <w:lang w:eastAsia="en-GB"/>
          <w14:ligatures w14:val="none"/>
        </w:rPr>
        <w:t>4. AI Risk Management</w:t>
      </w:r>
      <w:bookmarkEnd w:id="10"/>
    </w:p>
    <w:p w:rsidRPr="002145DA" w:rsidR="00E33611" w:rsidP="002145DA" w:rsidRDefault="00E33611" w14:paraId="40BB5E02"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4.1 AI Safety Risks</w:t>
      </w:r>
    </w:p>
    <w:p w:rsidRPr="002145DA" w:rsidR="002145DA" w:rsidP="002145DA" w:rsidRDefault="002145DA" w14:paraId="61643B79" w14:textId="1BC53319">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While Tesla's companies make significant strides in their FSD and Autopilot systems, there are variability in weather conditions, an inconsistent road marking system and unpredictable pedestrian and driver behavior involved in driving, which can lead to perception and decision-making errors that cannot be avoided with FSD and Autopilot systems. The next question is who is at fault in the event of an accident, as it can be rather tricky to pinpoint the responsibilities of the manufacturer, the software company and the human driver in the case of such an incident. There is no common international standard for fault liability assignment and liability systems address safety and liability issues inconsistently at a jurisdictional level around the world (Taeihagh and Lim, 2019). In terms of Tesla specifically, one of the key nuances is that its annual report makes no specific mention of a break down in and independently verified incident rates as a function of severity or jurisdiction, where FSD and Autopilot exposure to safety liability has occurred, thus providing no ability to fully quantify from the public disclosures alone (Tesla, Inc., 2024). This lack of granular data poses a risk-management problem </w:t>
      </w:r>
      <w:proofErr w:type="gramStart"/>
      <w:r w:rsidRPr="002145DA">
        <w:rPr>
          <w:rFonts w:eastAsia="Times New Roman" w:asciiTheme="majorBidi" w:hAnsiTheme="majorBidi" w:cstheme="majorBidi"/>
          <w:lang w:eastAsia="en-GB"/>
          <w14:ligatures w14:val="none"/>
        </w:rPr>
        <w:t>in itself because</w:t>
      </w:r>
      <w:proofErr w:type="gramEnd"/>
      <w:r w:rsidRPr="002145DA">
        <w:rPr>
          <w:rFonts w:eastAsia="Times New Roman" w:asciiTheme="majorBidi" w:hAnsiTheme="majorBidi" w:cstheme="majorBidi"/>
          <w:lang w:eastAsia="en-GB"/>
          <w14:ligatures w14:val="none"/>
        </w:rPr>
        <w:t xml:space="preserve"> it makes it more difficult for anyone outside the company to use it to measure Tesla's real-world safety record.</w:t>
      </w:r>
    </w:p>
    <w:p w:rsidRPr="002145DA" w:rsidR="00E33611" w:rsidP="002145DA" w:rsidRDefault="00E33611" w14:paraId="2D82F7AB"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4.2 Cybersecurity Risks</w:t>
      </w:r>
    </w:p>
    <w:p w:rsidRPr="002145DA" w:rsidR="002145DA" w:rsidP="002145DA" w:rsidRDefault="002145DA" w14:paraId="666ABA94" w14:textId="56847C4F">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The high level of connectivity included in the Tesla cars - over-the-air software updates and remote vehicle access - give hackers a wide-ranging attack platform on the vehicle. Recent efforts have explored the synergies of integrating machine learning with blockchain for better cybersecurity and enhanced detection capabilities in connected vehicle systems, outpacing the traditional limitations of rule-based detection systems. There have also been proposals to enhance cybersecurity within connected vehicle networks by implementing an intersection of machine learning with blockchain-based solutions to provide more context-aware detection of anomalous activity, as compared to rule-based detection systems which are less adaptable to new threats or events. More specifically, in vehicle platform specific intrusion detection systems have become part of the equation to shield against malicious traffic before it can affect safety critical functions (Shichun et al., 2023), and the protection of the OTA Software update pipeline – the way that Tesla pushes software changes out fleet wide, is a very separate vulnerability point altogether (Pascale et al., 2021). If Tesla manages to break simultaneously across the country, the price would be two-</w:t>
      </w:r>
      <w:r w:rsidRPr="002145DA">
        <w:rPr>
          <w:rFonts w:eastAsia="Times New Roman" w:asciiTheme="majorBidi" w:hAnsiTheme="majorBidi" w:cstheme="majorBidi"/>
          <w:lang w:eastAsia="en-GB"/>
          <w14:ligatures w14:val="none"/>
        </w:rPr>
        <w:t>fold: first, if breakthrough software is allowed to make its way into vehicles on the road, it creates a whole new set of safety risks, and second, from the reputational standpoint, nothing has tarnished Tesla's brand-image like a breakthrough that has been integrated into vehicles already on the roads.</w:t>
      </w:r>
    </w:p>
    <w:p w:rsidRPr="002145DA" w:rsidR="00E33611" w:rsidP="002145DA" w:rsidRDefault="00E33611" w14:paraId="5E544C75"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4.3 Operational Risks</w:t>
      </w:r>
    </w:p>
    <w:p w:rsidRPr="002145DA" w:rsidR="002145DA" w:rsidP="002145DA" w:rsidRDefault="002145DA" w14:paraId="1FB8EF8C"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Unlike security and cybersecurity, operational risk is related to the reliability of the AI and reliability of the software — such as when a FSD update goes wrong and needs to be rolled back in case of emergency, or when a part of the software is interrupted, making fleet wide functions non-functional. These failures don't always lead to physical damage, but they can impact vehicle usability, time to market for features and cause high support and engineering expenses. The aspect of central software update creates an additional necessity in the operation of Tesla: the importance of thorough pre deployment testing and rollout phases cannot be overstated, ensuring that a misinformation or mistake on one system could impact its whole connected network of cars.</w:t>
      </w:r>
    </w:p>
    <w:p w:rsidRPr="002145DA" w:rsidR="00E33611" w:rsidP="002145DA" w:rsidRDefault="00E33611" w14:paraId="7BE95A60" w14:textId="391EBD92">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4.4 Enterprise Risk Management Applied to Tesla</w:t>
      </w:r>
    </w:p>
    <w:p w:rsidRPr="002145DA" w:rsidR="002145DA" w:rsidP="002145DA" w:rsidRDefault="002145DA" w14:paraId="6BAD7D22"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Structured enterprise risk management (ERM) is associated with increased firm value – by supporting effective prioritisation of resource allocation and consistent monitoring of overall exposure to risks, ERM helps to deliver greater visibility (Hoyt and Liebenberg, 2011). As applied to Tesla, this means safety, cybersecurity and operational risks (sections 4.1-4.3) must be viewed and managed as one integrated ERM as they shouldn't be managed as separate departmental matters such as safety engineering, IT security and software operations reporting. This would enable interdependencies to be expressed explicitly, e.g. a security incident such as a "security break-in" could at the same time be a safety incident and then an operational disruption and only a single structure can fully account for this compounding incident.</w:t>
      </w:r>
    </w:p>
    <w:p w:rsidRPr="002145DA" w:rsidR="00E33611" w:rsidP="002145DA" w:rsidRDefault="00E33611" w14:paraId="38DD9A5D"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4.5 ISO 31000 Application</w:t>
      </w:r>
    </w:p>
    <w:p w:rsidR="002145DA" w:rsidP="002145DA" w:rsidRDefault="002145DA" w14:paraId="3DE917D8" w14:textId="5E6BF012">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As previously mentioned, COSO's ERM framework outlines the structure or architecture for incorporating the Risk Categories (Section 4.4); at the process level, ISO 31000 delivers a complementary methodology (COSO, 2017) with elements that include identifying, assessing, mitigating, and monitoring the risk. If applied to a certain Tesla AI risk FSD software failure, it </w:t>
      </w:r>
      <w:r w:rsidRPr="002145DA">
        <w:rPr>
          <w:rFonts w:eastAsia="Times New Roman" w:asciiTheme="majorBidi" w:hAnsiTheme="majorBidi" w:cstheme="majorBidi"/>
          <w:lang w:eastAsia="en-GB"/>
          <w14:ligatures w14:val="none"/>
        </w:rPr>
        <w:t xml:space="preserve">becomes evident what practical value the risk assessment tool can offer. Failure mode identification would proceed by logically enumerating the failure modes for sensor fusion, decision algorithms, and failure modes of deployment of the updates. Each failure mode would be followed by an assessment of the likelihood of each failure and the severity, for example a minor misjudgement of direction compared to a steering failure. There will then be systems of commensurate control: staged Rollings out, simulation testing and fall-back man-in-the-loop controls for higher severity failure modes. Monitoring would involve constant post deployment monitoring of the actual data in the real world and </w:t>
      </w:r>
      <w:proofErr w:type="gramStart"/>
      <w:r w:rsidRPr="002145DA">
        <w:rPr>
          <w:rFonts w:eastAsia="Times New Roman" w:asciiTheme="majorBidi" w:hAnsiTheme="majorBidi" w:cstheme="majorBidi"/>
          <w:lang w:eastAsia="en-GB"/>
          <w14:ligatures w14:val="none"/>
        </w:rPr>
        <w:t>return back</w:t>
      </w:r>
      <w:proofErr w:type="gramEnd"/>
      <w:r w:rsidRPr="002145DA">
        <w:rPr>
          <w:rFonts w:eastAsia="Times New Roman" w:asciiTheme="majorBidi" w:hAnsiTheme="majorBidi" w:cstheme="majorBidi"/>
          <w:lang w:eastAsia="en-GB"/>
          <w14:ligatures w14:val="none"/>
        </w:rPr>
        <w:t xml:space="preserve"> to the identification process to address failure mechanisms not considered in design. This cycle </w:t>
      </w:r>
      <w:proofErr w:type="gramStart"/>
      <w:r w:rsidRPr="002145DA">
        <w:rPr>
          <w:rFonts w:eastAsia="Times New Roman" w:asciiTheme="majorBidi" w:hAnsiTheme="majorBidi" w:cstheme="majorBidi"/>
          <w:lang w:eastAsia="en-GB"/>
          <w14:ligatures w14:val="none"/>
        </w:rPr>
        <w:t>opens up</w:t>
      </w:r>
      <w:proofErr w:type="gramEnd"/>
      <w:r w:rsidRPr="002145DA">
        <w:rPr>
          <w:rFonts w:eastAsia="Times New Roman" w:asciiTheme="majorBidi" w:hAnsiTheme="majorBidi" w:cstheme="majorBidi"/>
          <w:lang w:eastAsia="en-GB"/>
          <w14:ligatures w14:val="none"/>
        </w:rPr>
        <w:t xml:space="preserve"> the possibility of ISO 31000 being a relevant assessment in the face of change as Tesla's software and fleet increases over time.</w:t>
      </w:r>
    </w:p>
    <w:p w:rsidR="002477EC" w:rsidP="002477EC" w:rsidRDefault="002477EC" w14:paraId="0EF5D9A0" w14:textId="2DBEF3A8">
      <w:pPr>
        <w:pStyle w:val="Caption"/>
      </w:pPr>
      <w:bookmarkStart w:name="_Toc235032461" w:id="11"/>
      <w:r>
        <w:t xml:space="preserve">Table </w:t>
      </w:r>
      <w:r>
        <w:fldChar w:fldCharType="begin"/>
      </w:r>
      <w:r>
        <w:instrText> SEQ Table \* ARABIC </w:instrText>
      </w:r>
      <w:r>
        <w:fldChar w:fldCharType="separate"/>
      </w:r>
      <w:r>
        <w:rPr>
          <w:noProof/>
        </w:rPr>
        <w:t>2</w:t>
      </w:r>
      <w:r>
        <w:fldChar w:fldCharType="end"/>
      </w:r>
      <w:r>
        <w:t xml:space="preserve">: </w:t>
      </w:r>
      <w:r w:rsidRPr="00140304">
        <w:t>AI Risk Register for Tesla</w:t>
      </w:r>
      <w:r>
        <w:t>.</w:t>
      </w:r>
      <w:bookmarkEnd w:id="11"/>
    </w:p>
    <w:p w:rsidRPr="002477EC" w:rsidR="002477EC" w:rsidP="002477EC" w:rsidRDefault="002477EC" w14:paraId="4D5BBF83" w14:textId="7A5E88AA">
      <w:pPr>
        <w:rPr>
          <w:lang w:eastAsia="en-GB"/>
        </w:rPr>
      </w:pPr>
      <w:r w:rsidRPr="002477EC">
        <w:rPr>
          <w:noProof/>
        </w:rPr>
        <w:drawing>
          <wp:inline distT="0" distB="0" distL="0" distR="0" wp14:anchorId="77E535AD" wp14:editId="0B130E35">
            <wp:extent cx="5920740" cy="3345180"/>
            <wp:effectExtent l="0" t="0" r="3810" b="7620"/>
            <wp:docPr id="11474772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alphaModFix amt="85000"/>
                      <a:extLst>
                        <a:ext uri="{28A0092B-C50C-407E-A947-70E740481C1C}">
                          <a14:useLocalDpi xmlns:a14="http://schemas.microsoft.com/office/drawing/2010/main" val="0"/>
                        </a:ext>
                      </a:extLst>
                    </a:blip>
                    <a:srcRect/>
                    <a:stretch>
                      <a:fillRect/>
                    </a:stretch>
                  </pic:blipFill>
                  <pic:spPr bwMode="auto">
                    <a:xfrm>
                      <a:off x="0" y="0"/>
                      <a:ext cx="5920740" cy="3345180"/>
                    </a:xfrm>
                    <a:prstGeom prst="rect">
                      <a:avLst/>
                    </a:prstGeom>
                    <a:noFill/>
                    <a:ln>
                      <a:noFill/>
                    </a:ln>
                  </pic:spPr>
                </pic:pic>
              </a:graphicData>
            </a:graphic>
          </wp:inline>
        </w:drawing>
      </w:r>
    </w:p>
    <w:p w:rsidRPr="002145DA" w:rsidR="00E33611" w:rsidP="002145DA" w:rsidRDefault="00E33611" w14:paraId="1296EF9F"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4.6 Critical Evaluation</w:t>
      </w:r>
    </w:p>
    <w:p w:rsidRPr="002145DA" w:rsidR="002145DA" w:rsidP="002145DA" w:rsidRDefault="002145DA" w14:paraId="3B685F80" w14:textId="2489639B">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However, while there isn't a clear correlation between frequency and exposure, safety risk is the most severe of the three </w:t>
      </w:r>
      <w:proofErr w:type="gramStart"/>
      <w:r w:rsidRPr="002145DA">
        <w:rPr>
          <w:rFonts w:eastAsia="Times New Roman" w:asciiTheme="majorBidi" w:hAnsiTheme="majorBidi" w:cstheme="majorBidi"/>
          <w:lang w:eastAsia="en-GB"/>
          <w14:ligatures w14:val="none"/>
        </w:rPr>
        <w:t>and also</w:t>
      </w:r>
      <w:proofErr w:type="gramEnd"/>
      <w:r w:rsidRPr="002145DA">
        <w:rPr>
          <w:rFonts w:eastAsia="Times New Roman" w:asciiTheme="majorBidi" w:hAnsiTheme="majorBidi" w:cstheme="majorBidi"/>
          <w:lang w:eastAsia="en-GB"/>
          <w14:ligatures w14:val="none"/>
        </w:rPr>
        <w:t xml:space="preserve"> has some regulatory uncertainty, which makes it the most serious overall risk for Tesla. While these cybersecurity and operational risks can be technically managed </w:t>
      </w:r>
      <w:r w:rsidRPr="002145DA">
        <w:rPr>
          <w:rFonts w:eastAsia="Times New Roman" w:asciiTheme="majorBidi" w:hAnsiTheme="majorBidi" w:cstheme="majorBidi"/>
          <w:lang w:eastAsia="en-GB"/>
          <w14:ligatures w14:val="none"/>
        </w:rPr>
        <w:t>with established engineering controls, inconsistent liability regimes international and slow-moving governance processes have not caught up with autonomous technology in terms of safely managing the risks (Cohen et al., 2018; Channon, 2019). While the technology may be as robust as ever, much of Tesla's risk profile for AI is still determined by governance, and not just by the design of the safety systems.</w:t>
      </w:r>
    </w:p>
    <w:p w:rsidRPr="002145DA" w:rsidR="00365D22" w:rsidP="002145DA" w:rsidRDefault="00365D22" w14:paraId="504E783E"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4" w:id="12"/>
      <w:r w:rsidRPr="002145DA">
        <w:rPr>
          <w:rFonts w:eastAsia="Times New Roman" w:asciiTheme="majorBidi" w:hAnsiTheme="majorBidi" w:cstheme="majorBidi"/>
          <w:b/>
          <w:bCs/>
          <w:lang w:eastAsia="en-GB"/>
          <w14:ligatures w14:val="none"/>
        </w:rPr>
        <w:t>5. Data Governance, Ethical AI and Customer Trust</w:t>
      </w:r>
      <w:bookmarkEnd w:id="12"/>
    </w:p>
    <w:p w:rsidRPr="002145DA" w:rsidR="00365D22" w:rsidP="002145DA" w:rsidRDefault="00365D22" w14:paraId="6D67B850"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5.1 Data Governance</w:t>
      </w:r>
    </w:p>
    <w:p w:rsidRPr="002145DA" w:rsidR="00996F6D" w:rsidP="002145DA" w:rsidRDefault="00996F6D" w14:paraId="1E619E0E" w14:textId="39EBC081">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Tesla has been generating huge amounts of training data for its AI systems through the cameras, sensors, driver input, and GPS data from its vehicles, for the development of the Autopilot and FSD systems </w:t>
      </w:r>
      <w:r w:rsidRPr="002145DA" w:rsidR="002477EC">
        <w:rPr>
          <w:rFonts w:eastAsia="Times New Roman" w:asciiTheme="majorBidi" w:hAnsiTheme="majorBidi" w:cstheme="majorBidi"/>
          <w:lang w:eastAsia="en-GB"/>
          <w14:ligatures w14:val="none"/>
        </w:rPr>
        <w:t>(Agarwal</w:t>
      </w:r>
      <w:r w:rsidRPr="002145DA">
        <w:rPr>
          <w:rFonts w:eastAsia="Times New Roman" w:asciiTheme="majorBidi" w:hAnsiTheme="majorBidi" w:cstheme="majorBidi"/>
          <w:lang w:eastAsia="en-GB"/>
          <w14:ligatures w14:val="none"/>
        </w:rPr>
        <w:t xml:space="preserve"> et al., 2024). This level of measurement can expose a great deal of privacy, especially for data originating from vehicles, which could also indicate the travel behaviour of individuals over time at a very fine granularity (Gudepu and Eichler, 2024). To achieve effective governance, therefore, the organisations should have clear policies for data collection, retention periods and access, with a number of scholars citing the need for formal data governance structures as opposed to ‘reactive' compliance action needed for organisations deploying AI at fleet scale (Gupta, 2022; Potdar, 2024). This becomes even more critical for Tesla in the UK and China, where data protection regulation operates in two materially different ways: those of the UK have a ‘principles-based, risk-proportionate' approach, whereas, those of China are ‘data localisation and cyber-security' focused with tighter and more directive restrictions on cross-border data transfer (Sharma and Sharma, 2025; Noor et al., 2025). Without considering this disparity, the form of governance can result in either regulatory failure, or in different approaches to data handling between different markets (Mattews and Emma 2024; Tsai 2025).</w:t>
      </w:r>
    </w:p>
    <w:p w:rsidRPr="002145DA" w:rsidR="00365D22" w:rsidP="002145DA" w:rsidRDefault="00365D22" w14:paraId="69E0C4CC"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5.2 Ethical AI</w:t>
      </w:r>
    </w:p>
    <w:p w:rsidRPr="002145DA" w:rsidR="00996F6D" w:rsidP="002145DA" w:rsidRDefault="00996F6D" w14:paraId="3C95D721" w14:textId="1C1A3685">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In addition to governance, Tesla's AI systems also pose unique ethical considerations such as biasing, explainability and accountability. Bias risk occurs when a training dataset lacks either geographical variation or demographic/environmental diversity, resulting in machine learning systems that do not perform well across all other geographic or demographic/environmental scenarios, which is a major risk during the deployment of large-scale machine learning systems </w:t>
      </w:r>
      <w:r w:rsidRPr="002145DA">
        <w:rPr>
          <w:rFonts w:eastAsia="Times New Roman" w:asciiTheme="majorBidi" w:hAnsiTheme="majorBidi" w:cstheme="majorBidi"/>
          <w:lang w:eastAsia="en-GB"/>
          <w14:ligatures w14:val="none"/>
        </w:rPr>
        <w:t xml:space="preserve">and reported across numerous AI ethics studies as one of the primary concerns (Jobin et al., 2019). Explainability is also of paramount significance: Autonomous driving decisions made by an opaque neural network model are hard to explain, even for their own engineers, the outcome of such decisions is often harmful, and it will happen after the event and needs to be traced back. This will cause difficulties with internal auditing and external regulation, though, and where harmful decisions are needed and must be unfolded retroactively (Kroll et al., 2017). The opacity will also impact on how one might be held accountable for an AI-driven decision – if the reasons behind a decision are difficult to trace, or explain to those impacted, then holding someone accountable for that raises questions of accountability (Wachter et al., 2017). These three dimensions are connected into </w:t>
      </w:r>
      <w:r w:rsidRPr="002145DA" w:rsidR="002145DA">
        <w:rPr>
          <w:rFonts w:eastAsia="Times New Roman" w:asciiTheme="majorBidi" w:hAnsiTheme="majorBidi" w:cstheme="majorBidi"/>
          <w:lang w:eastAsia="en-GB"/>
          <w14:ligatures w14:val="none"/>
        </w:rPr>
        <w:t>an</w:t>
      </w:r>
      <w:r w:rsidRPr="002145DA">
        <w:rPr>
          <w:rFonts w:eastAsia="Times New Roman" w:asciiTheme="majorBidi" w:hAnsiTheme="majorBidi" w:cstheme="majorBidi"/>
          <w:lang w:eastAsia="en-GB"/>
          <w14:ligatures w14:val="none"/>
        </w:rPr>
        <w:t xml:space="preserve"> overarching ethical malady: if it is only discussed in terms of doing a test for technical bias, there are obvious accountability gaps which would not be accounted for by discuss a separate explainability standard (Floridi et al., 2018).</w:t>
      </w:r>
    </w:p>
    <w:p w:rsidRPr="002145DA" w:rsidR="00365D22" w:rsidP="002145DA" w:rsidRDefault="00365D22" w14:paraId="3B0113B3"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5.3 Customer Trust</w:t>
      </w:r>
    </w:p>
    <w:p w:rsidRPr="002145DA" w:rsidR="00996F6D" w:rsidP="002145DA" w:rsidRDefault="00996F6D" w14:paraId="6FABBB68" w14:textId="0277FF42">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Perceived trustworthiness is crucial for shaping consumers' acceptance of AI-powered features like FSD, significantly influenced by AI system transparency, data collection methods, and error handling procedures. In a classical trust theory, the three key starting points are ability, benevolence and integrity which can be directly applied to consumer evaluation of trust in an organization or system, such as an AI system with physical safety implications (Mayer et al., 1995). The same applies to Tesla: no matter how good the technical performance is, a system could be rejected simply because the consumer feels uncertain about the transparency of Tesla's data processing and limitations of the system. But, when there's clear communication about capabilities, boundaries and safety performance, it can </w:t>
      </w:r>
      <w:proofErr w:type="gramStart"/>
      <w:r w:rsidRPr="002145DA">
        <w:rPr>
          <w:rFonts w:eastAsia="Times New Roman" w:asciiTheme="majorBidi" w:hAnsiTheme="majorBidi" w:cstheme="majorBidi"/>
          <w:lang w:eastAsia="en-GB"/>
          <w14:ligatures w14:val="none"/>
        </w:rPr>
        <w:t>actually be</w:t>
      </w:r>
      <w:proofErr w:type="gramEnd"/>
      <w:r w:rsidRPr="002145DA">
        <w:rPr>
          <w:rFonts w:eastAsia="Times New Roman" w:asciiTheme="majorBidi" w:hAnsiTheme="majorBidi" w:cstheme="majorBidi"/>
          <w:lang w:eastAsia="en-GB"/>
          <w14:ligatures w14:val="none"/>
        </w:rPr>
        <w:t xml:space="preserve"> faster to win over adoption rates since it goes straight to the </w:t>
      </w:r>
      <w:r w:rsidRPr="002145DA" w:rsidR="002145DA">
        <w:rPr>
          <w:rFonts w:eastAsia="Times New Roman" w:asciiTheme="majorBidi" w:hAnsiTheme="majorBidi" w:cstheme="majorBidi"/>
          <w:lang w:eastAsia="en-GB"/>
          <w14:ligatures w14:val="none"/>
        </w:rPr>
        <w:t>bottom-line</w:t>
      </w:r>
      <w:r w:rsidRPr="002145DA">
        <w:rPr>
          <w:rFonts w:eastAsia="Times New Roman" w:asciiTheme="majorBidi" w:hAnsiTheme="majorBidi" w:cstheme="majorBidi"/>
          <w:lang w:eastAsia="en-GB"/>
          <w14:ligatures w14:val="none"/>
        </w:rPr>
        <w:t xml:space="preserve"> issue of trust with opaque AI systems.</w:t>
      </w:r>
    </w:p>
    <w:p w:rsidRPr="002145DA" w:rsidR="00365D22" w:rsidP="002145DA" w:rsidRDefault="00365D22" w14:paraId="25F354DC"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5.4 Critical Evaluation: Trust vs Innovation</w:t>
      </w:r>
    </w:p>
    <w:p w:rsidRPr="002145DA" w:rsidR="002145DA" w:rsidP="002145DA" w:rsidRDefault="002145DA" w14:paraId="4401EC94"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A dilemma for Tesla is whether a fast, innovative pace is also the one that cultivates and nurtures long-term customer confidence. Transparency/explainability and rapid iteration – going from FSD update to performant versions too quickly and, if left unchecked, eroding the transparency/explainability for deployment can be a core differentiator of Tesla's strategy in its </w:t>
      </w:r>
      <w:r w:rsidRPr="002145DA">
        <w:rPr>
          <w:rFonts w:eastAsia="Times New Roman" w:asciiTheme="majorBidi" w:hAnsiTheme="majorBidi" w:cstheme="majorBidi"/>
          <w:lang w:eastAsia="en-GB"/>
          <w14:ligatures w14:val="none"/>
        </w:rPr>
        <w:t>deal with the public. While these trust-building initiatives might slow down feature releases, they may ultimately prove less costly in the long run in terms of compromising consumer trust because if that trust is eroded in the aftermath of a major failure of this new AI technology in a big app release, it could lead to reputational harm far outweighed by the short-term competitive edge of a speedy rollout. It's essential that Tesla's data governance and AI ethics policy not just weigh these priorities but balance them as well so as not to be at odds with one another.</w:t>
      </w:r>
    </w:p>
    <w:p w:rsidRPr="002145DA" w:rsidR="00E2758A" w:rsidP="002145DA" w:rsidRDefault="00E2758A" w14:paraId="0C78158A"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5" w:id="13"/>
      <w:r w:rsidRPr="002145DA">
        <w:rPr>
          <w:rFonts w:eastAsia="Times New Roman" w:asciiTheme="majorBidi" w:hAnsiTheme="majorBidi" w:cstheme="majorBidi"/>
          <w:b/>
          <w:bCs/>
          <w:lang w:eastAsia="en-GB"/>
          <w14:ligatures w14:val="none"/>
        </w:rPr>
        <w:t>6. Regulatory Environment (UK vs China)</w:t>
      </w:r>
      <w:bookmarkEnd w:id="13"/>
    </w:p>
    <w:p w:rsidRPr="002145DA" w:rsidR="00E2758A" w:rsidP="002145DA" w:rsidRDefault="00E2758A" w14:paraId="75DF0DB2"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6.1 UK</w:t>
      </w:r>
    </w:p>
    <w:p w:rsidRPr="002145DA" w:rsidR="002145DA" w:rsidP="002145DA" w:rsidRDefault="002145DA" w14:paraId="58C62B6D" w14:textId="5448A454">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The UK believes that organizing AI governance by </w:t>
      </w:r>
      <w:r w:rsidRPr="002145DA" w:rsidR="002477EC">
        <w:rPr>
          <w:rFonts w:eastAsia="Times New Roman" w:asciiTheme="majorBidi" w:hAnsiTheme="majorBidi" w:cstheme="majorBidi"/>
          <w:lang w:eastAsia="en-GB"/>
          <w14:ligatures w14:val="none"/>
        </w:rPr>
        <w:t>sector and</w:t>
      </w:r>
      <w:r w:rsidRPr="002145DA">
        <w:rPr>
          <w:rFonts w:eastAsia="Times New Roman" w:asciiTheme="majorBidi" w:hAnsiTheme="majorBidi" w:cstheme="majorBidi"/>
          <w:lang w:eastAsia="en-GB"/>
          <w14:ligatures w14:val="none"/>
        </w:rPr>
        <w:t xml:space="preserve"> using existing sectoral regulators which have existing cross-cutting principles safety, transparency, fairness, accountability — instead of creating one overarching AI statute is the right way to go. In the context of self-driving cars, safety governing bodies are focused on meticulous test procedures prior to self-driving car deployment, reporting incidents, and </w:t>
      </w:r>
      <w:proofErr w:type="gramStart"/>
      <w:r w:rsidRPr="002145DA">
        <w:rPr>
          <w:rFonts w:eastAsia="Times New Roman" w:asciiTheme="majorBidi" w:hAnsiTheme="majorBidi" w:cstheme="majorBidi"/>
          <w:lang w:eastAsia="en-GB"/>
          <w14:ligatures w14:val="none"/>
        </w:rPr>
        <w:t>as of yet</w:t>
      </w:r>
      <w:proofErr w:type="gramEnd"/>
      <w:r w:rsidRPr="002145DA">
        <w:rPr>
          <w:rFonts w:eastAsia="Times New Roman" w:asciiTheme="majorBidi" w:hAnsiTheme="majorBidi" w:cstheme="majorBidi"/>
          <w:lang w:eastAsia="en-GB"/>
          <w14:ligatures w14:val="none"/>
        </w:rPr>
        <w:t>, cautious measures being taken to introduce more advanced levels of self-driving car autonomy on public roads gradually. This results in a relatively certain yet cautious regulatory process: Tesla is able to operate with legal relative security, but the process for expanding the scope of FSD will be even longer, and liability for incidents involving autonomous vehicles is dealt with unevenly against international standards, with some remaining legal uncertainty about who is liable (Taeihagh and Lim, 2019). AI allied liability proposals are continuing to evolve the scope of responsibility - between the manufacturer and driver (Channon, 2019; Cohen et al., 2018).</w:t>
      </w:r>
    </w:p>
    <w:p w:rsidRPr="002145DA" w:rsidR="00E2758A" w:rsidP="002145DA" w:rsidRDefault="00E2758A" w14:paraId="45F3FD53"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6.2 China</w:t>
      </w:r>
    </w:p>
    <w:p w:rsidRPr="002145DA" w:rsidR="002145DA" w:rsidP="002145DA" w:rsidRDefault="002145DA" w14:paraId="458E0DB7" w14:textId="1BD6EA65">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As far as Chinese regulatory model is concerned, it is more centralised and prescriptive. The Personal Information Protection Law (PIPL) provides extremely rigorous requirements on consent, cross-border transfer of data and data-minimisation for any organisation dealing with the personal data of Chinese citizens (Calzada, 2022; Chen and Sun, 2021), the Data Security Law introduces classification and localisation obligations to the data important to national security and public interest (Cui and Qi, 2021). Regulatory control isn't limited to data protection; it also concerns the broader algorithmic governance, and the regulators have broad powers to monitor </w:t>
      </w:r>
      <w:r w:rsidRPr="002145DA">
        <w:rPr>
          <w:rFonts w:eastAsia="Times New Roman" w:asciiTheme="majorBidi" w:hAnsiTheme="majorBidi" w:cstheme="majorBidi"/>
          <w:lang w:eastAsia="en-GB"/>
          <w14:ligatures w14:val="none"/>
        </w:rPr>
        <w:t>and intervene in scalable AI systems (Creemers, 2022; Guo et al., 2024). This means a compliance-based approach: the obligations set in such detail are actively enforced in countries like the United States, meaning that there is little scope for a principles-based approach like in the UK which may allow for more flexibility (Yang, 2022; Determann et al., 2021).</w:t>
      </w:r>
    </w:p>
    <w:p w:rsidRPr="002145DA" w:rsidR="00E2758A" w:rsidP="002145DA" w:rsidRDefault="00E2758A" w14:paraId="087B8A74" w14:textId="77777777">
      <w:pPr>
        <w:spacing w:before="100" w:beforeAutospacing="1" w:after="100" w:afterAutospacing="1" w:line="360" w:lineRule="auto"/>
        <w:jc w:val="both"/>
        <w:outlineLvl w:val="3"/>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6.3 Comparative Evaluation</w:t>
      </w:r>
    </w:p>
    <w:p w:rsidRPr="002145DA" w:rsidR="002145DA" w:rsidP="002145DA" w:rsidRDefault="002145DA" w14:paraId="4D0A661C" w14:textId="3628509E">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This difference has potentially important consequences for business. While Tesla enjoys regulatory stability and complainer data-localisation obligations in the UK, it may still be delayed in the rollout of its autonomous features and technology due to the careful procedures involved in safety approval. As for market penetration, Tesla is progressing much faster in China where consumers are open to Artificial Intelligence technology, but where compliance policies are also much more complex, with the requirement for local storage and reporting on the algorithms that are used (Verri, 2023). Competitively, such a disconnect fuelled by different requirements in different regions underpinned a situation where Tesla would be unable to use a single global AI governance approach – one which is efficient in the UK environment may not necessarily be the right one for China, and vice versa. The ability to establish modular governance frameworks that are tailored according to specific regions is likely to give the company a competitive edge over other companies that have not initially localized AI compliance in a comprehensive way or are simply slower to respond (Wachter et al., 2017).</w:t>
      </w:r>
    </w:p>
    <w:p w:rsidRPr="002145DA" w:rsidR="00E2758A" w:rsidP="002145DA" w:rsidRDefault="00E2758A" w14:paraId="0F186E8E"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6" w:id="14"/>
      <w:r w:rsidRPr="002145DA">
        <w:rPr>
          <w:rFonts w:eastAsia="Times New Roman" w:asciiTheme="majorBidi" w:hAnsiTheme="majorBidi" w:cstheme="majorBidi"/>
          <w:b/>
          <w:bCs/>
          <w:lang w:eastAsia="en-GB"/>
          <w14:ligatures w14:val="none"/>
        </w:rPr>
        <w:t>7. Strategic Recommendations</w:t>
      </w:r>
      <w:bookmarkEnd w:id="14"/>
    </w:p>
    <w:p w:rsidRPr="002145DA" w:rsidR="002145DA" w:rsidP="002145DA" w:rsidRDefault="00E2758A" w14:paraId="072F2FDA" w14:textId="77777777">
      <w:pPr>
        <w:spacing w:before="100" w:beforeAutospacing="1" w:after="100" w:afterAutospacing="1" w:line="360" w:lineRule="auto"/>
        <w:jc w:val="both"/>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Recommendation 1: Develop a Global AI Governance Framework</w:t>
      </w:r>
    </w:p>
    <w:p w:rsidRPr="002145DA" w:rsidR="002145DA" w:rsidP="002145DA" w:rsidRDefault="002145DA" w14:paraId="2220020F"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However, based on the ERM analysis in Section 4.4, it is advisable to have a unified AI governance framework as opposed to a ‘separate’ strategy for three distinct functions – safety, cybersecurity and operational risks – across the enterprise. This shift is supported by evidence that linking structured ERM to increased firm value is of benefit (Hoyt and Liebenberg, 2011) and that an ISO 31000 compliant governance layer would give the risk process meaning and give organizational structure to the ISO 31000 process (COSO, 2017).</w:t>
      </w:r>
    </w:p>
    <w:p w:rsidRPr="002145DA" w:rsidR="002145DA" w:rsidP="002145DA" w:rsidRDefault="00E2758A" w14:paraId="51C04BE0" w14:textId="77777777">
      <w:pPr>
        <w:spacing w:before="100" w:beforeAutospacing="1" w:after="100" w:afterAutospacing="1" w:line="360" w:lineRule="auto"/>
        <w:jc w:val="both"/>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Recommendation 2: Strengthen AI Safety Validation</w:t>
      </w:r>
    </w:p>
    <w:p w:rsidRPr="002145DA" w:rsidR="002145DA" w:rsidP="002145DA" w:rsidRDefault="002145DA" w14:paraId="3741E685" w14:textId="55EB8936">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In view of the safety exposure discussed in section 4.1, and the fact that effect and outcomes from FSD/Autopilot update deployments are not adequately reported publicly, provided by Tesla or independently verified, Tesla should look to introduce tighter and more rigorous pre-deployment testing of their FSD/Autopilot development and a standardised and public reporting of incident rates. This would limit uncertainty in liability and further build the evidentiary foundation for regulation to take place in the UK and China.</w:t>
      </w:r>
    </w:p>
    <w:p w:rsidRPr="002145DA" w:rsidR="002145DA" w:rsidP="002145DA" w:rsidRDefault="00E2758A" w14:paraId="22CC478D" w14:textId="77777777">
      <w:pPr>
        <w:spacing w:before="100" w:beforeAutospacing="1" w:after="100" w:afterAutospacing="1" w:line="360" w:lineRule="auto"/>
        <w:jc w:val="both"/>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Recommendation 3: Adopt Region-Specific Compliance Strategies</w:t>
      </w:r>
    </w:p>
    <w:p w:rsidRPr="002145DA" w:rsidR="002145DA" w:rsidP="002145DA" w:rsidRDefault="002145DA" w14:paraId="2EF7368F"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It is clear from the experiences reported in Section 6, however, that no single model can provide compliance with all principles-based regimes, like the UK, or prescriptive regimes, such as the China PIPL/Data Security Law. Tesla, ultimately, should create any structures necessary to comply without having to recreate them from the base up in the individual markets; structures that are modelled on approaches such as Sharma and Sharma (2025) and Tsai (2025) that allow for rapid localization without the need to start with scratch in every market.</w:t>
      </w:r>
    </w:p>
    <w:p w:rsidRPr="002145DA" w:rsidR="002145DA" w:rsidP="002145DA" w:rsidRDefault="00E2758A" w14:paraId="3E190C91" w14:textId="77777777">
      <w:pPr>
        <w:spacing w:before="100" w:beforeAutospacing="1" w:after="100" w:afterAutospacing="1" w:line="360" w:lineRule="auto"/>
        <w:jc w:val="both"/>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Recommendation 4: Enhance Cybersecurity and Data Governance</w:t>
      </w:r>
    </w:p>
    <w:p w:rsidRPr="002145DA" w:rsidR="002145DA" w:rsidP="002145DA" w:rsidRDefault="002145DA" w14:paraId="1203B9C7" w14:textId="66622E3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Based on the risks outlined in Sections 4.2 and 5.1, further investment in intrusion detection and secure OTA pipelines should be considered by Tesla, alongside robust internal data governance policies on where, who and when data is saved, who can access it and cross-border data transfers. This directly resolves the issue to the whole fleet regarding breach risk and </w:t>
      </w:r>
      <w:r w:rsidRPr="002145DA" w:rsidR="002477EC">
        <w:rPr>
          <w:rFonts w:eastAsia="Times New Roman" w:asciiTheme="majorBidi" w:hAnsiTheme="majorBidi" w:cstheme="majorBidi"/>
          <w:lang w:eastAsia="en-GB"/>
          <w14:ligatures w14:val="none"/>
        </w:rPr>
        <w:t>their</w:t>
      </w:r>
      <w:r w:rsidRPr="002145DA">
        <w:rPr>
          <w:rFonts w:eastAsia="Times New Roman" w:asciiTheme="majorBidi" w:hAnsiTheme="majorBidi" w:cstheme="majorBidi"/>
          <w:lang w:eastAsia="en-GB"/>
          <w14:ligatures w14:val="none"/>
        </w:rPr>
        <w:t xml:space="preserve"> regulatory exposure.</w:t>
      </w:r>
    </w:p>
    <w:p w:rsidRPr="002145DA" w:rsidR="002145DA" w:rsidP="002145DA" w:rsidRDefault="00E2758A" w14:paraId="2766A97D" w14:textId="77777777">
      <w:pPr>
        <w:spacing w:before="100" w:beforeAutospacing="1" w:after="100" w:afterAutospacing="1" w:line="360" w:lineRule="auto"/>
        <w:jc w:val="both"/>
        <w:rPr>
          <w:rFonts w:eastAsia="Times New Roman" w:asciiTheme="majorBidi" w:hAnsiTheme="majorBidi" w:cstheme="majorBidi"/>
          <w:b/>
          <w:bCs/>
          <w:lang w:eastAsia="en-GB"/>
          <w14:ligatures w14:val="none"/>
        </w:rPr>
      </w:pPr>
      <w:r w:rsidRPr="002145DA">
        <w:rPr>
          <w:rFonts w:eastAsia="Times New Roman" w:asciiTheme="majorBidi" w:hAnsiTheme="majorBidi" w:cstheme="majorBidi"/>
          <w:b/>
          <w:bCs/>
          <w:lang w:eastAsia="en-GB"/>
          <w14:ligatures w14:val="none"/>
        </w:rPr>
        <w:t>Recommendation 5: Strengthen Transparency and Customer Trust</w:t>
      </w:r>
    </w:p>
    <w:p w:rsidRPr="002145DA" w:rsidR="002145DA" w:rsidP="002145DA" w:rsidRDefault="002145DA" w14:paraId="5BBAA346"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Lastly, as we discussed in Section 5.4, to resolve the conflict between trust and innovation, Tesla needs to be more transparent in its approaches to using AI in decision making, handling the data, and limitations of the system. Clear public communication and independent audit would help to reduce the trust gap, without stoking innovation, but as perceived ability, benevolence and integrity are all key components of “trust” (Mayer et al., 1995), and bias/explainability gaps are a well-known shortcoming of all AI systems (Jobin et al., 2019), public communication and independent auditing could be a feature of closing the gap.</w:t>
      </w:r>
    </w:p>
    <w:p w:rsidRPr="002145DA" w:rsidR="004622BA" w:rsidP="002145DA" w:rsidRDefault="004622BA" w14:paraId="32011E7D"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7" w:id="15"/>
      <w:r w:rsidRPr="002145DA">
        <w:rPr>
          <w:rFonts w:eastAsia="Times New Roman" w:asciiTheme="majorBidi" w:hAnsiTheme="majorBidi" w:cstheme="majorBidi"/>
          <w:b/>
          <w:bCs/>
          <w:lang w:eastAsia="en-GB"/>
          <w14:ligatures w14:val="none"/>
        </w:rPr>
        <w:t>8. Implementation Plan</w:t>
      </w:r>
      <w:bookmarkEnd w:id="15"/>
    </w:p>
    <w:p w:rsidRPr="002145DA" w:rsidR="002145DA" w:rsidP="002145DA" w:rsidRDefault="002145DA" w14:paraId="1FB8221A" w14:textId="77777777">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Implementing the five recommendations (see section 7) requires end ownership, realistic timeframes and measurable results, all in line with the ERM framework recommended in section 4.4 (Hoyt and Liebenberg, 2011) and the COSO risk management framework focus of integrating risk management within organisation's performance (COSO, 2017). Each action is allocated to the function most suited to leading that action - timings can be based on the relative complexity compliance/ governance actions can be performed quicker than engineering intensive actions for safety validation. The cost levels are indicative and KPIs are selected so that they can be selected with the aim of enabling progress not just to be reported but also to be self-evident.</w:t>
      </w:r>
    </w:p>
    <w:p w:rsidRPr="002145DA" w:rsidR="002145DA" w:rsidP="002145DA" w:rsidRDefault="002145DA" w14:paraId="7F842724" w14:textId="20D530D4">
      <w:pPr>
        <w:pStyle w:val="Caption"/>
        <w:spacing w:line="360" w:lineRule="auto"/>
        <w:jc w:val="both"/>
        <w:rPr>
          <w:rFonts w:eastAsia="Times New Roman" w:asciiTheme="majorBidi" w:hAnsiTheme="majorBidi" w:cstheme="majorBidi"/>
          <w:sz w:val="24"/>
          <w:szCs w:val="24"/>
          <w:lang w:eastAsia="en-GB"/>
          <w14:ligatures w14:val="none"/>
        </w:rPr>
      </w:pPr>
      <w:bookmarkStart w:name="_Toc235032462" w:id="16"/>
      <w:r w:rsidRPr="002145DA">
        <w:rPr>
          <w:rFonts w:asciiTheme="majorBidi" w:hAnsiTheme="majorBidi" w:cstheme="majorBidi"/>
          <w:sz w:val="24"/>
          <w:szCs w:val="24"/>
        </w:rPr>
        <w:t xml:space="preserve">Table </w:t>
      </w:r>
      <w:r w:rsidRPr="002145DA">
        <w:rPr>
          <w:rFonts w:asciiTheme="majorBidi" w:hAnsiTheme="majorBidi" w:cstheme="majorBidi"/>
          <w:sz w:val="24"/>
          <w:szCs w:val="24"/>
        </w:rPr>
        <w:fldChar w:fldCharType="begin"/>
      </w:r>
      <w:r w:rsidRPr="002145DA">
        <w:rPr>
          <w:rFonts w:asciiTheme="majorBidi" w:hAnsiTheme="majorBidi" w:cstheme="majorBidi"/>
          <w:sz w:val="24"/>
          <w:szCs w:val="24"/>
        </w:rPr>
        <w:instrText xml:space="preserve"> SEQ Table \* ARABIC </w:instrText>
      </w:r>
      <w:r w:rsidRPr="002145DA">
        <w:rPr>
          <w:rFonts w:asciiTheme="majorBidi" w:hAnsiTheme="majorBidi" w:cstheme="majorBidi"/>
          <w:sz w:val="24"/>
          <w:szCs w:val="24"/>
        </w:rPr>
        <w:fldChar w:fldCharType="separate"/>
      </w:r>
      <w:r w:rsidR="002477EC">
        <w:rPr>
          <w:rFonts w:asciiTheme="majorBidi" w:hAnsiTheme="majorBidi" w:cstheme="majorBidi"/>
          <w:noProof/>
          <w:sz w:val="24"/>
          <w:szCs w:val="24"/>
        </w:rPr>
        <w:t>3</w:t>
      </w:r>
      <w:r w:rsidRPr="002145DA">
        <w:rPr>
          <w:rFonts w:asciiTheme="majorBidi" w:hAnsiTheme="majorBidi" w:cstheme="majorBidi"/>
          <w:sz w:val="24"/>
          <w:szCs w:val="24"/>
        </w:rPr>
        <w:fldChar w:fldCharType="end"/>
      </w:r>
      <w:r w:rsidRPr="002145DA">
        <w:rPr>
          <w:rFonts w:asciiTheme="majorBidi" w:hAnsiTheme="majorBidi" w:cstheme="majorBidi"/>
          <w:sz w:val="24"/>
          <w:szCs w:val="24"/>
        </w:rPr>
        <w:t xml:space="preserve"> Implementation Plan</w:t>
      </w:r>
      <w:bookmarkEnd w:id="16"/>
    </w:p>
    <w:p w:rsidRPr="002145DA" w:rsidR="004622BA" w:rsidP="002145DA" w:rsidRDefault="004622BA" w14:paraId="64F594EE" w14:textId="237139FE">
      <w:pPr>
        <w:spacing w:before="100" w:beforeAutospacing="1" w:after="100" w:afterAutospacing="1"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noProof/>
          <w:lang w:eastAsia="en-GB"/>
          <w14:ligatures w14:val="none"/>
        </w:rPr>
        <w:drawing>
          <wp:inline distT="0" distB="0" distL="0" distR="0" wp14:anchorId="49CA93A6" wp14:editId="3862922B">
            <wp:extent cx="5943600" cy="3619500"/>
            <wp:effectExtent l="0" t="0" r="0" b="0"/>
            <wp:docPr id="1383893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93113" name=""/>
                    <pic:cNvPicPr/>
                  </pic:nvPicPr>
                  <pic:blipFill>
                    <a:blip r:embed="rId11"/>
                    <a:stretch>
                      <a:fillRect/>
                    </a:stretch>
                  </pic:blipFill>
                  <pic:spPr>
                    <a:xfrm>
                      <a:off x="0" y="0"/>
                      <a:ext cx="5943600" cy="3619500"/>
                    </a:xfrm>
                    <a:prstGeom prst="rect">
                      <a:avLst/>
                    </a:prstGeom>
                  </pic:spPr>
                </pic:pic>
              </a:graphicData>
            </a:graphic>
          </wp:inline>
        </w:drawing>
      </w:r>
    </w:p>
    <w:p w:rsidRPr="002145DA" w:rsidR="004622BA" w:rsidP="002145DA" w:rsidRDefault="004622BA" w14:paraId="1C154771" w14:textId="77777777">
      <w:pPr>
        <w:spacing w:before="100" w:beforeAutospacing="1" w:after="100" w:afterAutospacing="1" w:line="360" w:lineRule="auto"/>
        <w:jc w:val="both"/>
        <w:outlineLvl w:val="2"/>
        <w:rPr>
          <w:rFonts w:eastAsia="Times New Roman" w:asciiTheme="majorBidi" w:hAnsiTheme="majorBidi" w:cstheme="majorBidi"/>
          <w:b/>
          <w:bCs/>
          <w:lang w:eastAsia="en-GB"/>
          <w14:ligatures w14:val="none"/>
        </w:rPr>
      </w:pPr>
      <w:bookmarkStart w:name="_Toc235032458" w:id="17"/>
      <w:r w:rsidRPr="002145DA">
        <w:rPr>
          <w:rFonts w:eastAsia="Times New Roman" w:asciiTheme="majorBidi" w:hAnsiTheme="majorBidi" w:cstheme="majorBidi"/>
          <w:b/>
          <w:bCs/>
          <w:lang w:eastAsia="en-GB"/>
          <w14:ligatures w14:val="none"/>
        </w:rPr>
        <w:t>9. Conclusion</w:t>
      </w:r>
      <w:bookmarkEnd w:id="17"/>
    </w:p>
    <w:p w:rsidRPr="002145DA" w:rsidR="002145DA" w:rsidP="002145DA" w:rsidRDefault="002145DA" w14:paraId="79D6ADA7" w14:textId="59756F5A">
      <w:pPr>
        <w:spacing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The report has explored the challenges of AI use for Tesla and identified key potential areas of risk (safety, cyber security and operational) where the company turns to AI, which highlights the fact that its reliance on the technology occurs in two very different regulatory settings, both of </w:t>
      </w:r>
      <w:r w:rsidRPr="002145DA">
        <w:rPr>
          <w:rFonts w:eastAsia="Times New Roman" w:asciiTheme="majorBidi" w:hAnsiTheme="majorBidi" w:cstheme="majorBidi"/>
          <w:lang w:eastAsia="en-GB"/>
          <w14:ligatures w14:val="none"/>
        </w:rPr>
        <w:t>which may be at risk. The PESTLE analysis indicated that the UK has regulatory stability and where demand exhibits sustainability principles, but slower approval and market pathways, conversely China provides a glimpse of rapid growth, robust AI resources with data and algorithmic oversight at a tighter and more prescriptive application standard. While the risk analysis created here didn't show that safety is the most common risk, because it's often both the most severe and the risk with the most ambiguous legal liability, there's a significant deficiency in independent verification of the safety of the Tesla – the risk with the highest number of undecided legal liability cases involved business aspects that lack proper transparency. Although cybersecurity and data governance risks are technically manageable, they have far reached, far more significant implications for a company's reputation and its fleet-wide impacts if they're under-resourced. The ethical AI digital analysis also suggested that as well as technical prowess, Tesla's competitive ability and its "trust quotient" over the long haul rely heavily on the perception of transparency and accountability.</w:t>
      </w:r>
    </w:p>
    <w:p w:rsidRPr="002145DA" w:rsidR="002145DA" w:rsidP="002145DA" w:rsidRDefault="002145DA" w14:paraId="3BD0C785" w14:textId="49DAB9F3">
      <w:pPr>
        <w:spacing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 xml:space="preserve">The take-home message to the strategy is obvious: Tesla can't control them piecemeal by reacting to them at a functional level. The interdependency of safety/cyber security of operational risks, and the significant variations in regulatory requirements across markets demand a more watertight approach, rather than the usual one-size-fits-all approach. Rather, Tesla demands a unified enterprise risk management system that can uphold governance principles on a global </w:t>
      </w:r>
      <w:r w:rsidRPr="002145DA" w:rsidR="002477EC">
        <w:rPr>
          <w:rFonts w:eastAsia="Times New Roman" w:asciiTheme="majorBidi" w:hAnsiTheme="majorBidi" w:cstheme="majorBidi"/>
          <w:lang w:eastAsia="en-GB"/>
          <w14:ligatures w14:val="none"/>
        </w:rPr>
        <w:t>level and</w:t>
      </w:r>
      <w:r w:rsidRPr="002145DA">
        <w:rPr>
          <w:rFonts w:eastAsia="Times New Roman" w:asciiTheme="majorBidi" w:hAnsiTheme="majorBidi" w:cstheme="majorBidi"/>
          <w:lang w:eastAsia="en-GB"/>
          <w14:ligatures w14:val="none"/>
        </w:rPr>
        <w:t xml:space="preserve"> implement compliance actions at the local level.</w:t>
      </w:r>
    </w:p>
    <w:p w:rsidRPr="002145DA" w:rsidR="002145DA" w:rsidP="002145DA" w:rsidRDefault="002145DA" w14:paraId="538309DD" w14:textId="77777777">
      <w:pPr>
        <w:spacing w:line="360" w:lineRule="auto"/>
        <w:jc w:val="both"/>
        <w:rPr>
          <w:rFonts w:eastAsia="Times New Roman" w:asciiTheme="majorBidi" w:hAnsiTheme="majorBidi" w:cstheme="majorBidi"/>
          <w:lang w:eastAsia="en-GB"/>
          <w14:ligatures w14:val="none"/>
        </w:rPr>
      </w:pPr>
      <w:r w:rsidRPr="002145DA">
        <w:rPr>
          <w:rFonts w:eastAsia="Times New Roman" w:asciiTheme="majorBidi" w:hAnsiTheme="majorBidi" w:cstheme="majorBidi"/>
          <w:lang w:eastAsia="en-GB"/>
          <w14:ligatures w14:val="none"/>
        </w:rPr>
        <w:t>The Tesla saga exemplifies the larger contradiction that's surfacing when it comes to responsible governance and advancing technological progress within the multi-national, AI-backed enterprise. There is as much risk of regulatory penalties, safety issues, loss of public confidence, when innovation is not underpinned by good governance, as there is of competitive standstill due to failed innovation within a rapidly changing industry when governance is lacking. The key to sustainable advantage is to consider governance issues as a necessary condition for the sustainable success of innovation as opposed to a limitation on it.</w:t>
      </w:r>
    </w:p>
    <w:p w:rsidRPr="002145DA" w:rsidR="0007599D" w:rsidP="002145DA" w:rsidRDefault="002145DA" w14:paraId="5F7CE3DE" w14:textId="651E473D">
      <w:pPr>
        <w:spacing w:line="360" w:lineRule="auto"/>
        <w:jc w:val="both"/>
        <w:rPr>
          <w:rFonts w:asciiTheme="majorBidi" w:hAnsiTheme="majorBidi" w:cstheme="majorBidi"/>
        </w:rPr>
      </w:pPr>
      <w:r w:rsidRPr="002145DA">
        <w:rPr>
          <w:rFonts w:eastAsia="Times New Roman" w:asciiTheme="majorBidi" w:hAnsiTheme="majorBidi" w:cstheme="majorBidi"/>
          <w:lang w:eastAsia="en-GB"/>
          <w14:ligatures w14:val="none"/>
        </w:rPr>
        <w:t>Marketing realisation for Tesla's leadership is that the building of technological leadership alone is not sufficient to ensure Tesla's position in the world; only the multinational start-up that imposes as much discipline as it develops will keep the durable competitive edge.</w:t>
      </w:r>
      <w:r w:rsidRPr="002145DA" w:rsidR="0007599D">
        <w:rPr>
          <w:rFonts w:asciiTheme="majorBidi" w:hAnsiTheme="majorBidi" w:cstheme="majorBidi"/>
        </w:rPr>
        <w:br w:type="page"/>
      </w:r>
    </w:p>
    <w:bookmarkStart w:name="_Toc235032459" w:displacedByCustomXml="next" w:id="18"/>
    <w:sdt>
      <w:sdtPr>
        <w:id w:val="-2129926111"/>
        <w:docPartObj>
          <w:docPartGallery w:val="Bibliographies"/>
          <w:docPartUnique/>
        </w:docPartObj>
        <w:rPr>
          <w:rFonts w:ascii="Times New Roman" w:hAnsi="Times New Roman" w:eastAsia="Aptos" w:cs="Arial" w:asciiTheme="majorBidi" w:hAnsiTheme="majorBidi" w:eastAsiaTheme="minorAscii" w:cstheme="minorBidi"/>
          <w:color w:val="auto"/>
          <w:sz w:val="24"/>
          <w:szCs w:val="24"/>
        </w:rPr>
      </w:sdtPr>
      <w:sdtContent>
        <w:p w:rsidRPr="002145DA" w:rsidR="0007599D" w:rsidP="002145DA" w:rsidRDefault="0007599D" w14:paraId="07CF3DAB" w14:textId="2EF322AD">
          <w:pPr>
            <w:pStyle w:val="Heading1"/>
            <w:spacing w:line="360" w:lineRule="auto"/>
            <w:ind w:hanging="720"/>
            <w:jc w:val="both"/>
            <w:rPr>
              <w:rFonts w:asciiTheme="majorBidi" w:hAnsiTheme="majorBidi"/>
              <w:b/>
              <w:bCs/>
              <w:color w:val="000000" w:themeColor="text1"/>
              <w:sz w:val="24"/>
              <w:szCs w:val="24"/>
            </w:rPr>
          </w:pPr>
          <w:r w:rsidRPr="002145DA">
            <w:rPr>
              <w:rFonts w:asciiTheme="majorBidi" w:hAnsiTheme="majorBidi"/>
              <w:b/>
              <w:bCs/>
              <w:color w:val="000000" w:themeColor="text1"/>
              <w:sz w:val="24"/>
              <w:szCs w:val="24"/>
            </w:rPr>
            <w:t>References</w:t>
          </w:r>
          <w:bookmarkEnd w:id="18"/>
        </w:p>
        <w:sdt>
          <w:sdtPr>
            <w:rPr>
              <w:rFonts w:asciiTheme="majorBidi" w:hAnsiTheme="majorBidi" w:cstheme="majorBidi"/>
            </w:rPr>
            <w:id w:val="-573587230"/>
            <w:bibliography/>
          </w:sdtPr>
          <w:sdtContent>
            <w:p w:rsidRPr="002145DA" w:rsidR="0007599D" w:rsidP="002145DA" w:rsidRDefault="0007599D" w14:paraId="4226B6D2"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Abuselidze, G. and Mamaladze, L. (2021) ‘The impact of artificial intelligence on employment before and during pandemic: A comparative analysis’, </w:t>
              </w:r>
              <w:r w:rsidRPr="002145DA">
                <w:rPr>
                  <w:rFonts w:asciiTheme="majorBidi" w:hAnsiTheme="majorBidi" w:cstheme="majorBidi"/>
                  <w:i/>
                  <w:iCs/>
                </w:rPr>
                <w:t>Journal of Physics: Conference Series</w:t>
              </w:r>
              <w:r w:rsidRPr="002145DA">
                <w:rPr>
                  <w:rFonts w:asciiTheme="majorBidi" w:hAnsiTheme="majorBidi" w:cstheme="majorBidi"/>
                </w:rPr>
                <w:t>, 1840(1), p. 012040.</w:t>
              </w:r>
            </w:p>
            <w:p w:rsidRPr="002145DA" w:rsidR="0007599D" w:rsidP="002145DA" w:rsidRDefault="0007599D" w14:paraId="62407A2B"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Acemoglu, D. and Restrepo, P. (2018) </w:t>
              </w:r>
              <w:r w:rsidRPr="002145DA">
                <w:rPr>
                  <w:rFonts w:asciiTheme="majorBidi" w:hAnsiTheme="majorBidi" w:cstheme="majorBidi"/>
                  <w:i/>
                  <w:iCs/>
                </w:rPr>
                <w:t>Artificial Intelligence, Automation, and Work</w:t>
              </w:r>
              <w:r w:rsidRPr="002145DA">
                <w:rPr>
                  <w:rFonts w:asciiTheme="majorBidi" w:hAnsiTheme="majorBidi" w:cstheme="majorBidi"/>
                </w:rPr>
                <w:t xml:space="preserve">. NBER Working Paper No. 24196. Cambridge, MA: National Bureau of Economic Research. Available at: </w:t>
              </w:r>
              <w:hyperlink w:tgtFrame="_new" w:history="1" r:id="rId12">
                <w:r w:rsidRPr="002145DA">
                  <w:rPr>
                    <w:rStyle w:val="Hyperlink"/>
                    <w:rFonts w:asciiTheme="majorBidi" w:hAnsiTheme="majorBidi" w:cstheme="majorBidi"/>
                  </w:rPr>
                  <w:t>https://doi.org/10.3386/w24196</w:t>
                </w:r>
              </w:hyperlink>
              <w:r w:rsidRPr="002145DA">
                <w:rPr>
                  <w:rFonts w:asciiTheme="majorBidi" w:hAnsiTheme="majorBidi" w:cstheme="majorBidi"/>
                </w:rPr>
                <w:t xml:space="preserve"> (Accessed: 14 July 2026).</w:t>
              </w:r>
            </w:p>
            <w:p w:rsidRPr="002145DA" w:rsidR="0007599D" w:rsidP="002145DA" w:rsidRDefault="0007599D" w14:paraId="5E9BA254"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Agarwal, A., Kumar, S., </w:t>
              </w:r>
              <w:proofErr w:type="spellStart"/>
              <w:r w:rsidRPr="002145DA">
                <w:rPr>
                  <w:rFonts w:asciiTheme="majorBidi" w:hAnsiTheme="majorBidi" w:cstheme="majorBidi"/>
                </w:rPr>
                <w:t>Chilakapati</w:t>
              </w:r>
              <w:proofErr w:type="spellEnd"/>
              <w:r w:rsidRPr="002145DA">
                <w:rPr>
                  <w:rFonts w:asciiTheme="majorBidi" w:hAnsiTheme="majorBidi" w:cstheme="majorBidi"/>
                </w:rPr>
                <w:t xml:space="preserve">, P. and </w:t>
              </w:r>
              <w:proofErr w:type="spellStart"/>
              <w:r w:rsidRPr="002145DA">
                <w:rPr>
                  <w:rFonts w:asciiTheme="majorBidi" w:hAnsiTheme="majorBidi" w:cstheme="majorBidi"/>
                </w:rPr>
                <w:t>Abhichandani</w:t>
              </w:r>
              <w:proofErr w:type="spellEnd"/>
              <w:r w:rsidRPr="002145DA">
                <w:rPr>
                  <w:rFonts w:asciiTheme="majorBidi" w:hAnsiTheme="majorBidi" w:cstheme="majorBidi"/>
                </w:rPr>
                <w:t xml:space="preserve">, S. (2024) ‘Artificial Intelligence in Data Governance Enhancing Security and Compliance in Enterprise Environments’, </w:t>
              </w:r>
              <w:r w:rsidRPr="002145DA">
                <w:rPr>
                  <w:rFonts w:asciiTheme="majorBidi" w:hAnsiTheme="majorBidi" w:cstheme="majorBidi"/>
                  <w:i/>
                  <w:iCs/>
                </w:rPr>
                <w:t>Nanotechnology Perceptions</w:t>
              </w:r>
              <w:r w:rsidRPr="002145DA">
                <w:rPr>
                  <w:rFonts w:asciiTheme="majorBidi" w:hAnsiTheme="majorBidi" w:cstheme="majorBidi"/>
                </w:rPr>
                <w:t>, 20(1), pp. 34–45.</w:t>
              </w:r>
            </w:p>
            <w:p w:rsidRPr="002145DA" w:rsidR="0007599D" w:rsidP="002145DA" w:rsidRDefault="0007599D" w14:paraId="13AF6123"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Ahmad, J., Zia, M.U., Naqvi, I.H., Chattha, J.N., Butt, F.A., Huang, T. and Xiang, W. (2024) ‘Machine learning and blockchain technologies for cybersecurity in connected vehicles’, </w:t>
              </w:r>
              <w:r w:rsidRPr="002145DA">
                <w:rPr>
                  <w:rFonts w:asciiTheme="majorBidi" w:hAnsiTheme="majorBidi" w:cstheme="majorBidi"/>
                  <w:i/>
                  <w:iCs/>
                </w:rPr>
                <w:t>Wiley Interdisciplinary Reviews: Data Mining and Knowledge Discovery</w:t>
              </w:r>
              <w:r w:rsidRPr="002145DA">
                <w:rPr>
                  <w:rFonts w:asciiTheme="majorBidi" w:hAnsiTheme="majorBidi" w:cstheme="majorBidi"/>
                </w:rPr>
                <w:t>, 14(1), p. e1515.</w:t>
              </w:r>
            </w:p>
            <w:p w:rsidRPr="002145DA" w:rsidR="0007599D" w:rsidP="002145DA" w:rsidRDefault="0007599D" w14:paraId="4A2E2F6A"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Barrie, G. (2023) ‘An analysis of Tesla’s market competitiveness using the SWOT-PEST analysis (TESLA: Transnational Ecosystem Laboratory and Actions)’, </w:t>
              </w:r>
              <w:proofErr w:type="spellStart"/>
              <w:r w:rsidRPr="002145DA">
                <w:rPr>
                  <w:rFonts w:asciiTheme="majorBidi" w:hAnsiTheme="majorBidi" w:cstheme="majorBidi"/>
                  <w:i/>
                  <w:iCs/>
                </w:rPr>
                <w:t>Вестник</w:t>
              </w:r>
              <w:proofErr w:type="spellEnd"/>
              <w:r w:rsidRPr="002145DA">
                <w:rPr>
                  <w:rFonts w:asciiTheme="majorBidi" w:hAnsiTheme="majorBidi" w:cstheme="majorBidi"/>
                  <w:i/>
                  <w:iCs/>
                </w:rPr>
                <w:t xml:space="preserve"> </w:t>
              </w:r>
              <w:proofErr w:type="spellStart"/>
              <w:r w:rsidRPr="002145DA">
                <w:rPr>
                  <w:rFonts w:asciiTheme="majorBidi" w:hAnsiTheme="majorBidi" w:cstheme="majorBidi"/>
                  <w:i/>
                  <w:iCs/>
                </w:rPr>
                <w:t>Томского</w:t>
              </w:r>
              <w:proofErr w:type="spellEnd"/>
              <w:r w:rsidRPr="002145DA">
                <w:rPr>
                  <w:rFonts w:asciiTheme="majorBidi" w:hAnsiTheme="majorBidi" w:cstheme="majorBidi"/>
                  <w:i/>
                  <w:iCs/>
                </w:rPr>
                <w:t xml:space="preserve"> </w:t>
              </w:r>
              <w:proofErr w:type="spellStart"/>
              <w:r w:rsidRPr="002145DA">
                <w:rPr>
                  <w:rFonts w:asciiTheme="majorBidi" w:hAnsiTheme="majorBidi" w:cstheme="majorBidi"/>
                  <w:i/>
                  <w:iCs/>
                </w:rPr>
                <w:t>государственного</w:t>
              </w:r>
              <w:proofErr w:type="spellEnd"/>
              <w:r w:rsidRPr="002145DA">
                <w:rPr>
                  <w:rFonts w:asciiTheme="majorBidi" w:hAnsiTheme="majorBidi" w:cstheme="majorBidi"/>
                  <w:i/>
                  <w:iCs/>
                </w:rPr>
                <w:t xml:space="preserve"> </w:t>
              </w:r>
              <w:proofErr w:type="spellStart"/>
              <w:r w:rsidRPr="002145DA">
                <w:rPr>
                  <w:rFonts w:asciiTheme="majorBidi" w:hAnsiTheme="majorBidi" w:cstheme="majorBidi"/>
                  <w:i/>
                  <w:iCs/>
                </w:rPr>
                <w:t>университета</w:t>
              </w:r>
              <w:proofErr w:type="spellEnd"/>
              <w:r w:rsidRPr="002145DA">
                <w:rPr>
                  <w:rFonts w:asciiTheme="majorBidi" w:hAnsiTheme="majorBidi" w:cstheme="majorBidi"/>
                  <w:i/>
                  <w:iCs/>
                </w:rPr>
                <w:t xml:space="preserve">. </w:t>
              </w:r>
              <w:proofErr w:type="spellStart"/>
              <w:r w:rsidRPr="002145DA">
                <w:rPr>
                  <w:rFonts w:asciiTheme="majorBidi" w:hAnsiTheme="majorBidi" w:cstheme="majorBidi"/>
                  <w:i/>
                  <w:iCs/>
                </w:rPr>
                <w:t>Экономика</w:t>
              </w:r>
              <w:proofErr w:type="spellEnd"/>
              <w:r w:rsidRPr="002145DA">
                <w:rPr>
                  <w:rFonts w:asciiTheme="majorBidi" w:hAnsiTheme="majorBidi" w:cstheme="majorBidi"/>
                </w:rPr>
                <w:t>, 62, pp. 159–170.</w:t>
              </w:r>
            </w:p>
            <w:p w:rsidRPr="002145DA" w:rsidR="0007599D" w:rsidP="002145DA" w:rsidRDefault="0007599D" w14:paraId="68DDDC15"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Calzada, I. (2022) ‘Citizens’ data privacy in China: The state of the art of the Personal Information Protection Law (PIPL)’, </w:t>
              </w:r>
              <w:r w:rsidRPr="002145DA">
                <w:rPr>
                  <w:rFonts w:asciiTheme="majorBidi" w:hAnsiTheme="majorBidi" w:cstheme="majorBidi"/>
                  <w:i/>
                  <w:iCs/>
                </w:rPr>
                <w:t>Smart Cities</w:t>
              </w:r>
              <w:r w:rsidRPr="002145DA">
                <w:rPr>
                  <w:rFonts w:asciiTheme="majorBidi" w:hAnsiTheme="majorBidi" w:cstheme="majorBidi"/>
                </w:rPr>
                <w:t>, 5(3), pp. 1129–1150.</w:t>
              </w:r>
            </w:p>
            <w:p w:rsidRPr="002145DA" w:rsidR="0007599D" w:rsidP="002145DA" w:rsidRDefault="0007599D" w14:paraId="22510505"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Channon, M. (2019) ‘Automated and Electric Vehicles Act 2018: An Evaluation in light of Proactive Law and Regulatory Disconnect’, </w:t>
              </w:r>
              <w:r w:rsidRPr="002145DA">
                <w:rPr>
                  <w:rFonts w:asciiTheme="majorBidi" w:hAnsiTheme="majorBidi" w:cstheme="majorBidi"/>
                  <w:i/>
                  <w:iCs/>
                </w:rPr>
                <w:t>European Journal of Law and Technology</w:t>
              </w:r>
              <w:r w:rsidRPr="002145DA">
                <w:rPr>
                  <w:rFonts w:asciiTheme="majorBidi" w:hAnsiTheme="majorBidi" w:cstheme="majorBidi"/>
                </w:rPr>
                <w:t xml:space="preserve">, 10(2). Available at: </w:t>
              </w:r>
              <w:hyperlink w:tgtFrame="_new" w:history="1" r:id="rId13">
                <w:r w:rsidRPr="002145DA">
                  <w:rPr>
                    <w:rStyle w:val="Hyperlink"/>
                    <w:rFonts w:asciiTheme="majorBidi" w:hAnsiTheme="majorBidi" w:cstheme="majorBidi"/>
                  </w:rPr>
                  <w:t>https://ejlt.org/index.php/ejlt/article/view/662</w:t>
                </w:r>
              </w:hyperlink>
              <w:r w:rsidRPr="002145DA">
                <w:rPr>
                  <w:rFonts w:asciiTheme="majorBidi" w:hAnsiTheme="majorBidi" w:cstheme="majorBidi"/>
                </w:rPr>
                <w:t xml:space="preserve"> (Accessed: 14 July 2026).</w:t>
              </w:r>
            </w:p>
            <w:p w:rsidRPr="002145DA" w:rsidR="0007599D" w:rsidP="002145DA" w:rsidRDefault="0007599D" w14:paraId="193A602B"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Chen, J. and Sun, J. (2021) ‘Understanding the Chinese Data Security Law’, </w:t>
              </w:r>
              <w:r w:rsidRPr="002145DA">
                <w:rPr>
                  <w:rFonts w:asciiTheme="majorBidi" w:hAnsiTheme="majorBidi" w:cstheme="majorBidi"/>
                  <w:i/>
                  <w:iCs/>
                </w:rPr>
                <w:t>International Cybersecurity Law Review</w:t>
              </w:r>
              <w:r w:rsidRPr="002145DA">
                <w:rPr>
                  <w:rFonts w:asciiTheme="majorBidi" w:hAnsiTheme="majorBidi" w:cstheme="majorBidi"/>
                </w:rPr>
                <w:t>, 2(2), pp. 209–221.</w:t>
              </w:r>
            </w:p>
            <w:p w:rsidRPr="002145DA" w:rsidR="0007599D" w:rsidP="002145DA" w:rsidRDefault="0007599D" w14:paraId="6F8812CE"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Cohen, T., Stilgoe, J. and Cavoli, C. (2018) ‘Reframing the governance of automotive automation: Insights from UK stakeholder workshops’, </w:t>
              </w:r>
              <w:r w:rsidRPr="002145DA">
                <w:rPr>
                  <w:rFonts w:asciiTheme="majorBidi" w:hAnsiTheme="majorBidi" w:cstheme="majorBidi"/>
                  <w:i/>
                  <w:iCs/>
                </w:rPr>
                <w:t>Journal of Responsible Innovation</w:t>
              </w:r>
              <w:r w:rsidRPr="002145DA">
                <w:rPr>
                  <w:rFonts w:asciiTheme="majorBidi" w:hAnsiTheme="majorBidi" w:cstheme="majorBidi"/>
                </w:rPr>
                <w:t xml:space="preserve">, 5(3), pp. 257–279. Available at: </w:t>
              </w:r>
              <w:hyperlink w:tgtFrame="_new" w:history="1" r:id="rId14">
                <w:r w:rsidRPr="002145DA">
                  <w:rPr>
                    <w:rStyle w:val="Hyperlink"/>
                    <w:rFonts w:asciiTheme="majorBidi" w:hAnsiTheme="majorBidi" w:cstheme="majorBidi"/>
                  </w:rPr>
                  <w:t>https://doi.org/10.1080/23299460.2018.1495030</w:t>
                </w:r>
              </w:hyperlink>
              <w:r w:rsidRPr="002145DA">
                <w:rPr>
                  <w:rFonts w:asciiTheme="majorBidi" w:hAnsiTheme="majorBidi" w:cstheme="majorBidi"/>
                </w:rPr>
                <w:t xml:space="preserve"> (Accessed: 14 July 2026).</w:t>
              </w:r>
            </w:p>
            <w:p w:rsidRPr="002145DA" w:rsidR="0007599D" w:rsidP="002145DA" w:rsidRDefault="0007599D" w14:paraId="52466A16"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COSO (2017) </w:t>
              </w:r>
              <w:r w:rsidRPr="002145DA">
                <w:rPr>
                  <w:rFonts w:asciiTheme="majorBidi" w:hAnsiTheme="majorBidi" w:cstheme="majorBidi"/>
                  <w:i/>
                  <w:iCs/>
                </w:rPr>
                <w:t>Enterprise Risk Management—Integrating with Strategy and Performance</w:t>
              </w:r>
              <w:r w:rsidRPr="002145DA">
                <w:rPr>
                  <w:rFonts w:asciiTheme="majorBidi" w:hAnsiTheme="majorBidi" w:cstheme="majorBidi"/>
                </w:rPr>
                <w:t xml:space="preserve">. Durham, NC: Committee of Sponsoring Organizations of the Treadway Commission. Available at: </w:t>
              </w:r>
              <w:hyperlink w:tgtFrame="_new" w:history="1" r:id="rId15">
                <w:r w:rsidRPr="002145DA">
                  <w:rPr>
                    <w:rStyle w:val="Hyperlink"/>
                    <w:rFonts w:asciiTheme="majorBidi" w:hAnsiTheme="majorBidi" w:cstheme="majorBidi"/>
                  </w:rPr>
                  <w:t>https://www.coso.org</w:t>
                </w:r>
              </w:hyperlink>
              <w:r w:rsidRPr="002145DA">
                <w:rPr>
                  <w:rFonts w:asciiTheme="majorBidi" w:hAnsiTheme="majorBidi" w:cstheme="majorBidi"/>
                </w:rPr>
                <w:t xml:space="preserve"> (Accessed: 14 July 2026).</w:t>
              </w:r>
            </w:p>
            <w:p w:rsidRPr="002145DA" w:rsidR="0007599D" w:rsidP="002145DA" w:rsidRDefault="0007599D" w14:paraId="7260B491"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Cramarenco, R.E., </w:t>
              </w:r>
              <w:proofErr w:type="spellStart"/>
              <w:r w:rsidRPr="002145DA">
                <w:rPr>
                  <w:rFonts w:asciiTheme="majorBidi" w:hAnsiTheme="majorBidi" w:cstheme="majorBidi"/>
                </w:rPr>
                <w:t>Burcă</w:t>
              </w:r>
              <w:proofErr w:type="spellEnd"/>
              <w:r w:rsidRPr="002145DA">
                <w:rPr>
                  <w:rFonts w:asciiTheme="majorBidi" w:hAnsiTheme="majorBidi" w:cstheme="majorBidi"/>
                </w:rPr>
                <w:t xml:space="preserve">-Voicu, M.I. and Dabija, D.C. (2023) ‘The impact of artificial intelligence (AI) on employees’ skills and well-being in global </w:t>
              </w:r>
              <w:proofErr w:type="spellStart"/>
              <w:r w:rsidRPr="002145DA">
                <w:rPr>
                  <w:rFonts w:asciiTheme="majorBidi" w:hAnsiTheme="majorBidi" w:cstheme="majorBidi"/>
                </w:rPr>
                <w:t>labor</w:t>
              </w:r>
              <w:proofErr w:type="spellEnd"/>
              <w:r w:rsidRPr="002145DA">
                <w:rPr>
                  <w:rFonts w:asciiTheme="majorBidi" w:hAnsiTheme="majorBidi" w:cstheme="majorBidi"/>
                </w:rPr>
                <w:t xml:space="preserve"> markets: A systematic review’, </w:t>
              </w:r>
              <w:proofErr w:type="spellStart"/>
              <w:r w:rsidRPr="002145DA">
                <w:rPr>
                  <w:rFonts w:asciiTheme="majorBidi" w:hAnsiTheme="majorBidi" w:cstheme="majorBidi"/>
                  <w:i/>
                  <w:iCs/>
                </w:rPr>
                <w:t>Oeconomia</w:t>
              </w:r>
              <w:proofErr w:type="spellEnd"/>
              <w:r w:rsidRPr="002145DA">
                <w:rPr>
                  <w:rFonts w:asciiTheme="majorBidi" w:hAnsiTheme="majorBidi" w:cstheme="majorBidi"/>
                  <w:i/>
                  <w:iCs/>
                </w:rPr>
                <w:t xml:space="preserve"> </w:t>
              </w:r>
              <w:proofErr w:type="spellStart"/>
              <w:r w:rsidRPr="002145DA">
                <w:rPr>
                  <w:rFonts w:asciiTheme="majorBidi" w:hAnsiTheme="majorBidi" w:cstheme="majorBidi"/>
                  <w:i/>
                  <w:iCs/>
                </w:rPr>
                <w:t>Copernicana</w:t>
              </w:r>
              <w:proofErr w:type="spellEnd"/>
              <w:r w:rsidRPr="002145DA">
                <w:rPr>
                  <w:rFonts w:asciiTheme="majorBidi" w:hAnsiTheme="majorBidi" w:cstheme="majorBidi"/>
                </w:rPr>
                <w:t>, 14(3), pp. 731–767.</w:t>
              </w:r>
            </w:p>
            <w:p w:rsidRPr="002145DA" w:rsidR="0007599D" w:rsidP="002145DA" w:rsidRDefault="0007599D" w14:paraId="02FC1212"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Creemers, R. (2022) ‘China’s emerging data protection framework’, </w:t>
              </w:r>
              <w:r w:rsidRPr="002145DA">
                <w:rPr>
                  <w:rFonts w:asciiTheme="majorBidi" w:hAnsiTheme="majorBidi" w:cstheme="majorBidi"/>
                  <w:i/>
                  <w:iCs/>
                </w:rPr>
                <w:t>Journal of Cybersecurity</w:t>
              </w:r>
              <w:r w:rsidRPr="002145DA">
                <w:rPr>
                  <w:rFonts w:asciiTheme="majorBidi" w:hAnsiTheme="majorBidi" w:cstheme="majorBidi"/>
                </w:rPr>
                <w:t>, 8(1), p. tyac011.</w:t>
              </w:r>
            </w:p>
            <w:p w:rsidRPr="002145DA" w:rsidR="0007599D" w:rsidP="002145DA" w:rsidRDefault="0007599D" w14:paraId="1B4DE587"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Cui, S. and Qi, P. (2021) ‘The legal construction of personal information protection and privacy under the Chinese Civil Code’, </w:t>
              </w:r>
              <w:r w:rsidRPr="002145DA">
                <w:rPr>
                  <w:rFonts w:asciiTheme="majorBidi" w:hAnsiTheme="majorBidi" w:cstheme="majorBidi"/>
                  <w:i/>
                  <w:iCs/>
                </w:rPr>
                <w:t>Computer Law &amp; Security Review</w:t>
              </w:r>
              <w:r w:rsidRPr="002145DA">
                <w:rPr>
                  <w:rFonts w:asciiTheme="majorBidi" w:hAnsiTheme="majorBidi" w:cstheme="majorBidi"/>
                </w:rPr>
                <w:t>, 41, p. 105560.</w:t>
              </w:r>
            </w:p>
            <w:p w:rsidRPr="002145DA" w:rsidR="0007599D" w:rsidP="002145DA" w:rsidRDefault="0007599D" w14:paraId="166B2D3C"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De Sousa, G.C. and Castañeda-Ayarza, J.A. (2022) ‘PESTEL analysis and the macro-environmental factors that influence the development of the electric and hybrid vehicles industry in Brazil’, </w:t>
              </w:r>
              <w:r w:rsidRPr="002145DA">
                <w:rPr>
                  <w:rFonts w:asciiTheme="majorBidi" w:hAnsiTheme="majorBidi" w:cstheme="majorBidi"/>
                  <w:i/>
                  <w:iCs/>
                </w:rPr>
                <w:t>Case Studies on Transport Policy</w:t>
              </w:r>
              <w:r w:rsidRPr="002145DA">
                <w:rPr>
                  <w:rFonts w:asciiTheme="majorBidi" w:hAnsiTheme="majorBidi" w:cstheme="majorBidi"/>
                </w:rPr>
                <w:t>, 10(1), pp. 686–699.</w:t>
              </w:r>
            </w:p>
            <w:p w:rsidRPr="002145DA" w:rsidR="0007599D" w:rsidP="002145DA" w:rsidRDefault="0007599D" w14:paraId="28B32254"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Debnath, R., Bardhan, R., Reiner, D.M. and Miller, J.R. (2021) ‘Political, economic, social, technological, legal and environmental dimensions of electric vehicle adoption in the United States: A social-media interaction analysis’, </w:t>
              </w:r>
              <w:r w:rsidRPr="002145DA">
                <w:rPr>
                  <w:rFonts w:asciiTheme="majorBidi" w:hAnsiTheme="majorBidi" w:cstheme="majorBidi"/>
                  <w:i/>
                  <w:iCs/>
                </w:rPr>
                <w:t>Renewable and Sustainable Energy Reviews</w:t>
              </w:r>
              <w:r w:rsidRPr="002145DA">
                <w:rPr>
                  <w:rFonts w:asciiTheme="majorBidi" w:hAnsiTheme="majorBidi" w:cstheme="majorBidi"/>
                </w:rPr>
                <w:t>, 152, p. 111707.</w:t>
              </w:r>
            </w:p>
            <w:p w:rsidRPr="002145DA" w:rsidR="0007599D" w:rsidP="002145DA" w:rsidRDefault="0007599D" w14:paraId="7B38A796"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Determann, L., Ruan, Z.J., Gao, T. and Tam, J. (2021) ‘China’s draft personal information protection law’, </w:t>
              </w:r>
              <w:r w:rsidRPr="002145DA">
                <w:rPr>
                  <w:rFonts w:asciiTheme="majorBidi" w:hAnsiTheme="majorBidi" w:cstheme="majorBidi"/>
                  <w:i/>
                  <w:iCs/>
                </w:rPr>
                <w:t>Journal of Data Protection &amp; Privacy</w:t>
              </w:r>
              <w:r w:rsidRPr="002145DA">
                <w:rPr>
                  <w:rFonts w:asciiTheme="majorBidi" w:hAnsiTheme="majorBidi" w:cstheme="majorBidi"/>
                </w:rPr>
                <w:t>, 4(3), pp. 235–259.</w:t>
              </w:r>
            </w:p>
            <w:p w:rsidRPr="002145DA" w:rsidR="0007599D" w:rsidP="002145DA" w:rsidRDefault="0007599D" w14:paraId="478212BD"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DiMaggio, P.J. and Powell, W.W. (1983) ‘The iron cage revisited: Institutional isomorphism and collective rationality in organizational fields’, </w:t>
              </w:r>
              <w:r w:rsidRPr="002145DA">
                <w:rPr>
                  <w:rFonts w:asciiTheme="majorBidi" w:hAnsiTheme="majorBidi" w:cstheme="majorBidi"/>
                  <w:i/>
                  <w:iCs/>
                </w:rPr>
                <w:t>American Sociological Review</w:t>
              </w:r>
              <w:r w:rsidRPr="002145DA">
                <w:rPr>
                  <w:rFonts w:asciiTheme="majorBidi" w:hAnsiTheme="majorBidi" w:cstheme="majorBidi"/>
                </w:rPr>
                <w:t xml:space="preserve">, 48(2), pp. 147–160. Available at: </w:t>
              </w:r>
              <w:hyperlink w:tgtFrame="_new" w:history="1" r:id="rId16">
                <w:r w:rsidRPr="002145DA">
                  <w:rPr>
                    <w:rStyle w:val="Hyperlink"/>
                    <w:rFonts w:asciiTheme="majorBidi" w:hAnsiTheme="majorBidi" w:cstheme="majorBidi"/>
                  </w:rPr>
                  <w:t>https://doi.org/10.2307/2095101</w:t>
                </w:r>
              </w:hyperlink>
              <w:r w:rsidRPr="002145DA">
                <w:rPr>
                  <w:rFonts w:asciiTheme="majorBidi" w:hAnsiTheme="majorBidi" w:cstheme="majorBidi"/>
                </w:rPr>
                <w:t xml:space="preserve"> (Accessed: 14 July 2026).</w:t>
              </w:r>
            </w:p>
            <w:p w:rsidRPr="002145DA" w:rsidR="0007599D" w:rsidP="002145DA" w:rsidRDefault="0007599D" w14:paraId="6415B034"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Dunning, J.H. (2001) ‘The Eclectic (OLI) Paradigm of International Production: Past, Present and Future’, </w:t>
              </w:r>
              <w:r w:rsidRPr="002145DA">
                <w:rPr>
                  <w:rFonts w:asciiTheme="majorBidi" w:hAnsiTheme="majorBidi" w:cstheme="majorBidi"/>
                  <w:i/>
                  <w:iCs/>
                </w:rPr>
                <w:t>International Journal of the Economics of Business</w:t>
              </w:r>
              <w:r w:rsidRPr="002145DA">
                <w:rPr>
                  <w:rFonts w:asciiTheme="majorBidi" w:hAnsiTheme="majorBidi" w:cstheme="majorBidi"/>
                </w:rPr>
                <w:t xml:space="preserve">, 8(2), pp. 173–190. Available at: </w:t>
              </w:r>
              <w:hyperlink w:tgtFrame="_new" w:history="1" r:id="rId17">
                <w:r w:rsidRPr="002145DA">
                  <w:rPr>
                    <w:rStyle w:val="Hyperlink"/>
                    <w:rFonts w:asciiTheme="majorBidi" w:hAnsiTheme="majorBidi" w:cstheme="majorBidi"/>
                  </w:rPr>
                  <w:t>https://doi.org/10.1080/13571510110051441</w:t>
                </w:r>
              </w:hyperlink>
              <w:r w:rsidRPr="002145DA">
                <w:rPr>
                  <w:rFonts w:asciiTheme="majorBidi" w:hAnsiTheme="majorBidi" w:cstheme="majorBidi"/>
                </w:rPr>
                <w:t xml:space="preserve"> (Accessed: 14 July 2026).</w:t>
              </w:r>
            </w:p>
            <w:p w:rsidRPr="002145DA" w:rsidR="0007599D" w:rsidP="002145DA" w:rsidRDefault="0007599D" w14:paraId="2F15A909" w14:textId="77777777">
              <w:pPr>
                <w:spacing w:line="360" w:lineRule="auto"/>
                <w:ind w:left="720" w:hanging="720"/>
                <w:jc w:val="both"/>
                <w:rPr>
                  <w:rFonts w:asciiTheme="majorBidi" w:hAnsiTheme="majorBidi" w:cstheme="majorBidi"/>
                </w:rPr>
              </w:pPr>
              <w:proofErr w:type="spellStart"/>
              <w:r w:rsidRPr="002145DA">
                <w:rPr>
                  <w:rFonts w:asciiTheme="majorBidi" w:hAnsiTheme="majorBidi" w:cstheme="majorBidi"/>
                </w:rPr>
                <w:t>Floridi</w:t>
              </w:r>
              <w:proofErr w:type="spellEnd"/>
              <w:r w:rsidRPr="002145DA">
                <w:rPr>
                  <w:rFonts w:asciiTheme="majorBidi" w:hAnsiTheme="majorBidi" w:cstheme="majorBidi"/>
                </w:rPr>
                <w:t xml:space="preserve">, L., Cowls, J., </w:t>
              </w:r>
              <w:proofErr w:type="spellStart"/>
              <w:r w:rsidRPr="002145DA">
                <w:rPr>
                  <w:rFonts w:asciiTheme="majorBidi" w:hAnsiTheme="majorBidi" w:cstheme="majorBidi"/>
                </w:rPr>
                <w:t>Beltrametti</w:t>
              </w:r>
              <w:proofErr w:type="spellEnd"/>
              <w:r w:rsidRPr="002145DA">
                <w:rPr>
                  <w:rFonts w:asciiTheme="majorBidi" w:hAnsiTheme="majorBidi" w:cstheme="majorBidi"/>
                </w:rPr>
                <w:t xml:space="preserve">, M., Chatila, R., </w:t>
              </w:r>
              <w:proofErr w:type="spellStart"/>
              <w:r w:rsidRPr="002145DA">
                <w:rPr>
                  <w:rFonts w:asciiTheme="majorBidi" w:hAnsiTheme="majorBidi" w:cstheme="majorBidi"/>
                </w:rPr>
                <w:t>Chazerand</w:t>
              </w:r>
              <w:proofErr w:type="spellEnd"/>
              <w:r w:rsidRPr="002145DA">
                <w:rPr>
                  <w:rFonts w:asciiTheme="majorBidi" w:hAnsiTheme="majorBidi" w:cstheme="majorBidi"/>
                </w:rPr>
                <w:t xml:space="preserve">, P., Dignum, V., Luetge, C., Madelin, R., </w:t>
              </w:r>
              <w:proofErr w:type="spellStart"/>
              <w:r w:rsidRPr="002145DA">
                <w:rPr>
                  <w:rFonts w:asciiTheme="majorBidi" w:hAnsiTheme="majorBidi" w:cstheme="majorBidi"/>
                </w:rPr>
                <w:t>Pagallo</w:t>
              </w:r>
              <w:proofErr w:type="spellEnd"/>
              <w:r w:rsidRPr="002145DA">
                <w:rPr>
                  <w:rFonts w:asciiTheme="majorBidi" w:hAnsiTheme="majorBidi" w:cstheme="majorBidi"/>
                </w:rPr>
                <w:t xml:space="preserve">, U., Rossi, F., Schafer, B., Valcke, P. and </w:t>
              </w:r>
              <w:proofErr w:type="spellStart"/>
              <w:r w:rsidRPr="002145DA">
                <w:rPr>
                  <w:rFonts w:asciiTheme="majorBidi" w:hAnsiTheme="majorBidi" w:cstheme="majorBidi"/>
                </w:rPr>
                <w:t>Vayena</w:t>
              </w:r>
              <w:proofErr w:type="spellEnd"/>
              <w:r w:rsidRPr="002145DA">
                <w:rPr>
                  <w:rFonts w:asciiTheme="majorBidi" w:hAnsiTheme="majorBidi" w:cstheme="majorBidi"/>
                </w:rPr>
                <w:t xml:space="preserve">, E. (2018) ‘AI4People—An Ethical Framework for a Good AI Society: Opportunities, Risks, Principles, and </w:t>
              </w:r>
              <w:r w:rsidRPr="002145DA">
                <w:rPr>
                  <w:rFonts w:asciiTheme="majorBidi" w:hAnsiTheme="majorBidi" w:cstheme="majorBidi"/>
                </w:rPr>
                <w:t xml:space="preserve">Recommendations’, </w:t>
              </w:r>
              <w:r w:rsidRPr="002145DA">
                <w:rPr>
                  <w:rFonts w:asciiTheme="majorBidi" w:hAnsiTheme="majorBidi" w:cstheme="majorBidi"/>
                  <w:i/>
                  <w:iCs/>
                </w:rPr>
                <w:t>Minds and Machines</w:t>
              </w:r>
              <w:r w:rsidRPr="002145DA">
                <w:rPr>
                  <w:rFonts w:asciiTheme="majorBidi" w:hAnsiTheme="majorBidi" w:cstheme="majorBidi"/>
                </w:rPr>
                <w:t xml:space="preserve">, 28(4), pp. 689–707. Available at: </w:t>
              </w:r>
              <w:hyperlink w:tgtFrame="_new" w:history="1" r:id="rId18">
                <w:r w:rsidRPr="002145DA">
                  <w:rPr>
                    <w:rStyle w:val="Hyperlink"/>
                    <w:rFonts w:asciiTheme="majorBidi" w:hAnsiTheme="majorBidi" w:cstheme="majorBidi"/>
                  </w:rPr>
                  <w:t>https://doi.org/10.1007/s11023-018-9482-5</w:t>
                </w:r>
              </w:hyperlink>
              <w:r w:rsidRPr="002145DA">
                <w:rPr>
                  <w:rFonts w:asciiTheme="majorBidi" w:hAnsiTheme="majorBidi" w:cstheme="majorBidi"/>
                </w:rPr>
                <w:t xml:space="preserve"> (Accessed: 14 July 2026).</w:t>
              </w:r>
            </w:p>
            <w:p w:rsidRPr="002145DA" w:rsidR="0007599D" w:rsidP="002145DA" w:rsidRDefault="0007599D" w14:paraId="6D02988E"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Georgieff, A. and Hyee, R. (2022) ‘Artificial intelligence and employment: New cross-country evidence’, </w:t>
              </w:r>
              <w:r w:rsidRPr="002145DA">
                <w:rPr>
                  <w:rFonts w:asciiTheme="majorBidi" w:hAnsiTheme="majorBidi" w:cstheme="majorBidi"/>
                  <w:i/>
                  <w:iCs/>
                </w:rPr>
                <w:t>Frontiers in Artificial Intelligence</w:t>
              </w:r>
              <w:r w:rsidRPr="002145DA">
                <w:rPr>
                  <w:rFonts w:asciiTheme="majorBidi" w:hAnsiTheme="majorBidi" w:cstheme="majorBidi"/>
                </w:rPr>
                <w:t>, 5, p. 832736.</w:t>
              </w:r>
            </w:p>
            <w:p w:rsidRPr="002145DA" w:rsidR="0007599D" w:rsidP="002145DA" w:rsidRDefault="0007599D" w14:paraId="17A37B12"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Guan, T., Han, Y., Kang, N., Tang, N., Chen, X. and Wang, S. (2022) ‘An overview of vehicular cybersecurity for intelligent connected vehicles’, </w:t>
              </w:r>
              <w:r w:rsidRPr="002145DA">
                <w:rPr>
                  <w:rFonts w:asciiTheme="majorBidi" w:hAnsiTheme="majorBidi" w:cstheme="majorBidi"/>
                  <w:i/>
                  <w:iCs/>
                </w:rPr>
                <w:t>Sustainability</w:t>
              </w:r>
              <w:r w:rsidRPr="002145DA">
                <w:rPr>
                  <w:rFonts w:asciiTheme="majorBidi" w:hAnsiTheme="majorBidi" w:cstheme="majorBidi"/>
                </w:rPr>
                <w:t>, 14(9), p. 5211.</w:t>
              </w:r>
            </w:p>
            <w:p w:rsidRPr="002145DA" w:rsidR="0007599D" w:rsidP="002145DA" w:rsidRDefault="0007599D" w14:paraId="75B52233" w14:textId="77777777">
              <w:pPr>
                <w:spacing w:line="360" w:lineRule="auto"/>
                <w:ind w:left="720" w:hanging="720"/>
                <w:jc w:val="both"/>
                <w:rPr>
                  <w:rFonts w:asciiTheme="majorBidi" w:hAnsiTheme="majorBidi" w:cstheme="majorBidi"/>
                </w:rPr>
              </w:pPr>
              <w:proofErr w:type="spellStart"/>
              <w:r w:rsidRPr="002145DA">
                <w:rPr>
                  <w:rFonts w:asciiTheme="majorBidi" w:hAnsiTheme="majorBidi" w:cstheme="majorBidi"/>
                </w:rPr>
                <w:t>Gudepu</w:t>
              </w:r>
              <w:proofErr w:type="spellEnd"/>
              <w:r w:rsidRPr="002145DA">
                <w:rPr>
                  <w:rFonts w:asciiTheme="majorBidi" w:hAnsiTheme="majorBidi" w:cstheme="majorBidi"/>
                </w:rPr>
                <w:t xml:space="preserve">, B.K. and Eichler, R. (2024) ‘The role of AI in enhancing data governance strategies’, </w:t>
              </w:r>
              <w:r w:rsidRPr="002145DA">
                <w:rPr>
                  <w:rFonts w:asciiTheme="majorBidi" w:hAnsiTheme="majorBidi" w:cstheme="majorBidi"/>
                  <w:i/>
                  <w:iCs/>
                </w:rPr>
                <w:t>International Journal of Acta Informatica</w:t>
              </w:r>
              <w:r w:rsidRPr="002145DA">
                <w:rPr>
                  <w:rFonts w:asciiTheme="majorBidi" w:hAnsiTheme="majorBidi" w:cstheme="majorBidi"/>
                </w:rPr>
                <w:t>, 3(1), pp. 169–186.</w:t>
              </w:r>
            </w:p>
            <w:p w:rsidRPr="002145DA" w:rsidR="0007599D" w:rsidP="002145DA" w:rsidRDefault="0007599D" w14:paraId="40EDF55D"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Guo, Z., Hao, J. and Kennedy, L. (2024) ‘Protection path of personal data and privacy in China: Moving from monism to dualism in civil law and then in criminal law’, </w:t>
              </w:r>
              <w:r w:rsidRPr="002145DA">
                <w:rPr>
                  <w:rFonts w:asciiTheme="majorBidi" w:hAnsiTheme="majorBidi" w:cstheme="majorBidi"/>
                  <w:i/>
                  <w:iCs/>
                </w:rPr>
                <w:t>Computer Law &amp; Security Review</w:t>
              </w:r>
              <w:r w:rsidRPr="002145DA">
                <w:rPr>
                  <w:rFonts w:asciiTheme="majorBidi" w:hAnsiTheme="majorBidi" w:cstheme="majorBidi"/>
                </w:rPr>
                <w:t>, 52, p. 105928.</w:t>
              </w:r>
            </w:p>
            <w:p w:rsidRPr="002145DA" w:rsidR="0007599D" w:rsidP="002145DA" w:rsidRDefault="0007599D" w14:paraId="03EACDED"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Gupta, N.N. (2022) ‘How inadequate data governance frameworks lead to unethical outcomes in Artificial Intelligence Systems’, </w:t>
              </w:r>
              <w:r w:rsidRPr="002145DA">
                <w:rPr>
                  <w:rFonts w:asciiTheme="majorBidi" w:hAnsiTheme="majorBidi" w:cstheme="majorBidi"/>
                  <w:i/>
                  <w:iCs/>
                </w:rPr>
                <w:t>International Journal of Science and Research Archive</w:t>
              </w:r>
              <w:r w:rsidRPr="002145DA">
                <w:rPr>
                  <w:rFonts w:asciiTheme="majorBidi" w:hAnsiTheme="majorBidi" w:cstheme="majorBidi"/>
                </w:rPr>
                <w:t>, 7(1), pp. 580–590.</w:t>
              </w:r>
            </w:p>
            <w:p w:rsidRPr="002145DA" w:rsidR="0007599D" w:rsidP="002145DA" w:rsidRDefault="0007599D" w14:paraId="61EAA81B"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Hopkins, M. and </w:t>
              </w:r>
              <w:proofErr w:type="spellStart"/>
              <w:r w:rsidRPr="002145DA">
                <w:rPr>
                  <w:rFonts w:asciiTheme="majorBidi" w:hAnsiTheme="majorBidi" w:cstheme="majorBidi"/>
                </w:rPr>
                <w:t>Lazonick</w:t>
              </w:r>
              <w:proofErr w:type="spellEnd"/>
              <w:r w:rsidRPr="002145DA">
                <w:rPr>
                  <w:rFonts w:asciiTheme="majorBidi" w:hAnsiTheme="majorBidi" w:cstheme="majorBidi"/>
                </w:rPr>
                <w:t xml:space="preserve">, W. (2024) ‘Tesla as a Global Competitor: Strategic Control in the EV Transition’, </w:t>
              </w:r>
              <w:r w:rsidRPr="002145DA">
                <w:rPr>
                  <w:rFonts w:asciiTheme="majorBidi" w:hAnsiTheme="majorBidi" w:cstheme="majorBidi"/>
                  <w:i/>
                  <w:iCs/>
                </w:rPr>
                <w:t>Institute for New Economic Thinking Working Paper Series</w:t>
              </w:r>
              <w:r w:rsidRPr="002145DA">
                <w:rPr>
                  <w:rFonts w:asciiTheme="majorBidi" w:hAnsiTheme="majorBidi" w:cstheme="majorBidi"/>
                </w:rPr>
                <w:t>, (225).</w:t>
              </w:r>
            </w:p>
            <w:p w:rsidRPr="002145DA" w:rsidR="0007599D" w:rsidP="002145DA" w:rsidRDefault="0007599D" w14:paraId="023FF7B1"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Hoyt, R.E. and Liebenberg, A.P. (2011) ‘The Value of Enterprise Risk Management’, </w:t>
              </w:r>
              <w:r w:rsidRPr="002145DA">
                <w:rPr>
                  <w:rFonts w:asciiTheme="majorBidi" w:hAnsiTheme="majorBidi" w:cstheme="majorBidi"/>
                  <w:i/>
                  <w:iCs/>
                </w:rPr>
                <w:t>Journal of Risk and Insurance</w:t>
              </w:r>
              <w:r w:rsidRPr="002145DA">
                <w:rPr>
                  <w:rFonts w:asciiTheme="majorBidi" w:hAnsiTheme="majorBidi" w:cstheme="majorBidi"/>
                </w:rPr>
                <w:t xml:space="preserve">, 78(4), pp. 795–822. Available at: </w:t>
              </w:r>
              <w:hyperlink w:tgtFrame="_new" w:history="1" r:id="rId19">
                <w:r w:rsidRPr="002145DA">
                  <w:rPr>
                    <w:rStyle w:val="Hyperlink"/>
                    <w:rFonts w:asciiTheme="majorBidi" w:hAnsiTheme="majorBidi" w:cstheme="majorBidi"/>
                  </w:rPr>
                  <w:t>https://doi.org/10.1111/j.1539-6975.2011.01413.x</w:t>
                </w:r>
              </w:hyperlink>
              <w:r w:rsidRPr="002145DA">
                <w:rPr>
                  <w:rFonts w:asciiTheme="majorBidi" w:hAnsiTheme="majorBidi" w:cstheme="majorBidi"/>
                </w:rPr>
                <w:t xml:space="preserve"> (Accessed: 14 July 2026).</w:t>
              </w:r>
            </w:p>
            <w:p w:rsidRPr="002145DA" w:rsidR="0007599D" w:rsidP="002145DA" w:rsidRDefault="0007599D" w14:paraId="6B0DF9A5"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Huang, L. (2024) </w:t>
              </w:r>
              <w:r w:rsidRPr="002145DA">
                <w:rPr>
                  <w:rFonts w:asciiTheme="majorBidi" w:hAnsiTheme="majorBidi" w:cstheme="majorBidi"/>
                  <w:i/>
                  <w:iCs/>
                </w:rPr>
                <w:t>PESTEL and SWOT analysis of electric vehicles development in Thailand.</w:t>
              </w:r>
            </w:p>
            <w:p w:rsidRPr="002145DA" w:rsidR="0007599D" w:rsidP="002145DA" w:rsidRDefault="0007599D" w14:paraId="122F1F90"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Irfan, D. and Tang, X. (2025) ‘Evaluating China’s electric vehicle adoption with PESTLE: Stakeholder perspectives on sustainability and adoption barriers’, </w:t>
              </w:r>
              <w:r w:rsidRPr="002145DA">
                <w:rPr>
                  <w:rFonts w:asciiTheme="majorBidi" w:hAnsiTheme="majorBidi" w:cstheme="majorBidi"/>
                  <w:i/>
                  <w:iCs/>
                </w:rPr>
                <w:t>Sustainability</w:t>
              </w:r>
              <w:r w:rsidRPr="002145DA">
                <w:rPr>
                  <w:rFonts w:asciiTheme="majorBidi" w:hAnsiTheme="majorBidi" w:cstheme="majorBidi"/>
                </w:rPr>
                <w:t>, 17(14), p. 6258.</w:t>
              </w:r>
            </w:p>
            <w:p w:rsidRPr="002145DA" w:rsidR="0007599D" w:rsidP="002145DA" w:rsidRDefault="0007599D" w14:paraId="34DAA204"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Jobin, A., Ienca, M. and </w:t>
              </w:r>
              <w:proofErr w:type="spellStart"/>
              <w:r w:rsidRPr="002145DA">
                <w:rPr>
                  <w:rFonts w:asciiTheme="majorBidi" w:hAnsiTheme="majorBidi" w:cstheme="majorBidi"/>
                </w:rPr>
                <w:t>Vayena</w:t>
              </w:r>
              <w:proofErr w:type="spellEnd"/>
              <w:r w:rsidRPr="002145DA">
                <w:rPr>
                  <w:rFonts w:asciiTheme="majorBidi" w:hAnsiTheme="majorBidi" w:cstheme="majorBidi"/>
                </w:rPr>
                <w:t xml:space="preserve">, E. (2019) ‘The global landscape of AI ethics guidelines’, </w:t>
              </w:r>
              <w:r w:rsidRPr="002145DA">
                <w:rPr>
                  <w:rFonts w:asciiTheme="majorBidi" w:hAnsiTheme="majorBidi" w:cstheme="majorBidi"/>
                  <w:i/>
                  <w:iCs/>
                </w:rPr>
                <w:t>Nature Machine Intelligence</w:t>
              </w:r>
              <w:r w:rsidRPr="002145DA">
                <w:rPr>
                  <w:rFonts w:asciiTheme="majorBidi" w:hAnsiTheme="majorBidi" w:cstheme="majorBidi"/>
                </w:rPr>
                <w:t xml:space="preserve">, 1(9), pp. 389–399. Available at: </w:t>
              </w:r>
              <w:hyperlink w:tgtFrame="_new" w:history="1" r:id="rId20">
                <w:r w:rsidRPr="002145DA">
                  <w:rPr>
                    <w:rStyle w:val="Hyperlink"/>
                    <w:rFonts w:asciiTheme="majorBidi" w:hAnsiTheme="majorBidi" w:cstheme="majorBidi"/>
                  </w:rPr>
                  <w:t>https://doi.org/10.1038/s42256-019-0088-2</w:t>
                </w:r>
              </w:hyperlink>
              <w:r w:rsidRPr="002145DA">
                <w:rPr>
                  <w:rFonts w:asciiTheme="majorBidi" w:hAnsiTheme="majorBidi" w:cstheme="majorBidi"/>
                </w:rPr>
                <w:t xml:space="preserve"> (Accessed: 14 July 2026).</w:t>
              </w:r>
            </w:p>
            <w:p w:rsidRPr="002145DA" w:rsidR="0007599D" w:rsidP="002145DA" w:rsidRDefault="0007599D" w14:paraId="428650F7"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Johanson, J. and Vahlne, J.E. (1977) ‘The Internationalization Process of the Firm—A Model of Knowledge Development and Increasing Foreign Market Commitments’, </w:t>
              </w:r>
              <w:r w:rsidRPr="002145DA">
                <w:rPr>
                  <w:rFonts w:asciiTheme="majorBidi" w:hAnsiTheme="majorBidi" w:cstheme="majorBidi"/>
                  <w:i/>
                  <w:iCs/>
                </w:rPr>
                <w:t>Journal of International Business Studies</w:t>
              </w:r>
              <w:r w:rsidRPr="002145DA">
                <w:rPr>
                  <w:rFonts w:asciiTheme="majorBidi" w:hAnsiTheme="majorBidi" w:cstheme="majorBidi"/>
                </w:rPr>
                <w:t xml:space="preserve">, 8(1), pp. 23–32. Available at: </w:t>
              </w:r>
              <w:hyperlink w:tgtFrame="_new" w:history="1" r:id="rId21">
                <w:r w:rsidRPr="002145DA">
                  <w:rPr>
                    <w:rStyle w:val="Hyperlink"/>
                    <w:rFonts w:asciiTheme="majorBidi" w:hAnsiTheme="majorBidi" w:cstheme="majorBidi"/>
                  </w:rPr>
                  <w:t>https://doi.org/10.1057/palgrave.jibs.8490676</w:t>
                </w:r>
              </w:hyperlink>
              <w:r w:rsidRPr="002145DA">
                <w:rPr>
                  <w:rFonts w:asciiTheme="majorBidi" w:hAnsiTheme="majorBidi" w:cstheme="majorBidi"/>
                </w:rPr>
                <w:t xml:space="preserve"> (Accessed: 14 July 2026).</w:t>
              </w:r>
            </w:p>
            <w:p w:rsidRPr="002145DA" w:rsidR="0007599D" w:rsidP="002145DA" w:rsidRDefault="0007599D" w14:paraId="35DCE195"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Kroll, J.A., Barocas, S., Felten, E.W., </w:t>
              </w:r>
              <w:proofErr w:type="spellStart"/>
              <w:r w:rsidRPr="002145DA">
                <w:rPr>
                  <w:rFonts w:asciiTheme="majorBidi" w:hAnsiTheme="majorBidi" w:cstheme="majorBidi"/>
                </w:rPr>
                <w:t>Reidenberg</w:t>
              </w:r>
              <w:proofErr w:type="spellEnd"/>
              <w:r w:rsidRPr="002145DA">
                <w:rPr>
                  <w:rFonts w:asciiTheme="majorBidi" w:hAnsiTheme="majorBidi" w:cstheme="majorBidi"/>
                </w:rPr>
                <w:t xml:space="preserve">, J.R., Robinson, D.G. and Yu, H. (2017) ‘Accountable Algorithms’, </w:t>
              </w:r>
              <w:r w:rsidRPr="002145DA">
                <w:rPr>
                  <w:rFonts w:asciiTheme="majorBidi" w:hAnsiTheme="majorBidi" w:cstheme="majorBidi"/>
                  <w:i/>
                  <w:iCs/>
                </w:rPr>
                <w:t>University of Pennsylvania Law Review</w:t>
              </w:r>
              <w:r w:rsidRPr="002145DA">
                <w:rPr>
                  <w:rFonts w:asciiTheme="majorBidi" w:hAnsiTheme="majorBidi" w:cstheme="majorBidi"/>
                </w:rPr>
                <w:t xml:space="preserve">, 165(3), pp. 633–706. Available at: </w:t>
              </w:r>
              <w:hyperlink w:tgtFrame="_new" w:history="1" r:id="rId22">
                <w:r w:rsidRPr="002145DA">
                  <w:rPr>
                    <w:rStyle w:val="Hyperlink"/>
                    <w:rFonts w:asciiTheme="majorBidi" w:hAnsiTheme="majorBidi" w:cstheme="majorBidi"/>
                  </w:rPr>
                  <w:t>https://scholarship.law.upenn.edu/penn_law_review/vol165/iss3/3/</w:t>
                </w:r>
              </w:hyperlink>
              <w:r w:rsidRPr="002145DA">
                <w:rPr>
                  <w:rFonts w:asciiTheme="majorBidi" w:hAnsiTheme="majorBidi" w:cstheme="majorBidi"/>
                </w:rPr>
                <w:t xml:space="preserve"> (Accessed: 14 July 2026).</w:t>
              </w:r>
            </w:p>
            <w:p w:rsidRPr="002145DA" w:rsidR="0007599D" w:rsidP="002145DA" w:rsidRDefault="0007599D" w14:paraId="75C6E066"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Kulkarni, P., Siddharth, T., Pillai, S., Pathak, P., </w:t>
              </w:r>
              <w:proofErr w:type="spellStart"/>
              <w:r w:rsidRPr="002145DA">
                <w:rPr>
                  <w:rFonts w:asciiTheme="majorBidi" w:hAnsiTheme="majorBidi" w:cstheme="majorBidi"/>
                </w:rPr>
                <w:t>Gangineni</w:t>
              </w:r>
              <w:proofErr w:type="spellEnd"/>
              <w:r w:rsidRPr="002145DA">
                <w:rPr>
                  <w:rFonts w:asciiTheme="majorBidi" w:hAnsiTheme="majorBidi" w:cstheme="majorBidi"/>
                </w:rPr>
                <w:t xml:space="preserve">, V.N. and Yadav, V. (2025) ‘Cybersecurity Threats and Vulnerabilities—A Growing Challenge in Connected Vehicles’, in </w:t>
              </w:r>
              <w:r w:rsidRPr="002145DA">
                <w:rPr>
                  <w:rFonts w:asciiTheme="majorBidi" w:hAnsiTheme="majorBidi" w:cstheme="majorBidi"/>
                  <w:i/>
                  <w:iCs/>
                </w:rPr>
                <w:t>International Conference on Data Analytics &amp; Management</w:t>
              </w:r>
              <w:r w:rsidRPr="002145DA">
                <w:rPr>
                  <w:rFonts w:asciiTheme="majorBidi" w:hAnsiTheme="majorBidi" w:cstheme="majorBidi"/>
                </w:rPr>
                <w:t>. Cham: Springer Nature Switzerland, pp. 466–476.</w:t>
              </w:r>
            </w:p>
            <w:p w:rsidRPr="002145DA" w:rsidR="0007599D" w:rsidP="002145DA" w:rsidRDefault="0007599D" w14:paraId="699BB000"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Lu, Z. (2025) ‘An Analysis of Tesla’s Market Position and Future Prospects’, in </w:t>
              </w:r>
              <w:r w:rsidRPr="002145DA">
                <w:rPr>
                  <w:rFonts w:asciiTheme="majorBidi" w:hAnsiTheme="majorBidi" w:cstheme="majorBidi"/>
                  <w:i/>
                  <w:iCs/>
                </w:rPr>
                <w:t>2025 International Conference on Financial Risk and Investment Management (ICFRIM 2025)</w:t>
              </w:r>
              <w:r w:rsidRPr="002145DA">
                <w:rPr>
                  <w:rFonts w:asciiTheme="majorBidi" w:hAnsiTheme="majorBidi" w:cstheme="majorBidi"/>
                </w:rPr>
                <w:t>. Atlantis Press, pp. 919–928.</w:t>
              </w:r>
            </w:p>
            <w:p w:rsidRPr="002145DA" w:rsidR="0007599D" w:rsidP="002145DA" w:rsidRDefault="0007599D" w14:paraId="14BBCF16"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Mattews, A. and Emma, O. (2024) </w:t>
              </w:r>
              <w:r w:rsidRPr="002145DA">
                <w:rPr>
                  <w:rFonts w:asciiTheme="majorBidi" w:hAnsiTheme="majorBidi" w:cstheme="majorBidi"/>
                  <w:i/>
                  <w:iCs/>
                </w:rPr>
                <w:t>The Role of Artificial Intelligence in Automating Data Governance Procedures.</w:t>
              </w:r>
            </w:p>
            <w:p w:rsidRPr="002145DA" w:rsidR="0007599D" w:rsidP="002145DA" w:rsidRDefault="0007599D" w14:paraId="040445BA"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Mayer, R.C., Davis, J.H. and </w:t>
              </w:r>
              <w:proofErr w:type="spellStart"/>
              <w:r w:rsidRPr="002145DA">
                <w:rPr>
                  <w:rFonts w:asciiTheme="majorBidi" w:hAnsiTheme="majorBidi" w:cstheme="majorBidi"/>
                </w:rPr>
                <w:t>Schoorman</w:t>
              </w:r>
              <w:proofErr w:type="spellEnd"/>
              <w:r w:rsidRPr="002145DA">
                <w:rPr>
                  <w:rFonts w:asciiTheme="majorBidi" w:hAnsiTheme="majorBidi" w:cstheme="majorBidi"/>
                </w:rPr>
                <w:t xml:space="preserve">, F.D. (1995) ‘An Integrative Model of Organizational Trust’, </w:t>
              </w:r>
              <w:r w:rsidRPr="002145DA">
                <w:rPr>
                  <w:rFonts w:asciiTheme="majorBidi" w:hAnsiTheme="majorBidi" w:cstheme="majorBidi"/>
                  <w:i/>
                  <w:iCs/>
                </w:rPr>
                <w:t>Academy of Management Review</w:t>
              </w:r>
              <w:r w:rsidRPr="002145DA">
                <w:rPr>
                  <w:rFonts w:asciiTheme="majorBidi" w:hAnsiTheme="majorBidi" w:cstheme="majorBidi"/>
                </w:rPr>
                <w:t xml:space="preserve">, 20(3), pp. 709–734. Available at: </w:t>
              </w:r>
              <w:hyperlink w:tgtFrame="_new" w:history="1" r:id="rId23">
                <w:r w:rsidRPr="002145DA">
                  <w:rPr>
                    <w:rStyle w:val="Hyperlink"/>
                    <w:rFonts w:asciiTheme="majorBidi" w:hAnsiTheme="majorBidi" w:cstheme="majorBidi"/>
                  </w:rPr>
                  <w:t>https://doi.org/10.5465/amr.1995.9508080335</w:t>
                </w:r>
              </w:hyperlink>
              <w:r w:rsidRPr="002145DA">
                <w:rPr>
                  <w:rFonts w:asciiTheme="majorBidi" w:hAnsiTheme="majorBidi" w:cstheme="majorBidi"/>
                </w:rPr>
                <w:t xml:space="preserve"> (Accessed: 14 July 2026).</w:t>
              </w:r>
            </w:p>
            <w:p w:rsidRPr="002145DA" w:rsidR="0007599D" w:rsidP="002145DA" w:rsidRDefault="0007599D" w14:paraId="32F3B608"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Mwanje, M.D. </w:t>
              </w:r>
              <w:r w:rsidRPr="002145DA">
                <w:rPr>
                  <w:rFonts w:asciiTheme="majorBidi" w:hAnsiTheme="majorBidi" w:cstheme="majorBidi"/>
                  <w:i/>
                  <w:iCs/>
                </w:rPr>
                <w:t>et al.</w:t>
              </w:r>
              <w:r w:rsidRPr="002145DA">
                <w:rPr>
                  <w:rFonts w:asciiTheme="majorBidi" w:hAnsiTheme="majorBidi" w:cstheme="majorBidi"/>
                </w:rPr>
                <w:t xml:space="preserve"> (2024) ‘Cyber security analysis of connected vehicles’, </w:t>
              </w:r>
              <w:r w:rsidRPr="002145DA">
                <w:rPr>
                  <w:rFonts w:asciiTheme="majorBidi" w:hAnsiTheme="majorBidi" w:cstheme="majorBidi"/>
                  <w:i/>
                  <w:iCs/>
                </w:rPr>
                <w:t>IET Intelligent Transport Systems</w:t>
              </w:r>
              <w:r w:rsidRPr="002145DA">
                <w:rPr>
                  <w:rFonts w:asciiTheme="majorBidi" w:hAnsiTheme="majorBidi" w:cstheme="majorBidi"/>
                </w:rPr>
                <w:t>, 18(7), pp. 1175–1195.</w:t>
              </w:r>
            </w:p>
            <w:p w:rsidRPr="002145DA" w:rsidR="0007599D" w:rsidP="002145DA" w:rsidRDefault="0007599D" w14:paraId="4A9B12FE"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Niño-Suarez, N.A. </w:t>
              </w:r>
              <w:r w:rsidRPr="002145DA">
                <w:rPr>
                  <w:rFonts w:asciiTheme="majorBidi" w:hAnsiTheme="majorBidi" w:cstheme="majorBidi"/>
                  <w:i/>
                  <w:iCs/>
                </w:rPr>
                <w:t>et al.</w:t>
              </w:r>
              <w:r w:rsidRPr="002145DA">
                <w:rPr>
                  <w:rFonts w:asciiTheme="majorBidi" w:hAnsiTheme="majorBidi" w:cstheme="majorBidi"/>
                </w:rPr>
                <w:t xml:space="preserve"> (2025) ‘A Comprehensive Analysis of Power Electromobility: Challenges from a PESTLE Perspective’, </w:t>
              </w:r>
              <w:r w:rsidRPr="002145DA">
                <w:rPr>
                  <w:rFonts w:asciiTheme="majorBidi" w:hAnsiTheme="majorBidi" w:cstheme="majorBidi"/>
                  <w:i/>
                  <w:iCs/>
                </w:rPr>
                <w:t>Energies</w:t>
              </w:r>
              <w:r w:rsidRPr="002145DA">
                <w:rPr>
                  <w:rFonts w:asciiTheme="majorBidi" w:hAnsiTheme="majorBidi" w:cstheme="majorBidi"/>
                </w:rPr>
                <w:t>, 18(14), p. 3632.</w:t>
              </w:r>
            </w:p>
            <w:p w:rsidRPr="002145DA" w:rsidR="0007599D" w:rsidP="002145DA" w:rsidRDefault="0007599D" w14:paraId="3A347C0E"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Noor, M., Baharom, F. and Mohd, H. (2025) ‘Big Data Governance Framework: Current and Future Trends’, </w:t>
              </w:r>
              <w:r w:rsidRPr="002145DA">
                <w:rPr>
                  <w:rFonts w:asciiTheme="majorBidi" w:hAnsiTheme="majorBidi" w:cstheme="majorBidi"/>
                  <w:i/>
                  <w:iCs/>
                </w:rPr>
                <w:t>Journal of Research and Digital Innovation</w:t>
              </w:r>
              <w:r w:rsidRPr="002145DA">
                <w:rPr>
                  <w:rFonts w:asciiTheme="majorBidi" w:hAnsiTheme="majorBidi" w:cstheme="majorBidi"/>
                </w:rPr>
                <w:t>, 1(1), pp. 26–36.</w:t>
              </w:r>
            </w:p>
            <w:p w:rsidRPr="002145DA" w:rsidR="0007599D" w:rsidP="002145DA" w:rsidRDefault="0007599D" w14:paraId="0A880081"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Pascale, F., Adinolfi, E.A., Coppola, S. and </w:t>
              </w:r>
              <w:proofErr w:type="spellStart"/>
              <w:r w:rsidRPr="002145DA">
                <w:rPr>
                  <w:rFonts w:asciiTheme="majorBidi" w:hAnsiTheme="majorBidi" w:cstheme="majorBidi"/>
                </w:rPr>
                <w:t>Santonicola</w:t>
              </w:r>
              <w:proofErr w:type="spellEnd"/>
              <w:r w:rsidRPr="002145DA">
                <w:rPr>
                  <w:rFonts w:asciiTheme="majorBidi" w:hAnsiTheme="majorBidi" w:cstheme="majorBidi"/>
                </w:rPr>
                <w:t xml:space="preserve">, E. (2021) ‘Cybersecurity in automotive: An intrusion detection system in connected vehicles’, </w:t>
              </w:r>
              <w:r w:rsidRPr="002145DA">
                <w:rPr>
                  <w:rFonts w:asciiTheme="majorBidi" w:hAnsiTheme="majorBidi" w:cstheme="majorBidi"/>
                  <w:i/>
                  <w:iCs/>
                </w:rPr>
                <w:t>Electronics</w:t>
              </w:r>
              <w:r w:rsidRPr="002145DA">
                <w:rPr>
                  <w:rFonts w:asciiTheme="majorBidi" w:hAnsiTheme="majorBidi" w:cstheme="majorBidi"/>
                </w:rPr>
                <w:t>, 10(15), p. 1765.</w:t>
              </w:r>
            </w:p>
            <w:p w:rsidRPr="002145DA" w:rsidR="0007599D" w:rsidP="002145DA" w:rsidRDefault="0007599D" w14:paraId="1E87F90E"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Patil, D. (2024) ‘Impact of artificial intelligence on employment and workforce development: Risks, opportunities, and socioeconomic implications’, </w:t>
              </w:r>
              <w:r w:rsidRPr="002145DA">
                <w:rPr>
                  <w:rFonts w:asciiTheme="majorBidi" w:hAnsiTheme="majorBidi" w:cstheme="majorBidi"/>
                  <w:i/>
                  <w:iCs/>
                </w:rPr>
                <w:t>Opportunities, and Socioeconomic Implications</w:t>
              </w:r>
              <w:r w:rsidRPr="002145DA">
                <w:rPr>
                  <w:rFonts w:asciiTheme="majorBidi" w:hAnsiTheme="majorBidi" w:cstheme="majorBidi"/>
                </w:rPr>
                <w:t>, 12 November.</w:t>
              </w:r>
            </w:p>
            <w:p w:rsidRPr="002145DA" w:rsidR="0007599D" w:rsidP="002145DA" w:rsidRDefault="0007599D" w14:paraId="616A5DA8"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Potdar, A. (2024) ‘AI-based big data governance frameworks for secure and compliant data processing’, </w:t>
              </w:r>
              <w:r w:rsidRPr="002145DA">
                <w:rPr>
                  <w:rFonts w:asciiTheme="majorBidi" w:hAnsiTheme="majorBidi" w:cstheme="majorBidi"/>
                  <w:i/>
                  <w:iCs/>
                </w:rPr>
                <w:t>International Journal of Artificial Intelligence, Data Science, and Machine Learning</w:t>
              </w:r>
              <w:r w:rsidRPr="002145DA">
                <w:rPr>
                  <w:rFonts w:asciiTheme="majorBidi" w:hAnsiTheme="majorBidi" w:cstheme="majorBidi"/>
                </w:rPr>
                <w:t>, 5(4), pp. 72–80.</w:t>
              </w:r>
            </w:p>
            <w:p w:rsidRPr="002145DA" w:rsidR="0007599D" w:rsidP="002145DA" w:rsidRDefault="0007599D" w14:paraId="4897F27D"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R., Subhikshan T. (2023) ‘Impact of Artificial Intelligence on Employment Sector’, </w:t>
              </w:r>
              <w:r w:rsidRPr="002145DA">
                <w:rPr>
                  <w:rFonts w:asciiTheme="majorBidi" w:hAnsiTheme="majorBidi" w:cstheme="majorBidi"/>
                  <w:i/>
                  <w:iCs/>
                </w:rPr>
                <w:t>Indian JL &amp; Legal Research</w:t>
              </w:r>
              <w:r w:rsidRPr="002145DA">
                <w:rPr>
                  <w:rFonts w:asciiTheme="majorBidi" w:hAnsiTheme="majorBidi" w:cstheme="majorBidi"/>
                </w:rPr>
                <w:t>, 5(2), p. 1.</w:t>
              </w:r>
            </w:p>
            <w:p w:rsidRPr="002145DA" w:rsidR="0007599D" w:rsidP="002145DA" w:rsidRDefault="0007599D" w14:paraId="083E73F0"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Saeed, Z., Masood, M. and Khan, M.U. (2023) ‘A review: Cybersecurity challenges and their solutions in connected and autonomous vehicles (CAVs)’, </w:t>
              </w:r>
              <w:r w:rsidRPr="002145DA">
                <w:rPr>
                  <w:rFonts w:asciiTheme="majorBidi" w:hAnsiTheme="majorBidi" w:cstheme="majorBidi"/>
                  <w:i/>
                  <w:iCs/>
                </w:rPr>
                <w:t>JAREE (Journal on Advanced Research in Electrical Engineering)</w:t>
              </w:r>
              <w:r w:rsidRPr="002145DA">
                <w:rPr>
                  <w:rFonts w:asciiTheme="majorBidi" w:hAnsiTheme="majorBidi" w:cstheme="majorBidi"/>
                </w:rPr>
                <w:t>, 7(1).</w:t>
              </w:r>
            </w:p>
            <w:p w:rsidRPr="002145DA" w:rsidR="0007599D" w:rsidP="002145DA" w:rsidRDefault="0007599D" w14:paraId="5EF27F73"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Sahin, K. and Mert, K. (2023) ‘Institutional theory in international business studies: the period 1990–2018’, </w:t>
              </w:r>
              <w:r w:rsidRPr="002145DA">
                <w:rPr>
                  <w:rFonts w:asciiTheme="majorBidi" w:hAnsiTheme="majorBidi" w:cstheme="majorBidi"/>
                  <w:i/>
                  <w:iCs/>
                </w:rPr>
                <w:t>International Journal of Organizational Analysis</w:t>
              </w:r>
              <w:r w:rsidRPr="002145DA">
                <w:rPr>
                  <w:rFonts w:asciiTheme="majorBidi" w:hAnsiTheme="majorBidi" w:cstheme="majorBidi"/>
                </w:rPr>
                <w:t xml:space="preserve">, 31(5), pp. 1957–1986. Available at: </w:t>
              </w:r>
              <w:hyperlink w:tgtFrame="_new" w:history="1" r:id="rId24">
                <w:r w:rsidRPr="002145DA">
                  <w:rPr>
                    <w:rStyle w:val="Hyperlink"/>
                    <w:rFonts w:asciiTheme="majorBidi" w:hAnsiTheme="majorBidi" w:cstheme="majorBidi"/>
                  </w:rPr>
                  <w:t>https://doi.org/10.1108/IJOA-05-2021-2775</w:t>
                </w:r>
              </w:hyperlink>
              <w:r w:rsidRPr="002145DA">
                <w:rPr>
                  <w:rFonts w:asciiTheme="majorBidi" w:hAnsiTheme="majorBidi" w:cstheme="majorBidi"/>
                </w:rPr>
                <w:t xml:space="preserve"> (Accessed: 14 July 2026).</w:t>
              </w:r>
            </w:p>
            <w:p w:rsidRPr="002145DA" w:rsidR="0007599D" w:rsidP="002145DA" w:rsidRDefault="0007599D" w14:paraId="181040A3"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Sharma, A.K. and Sharma, R. (2025) ‘Data governance in the age of artificial intelligence: Challenges, best practices and regulatory compliance’, </w:t>
              </w:r>
              <w:r w:rsidRPr="002145DA">
                <w:rPr>
                  <w:rFonts w:asciiTheme="majorBidi" w:hAnsiTheme="majorBidi" w:cstheme="majorBidi"/>
                  <w:i/>
                  <w:iCs/>
                </w:rPr>
                <w:t>Applied Marketing Analytics</w:t>
              </w:r>
              <w:r w:rsidRPr="002145DA">
                <w:rPr>
                  <w:rFonts w:asciiTheme="majorBidi" w:hAnsiTheme="majorBidi" w:cstheme="majorBidi"/>
                </w:rPr>
                <w:t>, 10(4), pp. 390–403.</w:t>
              </w:r>
            </w:p>
            <w:p w:rsidRPr="002145DA" w:rsidR="0007599D" w:rsidP="002145DA" w:rsidRDefault="0007599D" w14:paraId="428C693C"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Shen, Y. and Zhang, X. (2024) ‘The impact of artificial intelligence on employment: The role of virtual agglomeration’, </w:t>
              </w:r>
              <w:r w:rsidRPr="002145DA">
                <w:rPr>
                  <w:rFonts w:asciiTheme="majorBidi" w:hAnsiTheme="majorBidi" w:cstheme="majorBidi"/>
                  <w:i/>
                  <w:iCs/>
                </w:rPr>
                <w:t>Humanities and Social Sciences Communications</w:t>
              </w:r>
              <w:r w:rsidRPr="002145DA">
                <w:rPr>
                  <w:rFonts w:asciiTheme="majorBidi" w:hAnsiTheme="majorBidi" w:cstheme="majorBidi"/>
                </w:rPr>
                <w:t>, 11(1).</w:t>
              </w:r>
            </w:p>
            <w:p w:rsidRPr="002145DA" w:rsidR="0007599D" w:rsidP="002145DA" w:rsidRDefault="0007599D" w14:paraId="1FADE93B" w14:textId="77777777">
              <w:pPr>
                <w:spacing w:line="360" w:lineRule="auto"/>
                <w:ind w:left="720" w:hanging="720"/>
                <w:jc w:val="both"/>
                <w:rPr>
                  <w:rFonts w:asciiTheme="majorBidi" w:hAnsiTheme="majorBidi" w:cstheme="majorBidi"/>
                </w:rPr>
              </w:pPr>
              <w:proofErr w:type="spellStart"/>
              <w:r w:rsidRPr="002145DA">
                <w:rPr>
                  <w:rFonts w:asciiTheme="majorBidi" w:hAnsiTheme="majorBidi" w:cstheme="majorBidi"/>
                </w:rPr>
                <w:t>Shichun</w:t>
              </w:r>
              <w:proofErr w:type="spellEnd"/>
              <w:r w:rsidRPr="002145DA">
                <w:rPr>
                  <w:rFonts w:asciiTheme="majorBidi" w:hAnsiTheme="majorBidi" w:cstheme="majorBidi"/>
                </w:rPr>
                <w:t xml:space="preserve">, Y. </w:t>
              </w:r>
              <w:r w:rsidRPr="002145DA">
                <w:rPr>
                  <w:rFonts w:asciiTheme="majorBidi" w:hAnsiTheme="majorBidi" w:cstheme="majorBidi"/>
                  <w:i/>
                  <w:iCs/>
                </w:rPr>
                <w:t>et al.</w:t>
              </w:r>
              <w:r w:rsidRPr="002145DA">
                <w:rPr>
                  <w:rFonts w:asciiTheme="majorBidi" w:hAnsiTheme="majorBidi" w:cstheme="majorBidi"/>
                </w:rPr>
                <w:t xml:space="preserve"> (2023) ‘Essential technics of cybersecurity for intelligent connected vehicles: Comprehensive review and perspective’, </w:t>
              </w:r>
              <w:r w:rsidRPr="002145DA">
                <w:rPr>
                  <w:rFonts w:asciiTheme="majorBidi" w:hAnsiTheme="majorBidi" w:cstheme="majorBidi"/>
                  <w:i/>
                  <w:iCs/>
                </w:rPr>
                <w:t>IEEE Internet of Things Journal</w:t>
              </w:r>
              <w:r w:rsidRPr="002145DA">
                <w:rPr>
                  <w:rFonts w:asciiTheme="majorBidi" w:hAnsiTheme="majorBidi" w:cstheme="majorBidi"/>
                </w:rPr>
                <w:t>, 10(24), pp. 21787–21810.</w:t>
              </w:r>
            </w:p>
            <w:p w:rsidRPr="002145DA" w:rsidR="0007599D" w:rsidP="002145DA" w:rsidRDefault="0007599D" w14:paraId="6DD94C61" w14:textId="77777777">
              <w:pPr>
                <w:spacing w:line="360" w:lineRule="auto"/>
                <w:ind w:left="720" w:hanging="720"/>
                <w:jc w:val="both"/>
                <w:rPr>
                  <w:rFonts w:asciiTheme="majorBidi" w:hAnsiTheme="majorBidi" w:cstheme="majorBidi"/>
                </w:rPr>
              </w:pPr>
              <w:proofErr w:type="spellStart"/>
              <w:r w:rsidRPr="002145DA">
                <w:rPr>
                  <w:rFonts w:asciiTheme="majorBidi" w:hAnsiTheme="majorBidi" w:cstheme="majorBidi"/>
                </w:rPr>
                <w:t>Taeihagh</w:t>
              </w:r>
              <w:proofErr w:type="spellEnd"/>
              <w:r w:rsidRPr="002145DA">
                <w:rPr>
                  <w:rFonts w:asciiTheme="majorBidi" w:hAnsiTheme="majorBidi" w:cstheme="majorBidi"/>
                </w:rPr>
                <w:t xml:space="preserve">, A. and Lim, H.S.M. (2019) ‘Governing autonomous vehicles: Emerging responses for safety, liability, privacy, cybersecurity, and industry risks’, </w:t>
              </w:r>
              <w:r w:rsidRPr="002145DA">
                <w:rPr>
                  <w:rFonts w:asciiTheme="majorBidi" w:hAnsiTheme="majorBidi" w:cstheme="majorBidi"/>
                  <w:i/>
                  <w:iCs/>
                </w:rPr>
                <w:t>Transport Reviews</w:t>
              </w:r>
              <w:r w:rsidRPr="002145DA">
                <w:rPr>
                  <w:rFonts w:asciiTheme="majorBidi" w:hAnsiTheme="majorBidi" w:cstheme="majorBidi"/>
                </w:rPr>
                <w:t xml:space="preserve">, 39(1), pp. 103–128. Available at: </w:t>
              </w:r>
              <w:hyperlink w:tgtFrame="_new" w:history="1" r:id="rId25">
                <w:r w:rsidRPr="002145DA">
                  <w:rPr>
                    <w:rStyle w:val="Hyperlink"/>
                    <w:rFonts w:asciiTheme="majorBidi" w:hAnsiTheme="majorBidi" w:cstheme="majorBidi"/>
                  </w:rPr>
                  <w:t>https://doi.org/10.1080/01441647.2018.1494640</w:t>
                </w:r>
              </w:hyperlink>
              <w:r w:rsidRPr="002145DA">
                <w:rPr>
                  <w:rFonts w:asciiTheme="majorBidi" w:hAnsiTheme="majorBidi" w:cstheme="majorBidi"/>
                </w:rPr>
                <w:t xml:space="preserve"> (Accessed: 14 July 2026).</w:t>
              </w:r>
            </w:p>
            <w:p w:rsidRPr="002145DA" w:rsidR="0007599D" w:rsidP="002145DA" w:rsidRDefault="0007599D" w14:paraId="44541E2C"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Tesla, Inc. (2024) </w:t>
              </w:r>
              <w:r w:rsidRPr="002145DA">
                <w:rPr>
                  <w:rFonts w:asciiTheme="majorBidi" w:hAnsiTheme="majorBidi" w:cstheme="majorBidi"/>
                  <w:i/>
                  <w:iCs/>
                </w:rPr>
                <w:t>Tesla, Inc. Annual Reports</w:t>
              </w:r>
              <w:r w:rsidRPr="002145DA">
                <w:rPr>
                  <w:rFonts w:asciiTheme="majorBidi" w:hAnsiTheme="majorBidi" w:cstheme="majorBidi"/>
                </w:rPr>
                <w:t>. Available at: https://www.tesla.com/investor-relations (Accessed: 14 July 2026).</w:t>
              </w:r>
            </w:p>
            <w:p w:rsidRPr="002145DA" w:rsidR="0007599D" w:rsidP="002145DA" w:rsidRDefault="0007599D" w14:paraId="6A165E6A"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Tsai, P. (2025) ‘How to Build an AI Governance Framework with Data Governance’, in </w:t>
              </w:r>
              <w:r w:rsidRPr="002145DA">
                <w:rPr>
                  <w:rFonts w:asciiTheme="majorBidi" w:hAnsiTheme="majorBidi" w:cstheme="majorBidi"/>
                  <w:i/>
                  <w:iCs/>
                </w:rPr>
                <w:t>Humanism and Artificial Intelligence</w:t>
              </w:r>
              <w:r w:rsidRPr="002145DA">
                <w:rPr>
                  <w:rFonts w:asciiTheme="majorBidi" w:hAnsiTheme="majorBidi" w:cstheme="majorBidi"/>
                </w:rPr>
                <w:t>. Cham: Springer Nature Switzerland, pp. 171–186.</w:t>
              </w:r>
            </w:p>
            <w:p w:rsidRPr="002145DA" w:rsidR="0007599D" w:rsidP="002145DA" w:rsidRDefault="0007599D" w14:paraId="7730FFF1"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Tschang, F.T. and Almirall, E. (2021) ‘Artificial intelligence as augmenting automation: Implications for employment’, </w:t>
              </w:r>
              <w:r w:rsidRPr="002145DA">
                <w:rPr>
                  <w:rFonts w:asciiTheme="majorBidi" w:hAnsiTheme="majorBidi" w:cstheme="majorBidi"/>
                  <w:i/>
                  <w:iCs/>
                </w:rPr>
                <w:t>Academy of Management Perspectives</w:t>
              </w:r>
              <w:r w:rsidRPr="002145DA">
                <w:rPr>
                  <w:rFonts w:asciiTheme="majorBidi" w:hAnsiTheme="majorBidi" w:cstheme="majorBidi"/>
                </w:rPr>
                <w:t>, 35(4), pp. 642–659.</w:t>
              </w:r>
            </w:p>
            <w:p w:rsidRPr="002145DA" w:rsidR="0007599D" w:rsidP="002145DA" w:rsidRDefault="0007599D" w14:paraId="2DD7AEEC"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Verri, B. (2023) ‘The Chinese frontiers of data protection: The Personal Information Protection Law (PIPL)’, in </w:t>
              </w:r>
              <w:r w:rsidRPr="002145DA">
                <w:rPr>
                  <w:rFonts w:asciiTheme="majorBidi" w:hAnsiTheme="majorBidi" w:cstheme="majorBidi"/>
                  <w:i/>
                  <w:iCs/>
                </w:rPr>
                <w:t>Quo Vadis, Sovereignty? New Conceptual and Regulatory Boundaries in the Age of Digital China</w:t>
              </w:r>
              <w:r w:rsidRPr="002145DA">
                <w:rPr>
                  <w:rFonts w:asciiTheme="majorBidi" w:hAnsiTheme="majorBidi" w:cstheme="majorBidi"/>
                </w:rPr>
                <w:t>. Cham: Springer Nature Switzerland, pp. 181–197.</w:t>
              </w:r>
            </w:p>
            <w:p w:rsidRPr="002145DA" w:rsidR="0007599D" w:rsidP="002145DA" w:rsidRDefault="0007599D" w14:paraId="465E5CA4"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Wachter, S., Mittelstadt, B. and </w:t>
              </w:r>
              <w:proofErr w:type="spellStart"/>
              <w:r w:rsidRPr="002145DA">
                <w:rPr>
                  <w:rFonts w:asciiTheme="majorBidi" w:hAnsiTheme="majorBidi" w:cstheme="majorBidi"/>
                </w:rPr>
                <w:t>Floridi</w:t>
              </w:r>
              <w:proofErr w:type="spellEnd"/>
              <w:r w:rsidRPr="002145DA">
                <w:rPr>
                  <w:rFonts w:asciiTheme="majorBidi" w:hAnsiTheme="majorBidi" w:cstheme="majorBidi"/>
                </w:rPr>
                <w:t xml:space="preserve">, L. (2017) ‘Why a right to explanation of automated decision-making does not exist in the General Data Protection Regulation’, </w:t>
              </w:r>
              <w:r w:rsidRPr="002145DA">
                <w:rPr>
                  <w:rFonts w:asciiTheme="majorBidi" w:hAnsiTheme="majorBidi" w:cstheme="majorBidi"/>
                  <w:i/>
                  <w:iCs/>
                </w:rPr>
                <w:t>International Data Privacy Law</w:t>
              </w:r>
              <w:r w:rsidRPr="002145DA">
                <w:rPr>
                  <w:rFonts w:asciiTheme="majorBidi" w:hAnsiTheme="majorBidi" w:cstheme="majorBidi"/>
                </w:rPr>
                <w:t xml:space="preserve">, 7(2), pp. 76–99. Available at: </w:t>
              </w:r>
              <w:hyperlink w:tgtFrame="_new" w:history="1" r:id="rId26">
                <w:r w:rsidRPr="002145DA">
                  <w:rPr>
                    <w:rStyle w:val="Hyperlink"/>
                    <w:rFonts w:asciiTheme="majorBidi" w:hAnsiTheme="majorBidi" w:cstheme="majorBidi"/>
                  </w:rPr>
                  <w:t>https://doi.org/10.1093/idpl/ipx005</w:t>
                </w:r>
              </w:hyperlink>
              <w:r w:rsidRPr="002145DA">
                <w:rPr>
                  <w:rFonts w:asciiTheme="majorBidi" w:hAnsiTheme="majorBidi" w:cstheme="majorBidi"/>
                </w:rPr>
                <w:t xml:space="preserve"> (Accessed: 14 July 2026).</w:t>
              </w:r>
            </w:p>
            <w:p w:rsidRPr="002145DA" w:rsidR="0007599D" w:rsidP="002145DA" w:rsidRDefault="0007599D" w14:paraId="2D14CF4E"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Yang, J. (2022) ‘An Overview of the Chinese “Personal Information Protection Law”’, </w:t>
              </w:r>
              <w:r w:rsidRPr="002145DA">
                <w:rPr>
                  <w:rFonts w:asciiTheme="majorBidi" w:hAnsiTheme="majorBidi" w:cstheme="majorBidi"/>
                  <w:i/>
                  <w:iCs/>
                </w:rPr>
                <w:t>Pin Code</w:t>
              </w:r>
              <w:r w:rsidRPr="002145DA">
                <w:rPr>
                  <w:rFonts w:asciiTheme="majorBidi" w:hAnsiTheme="majorBidi" w:cstheme="majorBidi"/>
                </w:rPr>
                <w:t>, 10(1), pp. 8–13.</w:t>
              </w:r>
            </w:p>
            <w:p w:rsidR="0007599D" w:rsidP="002145DA" w:rsidRDefault="0007599D" w14:paraId="1261A101" w14:textId="77777777">
              <w:pPr>
                <w:spacing w:line="360" w:lineRule="auto"/>
                <w:ind w:left="720" w:hanging="720"/>
                <w:jc w:val="both"/>
                <w:rPr>
                  <w:rFonts w:asciiTheme="majorBidi" w:hAnsiTheme="majorBidi" w:cstheme="majorBidi"/>
                </w:rPr>
              </w:pPr>
              <w:r w:rsidRPr="002145DA">
                <w:rPr>
                  <w:rFonts w:asciiTheme="majorBidi" w:hAnsiTheme="majorBidi" w:cstheme="majorBidi"/>
                </w:rPr>
                <w:t xml:space="preserve">Zhou, Z. (2023) ‘Tesla marketing analysis’, </w:t>
              </w:r>
              <w:r w:rsidRPr="002145DA">
                <w:rPr>
                  <w:rFonts w:asciiTheme="majorBidi" w:hAnsiTheme="majorBidi" w:cstheme="majorBidi"/>
                  <w:i/>
                  <w:iCs/>
                </w:rPr>
                <w:t>Academic Journal of Business &amp; Management</w:t>
              </w:r>
              <w:r w:rsidRPr="002145DA">
                <w:rPr>
                  <w:rFonts w:asciiTheme="majorBidi" w:hAnsiTheme="majorBidi" w:cstheme="majorBidi"/>
                </w:rPr>
                <w:t>, 5(2), pp. 171–177.</w:t>
              </w:r>
            </w:p>
            <w:p w:rsidRPr="00A7423C" w:rsidR="00A7423C" w:rsidP="00A7423C" w:rsidRDefault="00A7423C" w14:paraId="5EA42CCC" w14:textId="77777777">
              <w:pPr>
                <w:pStyle w:val="Bibliography"/>
              </w:pPr>
              <w:r>
                <w:rPr>
                  <w:rFonts w:asciiTheme="majorBidi" w:hAnsiTheme="majorBidi" w:cstheme="majorBidi"/>
                </w:rPr>
                <w:fldChar w:fldCharType="begin"/>
              </w:r>
              <w:r>
                <w:rPr>
                  <w:rFonts w:asciiTheme="majorBidi" w:hAnsiTheme="majorBidi" w:cstheme="majorBidi"/>
                </w:rPr>
                <w:instrText xml:space="preserve"> ADDIN ZOTERO_BIBL {"uncited":[],"omitted":[],"custom":[]} CSL_BIBLIOGRAPHY </w:instrText>
              </w:r>
              <w:r>
                <w:rPr>
                  <w:rFonts w:asciiTheme="majorBidi" w:hAnsiTheme="majorBidi" w:cstheme="majorBidi"/>
                </w:rPr>
                <w:fldChar w:fldCharType="separate"/>
              </w:r>
              <w:r w:rsidRPr="00A7423C">
                <w:rPr>
                  <w:i/>
                  <w:iCs/>
                </w:rPr>
                <w:t>AI &amp; Robotics</w:t>
              </w:r>
              <w:r w:rsidRPr="00A7423C">
                <w:t xml:space="preserve"> (no date) </w:t>
              </w:r>
              <w:r w:rsidRPr="00A7423C">
                <w:rPr>
                  <w:i/>
                  <w:iCs/>
                </w:rPr>
                <w:t>Tesla</w:t>
              </w:r>
              <w:r w:rsidRPr="00A7423C">
                <w:t>. Available at: https://www.tesla.com/AI (Accessed: July 15, 2026).</w:t>
              </w:r>
            </w:p>
            <w:p w:rsidRPr="00A7423C" w:rsidR="00A7423C" w:rsidP="00A7423C" w:rsidRDefault="00A7423C" w14:paraId="5B576879" w14:textId="77777777">
              <w:pPr>
                <w:pStyle w:val="Bibliography"/>
                <w:spacing w:line="360" w:lineRule="auto"/>
                <w:jc w:val="both"/>
                <w:rPr>
                  <w:rFonts w:ascii="Times New Roman" w:hAnsi="Times New Roman" w:cs="Times New Roman"/>
                </w:rPr>
              </w:pPr>
              <w:r w:rsidRPr="00A7423C">
                <w:rPr>
                  <w:rFonts w:ascii="Times New Roman" w:hAnsi="Times New Roman" w:cs="Times New Roman"/>
                </w:rPr>
                <w:t xml:space="preserve">Artificial </w:t>
              </w:r>
              <w:proofErr w:type="spellStart"/>
              <w:r w:rsidRPr="00A7423C">
                <w:rPr>
                  <w:rFonts w:ascii="Times New Roman" w:hAnsi="Times New Roman" w:cs="Times New Roman"/>
                </w:rPr>
                <w:t>intelligence,"how</w:t>
              </w:r>
              <w:proofErr w:type="spellEnd"/>
              <w:r w:rsidRPr="00A7423C">
                <w:rPr>
                  <w:rFonts w:ascii="Times New Roman" w:hAnsi="Times New Roman" w:cs="Times New Roman"/>
                </w:rPr>
                <w:t xml:space="preserve"> to think about the ai impact on the economy" (no date) Artificial </w:t>
              </w:r>
              <w:proofErr w:type="spellStart"/>
              <w:r w:rsidRPr="00A7423C">
                <w:rPr>
                  <w:rFonts w:ascii="Times New Roman" w:hAnsi="Times New Roman" w:cs="Times New Roman"/>
                </w:rPr>
                <w:t>intelligence,"how</w:t>
              </w:r>
              <w:proofErr w:type="spellEnd"/>
              <w:r w:rsidRPr="00A7423C">
                <w:rPr>
                  <w:rFonts w:ascii="Times New Roman" w:hAnsi="Times New Roman" w:cs="Times New Roman"/>
                </w:rPr>
                <w:t xml:space="preserve"> to think about the ai impact on the economy". Available at: https://cpram.com/fra/en/individual/publications/megatrends/cpram.com/fra/en/individual/publications/megatrends/artificial-intelligence-how-to-think-about-the-ai-impact-on-the-economy (Accessed: July 15, 2026).</w:t>
              </w:r>
            </w:p>
            <w:p w:rsidRPr="002145DA" w:rsidR="00A7423C" w:rsidP="002145DA" w:rsidRDefault="00A7423C" w14:paraId="158AF15D" w14:textId="10774CC5">
              <w:pPr>
                <w:spacing w:line="360" w:lineRule="auto"/>
                <w:ind w:left="720" w:hanging="720"/>
                <w:jc w:val="both"/>
                <w:rPr>
                  <w:rFonts w:asciiTheme="majorBidi" w:hAnsiTheme="majorBidi" w:cstheme="majorBidi"/>
                </w:rPr>
              </w:pPr>
              <w:r>
                <w:rPr>
                  <w:rFonts w:asciiTheme="majorBidi" w:hAnsiTheme="majorBidi" w:cstheme="majorBidi"/>
                </w:rPr>
                <w:fldChar w:fldCharType="end"/>
              </w:r>
            </w:p>
            <w:p w:rsidRPr="0007599D" w:rsidR="0007599D" w:rsidP="002145DA" w:rsidRDefault="00000000" w14:paraId="347D8284" w14:textId="466A69A5">
              <w:pPr>
                <w:spacing w:line="360" w:lineRule="auto"/>
                <w:ind w:left="720" w:hanging="720"/>
                <w:jc w:val="both"/>
                <w:rPr>
                  <w:rFonts w:ascii="Times New Roman" w:hAnsi="Times New Roman" w:cs="Times New Roman"/>
                </w:rPr>
              </w:pPr>
            </w:p>
          </w:sdtContent>
        </w:sdt>
      </w:sdtContent>
      <w:sdtEndPr>
        <w:rPr>
          <w:rFonts w:ascii="Times New Roman" w:hAnsi="Times New Roman" w:eastAsia="Aptos" w:cs="Arial" w:asciiTheme="majorBidi" w:hAnsiTheme="majorBidi" w:eastAsiaTheme="minorAscii" w:cstheme="minorBidi"/>
          <w:color w:val="auto"/>
          <w:sz w:val="24"/>
          <w:szCs w:val="24"/>
        </w:rPr>
      </w:sdtEndPr>
    </w:sdt>
    <w:p w:rsidR="00C51A65" w:rsidRDefault="00C51A65" w14:paraId="5EFCBBD1" w14:textId="77777777"/>
    <w:sectPr w:rsidR="00C51A65" w:rsidSect="002C478F">
      <w:headerReference w:type="default" r:id="rId27"/>
      <w:footerReference w:type="default" r:id="rId28"/>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97D10" w:rsidP="008618F2" w:rsidRDefault="00697D10" w14:paraId="7B1D557C" w14:textId="77777777">
      <w:pPr>
        <w:spacing w:after="0" w:line="240" w:lineRule="auto"/>
      </w:pPr>
      <w:r>
        <w:separator/>
      </w:r>
    </w:p>
  </w:endnote>
  <w:endnote w:type="continuationSeparator" w:id="0">
    <w:p w:rsidR="00697D10" w:rsidP="008618F2" w:rsidRDefault="00697D10" w14:paraId="62E382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478F" w:rsidRDefault="002C478F" w14:paraId="7ECB2FD4" w14:textId="1175D53C">
    <w:pPr>
      <w:pStyle w:val="Foot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97D10" w:rsidP="008618F2" w:rsidRDefault="00697D10" w14:paraId="2D280D9B" w14:textId="77777777">
      <w:pPr>
        <w:spacing w:after="0" w:line="240" w:lineRule="auto"/>
      </w:pPr>
      <w:r>
        <w:separator/>
      </w:r>
    </w:p>
  </w:footnote>
  <w:footnote w:type="continuationSeparator" w:id="0">
    <w:p w:rsidR="00697D10" w:rsidP="008618F2" w:rsidRDefault="00697D10" w14:paraId="0657345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6F6D" w:rsidRDefault="00996F6D" w14:paraId="66553BCA" w14:textId="5DC4378A">
    <w:pPr>
      <w:pStyle w:val="Heade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hdr>
</file>

<file path=word/numbering.xml><?xml version="1.0" encoding="utf-8"?>
<w:numbering xmlns:w="http://schemas.openxmlformats.org/wordprocessingml/2006/main">
  <w:abstractNum xmlns:w="http://schemas.openxmlformats.org/wordprocessingml/2006/main" w:abstractNumId="1">
    <w:nsid w:val="551e6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8F2"/>
    <w:rsid w:val="00000000"/>
    <w:rsid w:val="000008D8"/>
    <w:rsid w:val="0000788C"/>
    <w:rsid w:val="00015B36"/>
    <w:rsid w:val="00073F8D"/>
    <w:rsid w:val="0007599D"/>
    <w:rsid w:val="000B4F79"/>
    <w:rsid w:val="00180228"/>
    <w:rsid w:val="001A2F69"/>
    <w:rsid w:val="002145DA"/>
    <w:rsid w:val="002477EC"/>
    <w:rsid w:val="00267D67"/>
    <w:rsid w:val="002B0654"/>
    <w:rsid w:val="002C478F"/>
    <w:rsid w:val="002E444D"/>
    <w:rsid w:val="00322FD3"/>
    <w:rsid w:val="00365D22"/>
    <w:rsid w:val="00371656"/>
    <w:rsid w:val="003B5FEF"/>
    <w:rsid w:val="004622BA"/>
    <w:rsid w:val="0046741A"/>
    <w:rsid w:val="00554850"/>
    <w:rsid w:val="00603013"/>
    <w:rsid w:val="006247F4"/>
    <w:rsid w:val="006672FA"/>
    <w:rsid w:val="00697D10"/>
    <w:rsid w:val="006D4210"/>
    <w:rsid w:val="006F45CF"/>
    <w:rsid w:val="007F4641"/>
    <w:rsid w:val="008618F2"/>
    <w:rsid w:val="00863D87"/>
    <w:rsid w:val="008A0E81"/>
    <w:rsid w:val="008A49F3"/>
    <w:rsid w:val="00944F1B"/>
    <w:rsid w:val="00996F6D"/>
    <w:rsid w:val="009E1B9C"/>
    <w:rsid w:val="00A7423C"/>
    <w:rsid w:val="00A819AB"/>
    <w:rsid w:val="00B058A5"/>
    <w:rsid w:val="00BE5201"/>
    <w:rsid w:val="00C51A65"/>
    <w:rsid w:val="00CF3EE7"/>
    <w:rsid w:val="00E24F0B"/>
    <w:rsid w:val="00E2758A"/>
    <w:rsid w:val="00E33611"/>
    <w:rsid w:val="00E808F4"/>
    <w:rsid w:val="00EB542F"/>
    <w:rsid w:val="00EF4FBC"/>
    <w:rsid w:val="00FC0AC1"/>
    <w:rsid w:val="00FE098A"/>
    <w:rsid w:val="1606896A"/>
    <w:rsid w:val="1FE3458F"/>
    <w:rsid w:val="2291531F"/>
    <w:rsid w:val="2C3D5399"/>
    <w:rsid w:val="3FC2B6E3"/>
    <w:rsid w:val="493A2859"/>
    <w:rsid w:val="5374D737"/>
    <w:rsid w:val="5AAA0DE7"/>
    <w:rsid w:val="68A6B7C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D3E7E"/>
  <w15:chartTrackingRefBased/>
  <w15:docId w15:val="{B1F3912C-8EA6-4F2A-822D-7A866E0769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8F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18F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8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8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8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8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8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8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8F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8F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618F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8F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8F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8F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8F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8F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8F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8F2"/>
    <w:rPr>
      <w:rFonts w:eastAsiaTheme="majorEastAsia" w:cstheme="majorBidi"/>
      <w:color w:val="272727" w:themeColor="text1" w:themeTint="D8"/>
    </w:rPr>
  </w:style>
  <w:style w:type="paragraph" w:styleId="Title">
    <w:name w:val="Title"/>
    <w:basedOn w:val="Normal"/>
    <w:next w:val="Normal"/>
    <w:link w:val="TitleChar"/>
    <w:uiPriority w:val="10"/>
    <w:qFormat/>
    <w:rsid w:val="008618F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8F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8F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8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8F2"/>
    <w:pPr>
      <w:spacing w:before="160"/>
      <w:jc w:val="center"/>
    </w:pPr>
    <w:rPr>
      <w:i/>
      <w:iCs/>
      <w:color w:val="404040" w:themeColor="text1" w:themeTint="BF"/>
    </w:rPr>
  </w:style>
  <w:style w:type="character" w:styleId="QuoteChar" w:customStyle="1">
    <w:name w:val="Quote Char"/>
    <w:basedOn w:val="DefaultParagraphFont"/>
    <w:link w:val="Quote"/>
    <w:uiPriority w:val="29"/>
    <w:rsid w:val="008618F2"/>
    <w:rPr>
      <w:i/>
      <w:iCs/>
      <w:color w:val="404040" w:themeColor="text1" w:themeTint="BF"/>
    </w:rPr>
  </w:style>
  <w:style w:type="paragraph" w:styleId="ListParagraph">
    <w:name w:val="List Paragraph"/>
    <w:basedOn w:val="Normal"/>
    <w:uiPriority w:val="34"/>
    <w:qFormat/>
    <w:rsid w:val="008618F2"/>
    <w:pPr>
      <w:ind w:left="720"/>
      <w:contextualSpacing/>
    </w:pPr>
  </w:style>
  <w:style w:type="character" w:styleId="IntenseEmphasis">
    <w:name w:val="Intense Emphasis"/>
    <w:basedOn w:val="DefaultParagraphFont"/>
    <w:uiPriority w:val="21"/>
    <w:qFormat/>
    <w:rsid w:val="008618F2"/>
    <w:rPr>
      <w:i/>
      <w:iCs/>
      <w:color w:val="0F4761" w:themeColor="accent1" w:themeShade="BF"/>
    </w:rPr>
  </w:style>
  <w:style w:type="paragraph" w:styleId="IntenseQuote">
    <w:name w:val="Intense Quote"/>
    <w:basedOn w:val="Normal"/>
    <w:next w:val="Normal"/>
    <w:link w:val="IntenseQuoteChar"/>
    <w:uiPriority w:val="30"/>
    <w:qFormat/>
    <w:rsid w:val="008618F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8F2"/>
    <w:rPr>
      <w:i/>
      <w:iCs/>
      <w:color w:val="0F4761" w:themeColor="accent1" w:themeShade="BF"/>
    </w:rPr>
  </w:style>
  <w:style w:type="character" w:styleId="IntenseReference">
    <w:name w:val="Intense Reference"/>
    <w:basedOn w:val="DefaultParagraphFont"/>
    <w:uiPriority w:val="32"/>
    <w:qFormat/>
    <w:rsid w:val="008618F2"/>
    <w:rPr>
      <w:b/>
      <w:bCs/>
      <w:smallCaps/>
      <w:color w:val="0F4761" w:themeColor="accent1" w:themeShade="BF"/>
      <w:spacing w:val="5"/>
    </w:rPr>
  </w:style>
  <w:style w:type="paragraph" w:styleId="TOCHeading">
    <w:name w:val="TOC Heading"/>
    <w:basedOn w:val="Heading1"/>
    <w:next w:val="Normal"/>
    <w:uiPriority w:val="39"/>
    <w:unhideWhenUsed/>
    <w:qFormat/>
    <w:rsid w:val="008618F2"/>
    <w:pPr>
      <w:spacing w:before="240" w:after="0" w:line="259" w:lineRule="auto"/>
      <w:outlineLvl w:val="9"/>
    </w:pPr>
    <w:rPr>
      <w:sz w:val="32"/>
      <w:szCs w:val="32"/>
      <w:lang w:val="en-US"/>
      <w14:ligatures w14:val="none"/>
    </w:rPr>
  </w:style>
  <w:style w:type="paragraph" w:styleId="Header">
    <w:name w:val="header"/>
    <w:basedOn w:val="Normal"/>
    <w:link w:val="HeaderChar"/>
    <w:uiPriority w:val="99"/>
    <w:unhideWhenUsed/>
    <w:rsid w:val="008618F2"/>
    <w:pPr>
      <w:tabs>
        <w:tab w:val="center" w:pos="4513"/>
        <w:tab w:val="right" w:pos="9026"/>
      </w:tabs>
      <w:spacing w:after="0" w:line="240" w:lineRule="auto"/>
    </w:pPr>
  </w:style>
  <w:style w:type="character" w:styleId="HeaderChar" w:customStyle="1">
    <w:name w:val="Header Char"/>
    <w:basedOn w:val="DefaultParagraphFont"/>
    <w:link w:val="Header"/>
    <w:uiPriority w:val="99"/>
    <w:rsid w:val="008618F2"/>
  </w:style>
  <w:style w:type="paragraph" w:styleId="Footer">
    <w:name w:val="footer"/>
    <w:basedOn w:val="Normal"/>
    <w:link w:val="FooterChar"/>
    <w:uiPriority w:val="99"/>
    <w:unhideWhenUsed/>
    <w:rsid w:val="008618F2"/>
    <w:pPr>
      <w:tabs>
        <w:tab w:val="center" w:pos="4513"/>
        <w:tab w:val="right" w:pos="9026"/>
      </w:tabs>
      <w:spacing w:after="0" w:line="240" w:lineRule="auto"/>
    </w:pPr>
  </w:style>
  <w:style w:type="character" w:styleId="FooterChar" w:customStyle="1">
    <w:name w:val="Footer Char"/>
    <w:basedOn w:val="DefaultParagraphFont"/>
    <w:link w:val="Footer"/>
    <w:uiPriority w:val="99"/>
    <w:rsid w:val="008618F2"/>
  </w:style>
  <w:style w:type="paragraph" w:styleId="TOC3">
    <w:name w:val="toc 3"/>
    <w:basedOn w:val="Normal"/>
    <w:next w:val="Normal"/>
    <w:autoRedefine/>
    <w:uiPriority w:val="39"/>
    <w:unhideWhenUsed/>
    <w:rsid w:val="008618F2"/>
    <w:pPr>
      <w:spacing w:after="100"/>
      <w:ind w:left="480"/>
    </w:pPr>
  </w:style>
  <w:style w:type="paragraph" w:styleId="TOC1">
    <w:name w:val="toc 1"/>
    <w:basedOn w:val="Normal"/>
    <w:next w:val="Normal"/>
    <w:autoRedefine/>
    <w:uiPriority w:val="39"/>
    <w:unhideWhenUsed/>
    <w:rsid w:val="008618F2"/>
    <w:pPr>
      <w:spacing w:after="100"/>
    </w:pPr>
  </w:style>
  <w:style w:type="character" w:styleId="Hyperlink">
    <w:name w:val="Hyperlink"/>
    <w:basedOn w:val="DefaultParagraphFont"/>
    <w:uiPriority w:val="99"/>
    <w:unhideWhenUsed/>
    <w:rsid w:val="008618F2"/>
    <w:rPr>
      <w:color w:val="467886" w:themeColor="hyperlink"/>
      <w:u w:val="single"/>
    </w:rPr>
  </w:style>
  <w:style w:type="table" w:styleId="PlainTable5">
    <w:name w:val="Plain Table 5"/>
    <w:basedOn w:val="TableNormal"/>
    <w:uiPriority w:val="45"/>
    <w:rsid w:val="004622BA"/>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07599D"/>
    <w:rPr>
      <w:color w:val="605E5C"/>
      <w:shd w:val="clear" w:color="auto" w:fill="E1DFDD"/>
    </w:rPr>
  </w:style>
  <w:style w:type="paragraph" w:styleId="TOC2">
    <w:name w:val="toc 2"/>
    <w:basedOn w:val="Normal"/>
    <w:next w:val="Normal"/>
    <w:autoRedefine/>
    <w:uiPriority w:val="39"/>
    <w:unhideWhenUsed/>
    <w:rsid w:val="002B0654"/>
    <w:pPr>
      <w:spacing w:after="100"/>
      <w:ind w:left="240"/>
    </w:pPr>
  </w:style>
  <w:style w:type="paragraph" w:styleId="Caption">
    <w:name w:val="caption"/>
    <w:basedOn w:val="Normal"/>
    <w:next w:val="Normal"/>
    <w:uiPriority w:val="35"/>
    <w:unhideWhenUsed/>
    <w:qFormat/>
    <w:rsid w:val="002145D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145DA"/>
    <w:pPr>
      <w:spacing w:after="0"/>
    </w:pPr>
  </w:style>
  <w:style w:type="paragraph" w:styleId="Bibliography">
    <w:name w:val="Bibliography"/>
    <w:basedOn w:val="Normal"/>
    <w:next w:val="Normal"/>
    <w:uiPriority w:val="37"/>
    <w:unhideWhenUsed/>
    <w:rsid w:val="00A7423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emf" Id="rId8" /><Relationship Type="http://schemas.openxmlformats.org/officeDocument/2006/relationships/hyperlink" Target="https://ejlt.org/index.php/ejlt/article/view/662" TargetMode="External" Id="rId13" /><Relationship Type="http://schemas.openxmlformats.org/officeDocument/2006/relationships/hyperlink" Target="https://doi.org/10.1007/s11023-018-9482-5" TargetMode="External" Id="rId18" /><Relationship Type="http://schemas.openxmlformats.org/officeDocument/2006/relationships/hyperlink" Target="https://doi.org/10.1093/idpl/ipx005" TargetMode="External" Id="rId26" /><Relationship Type="http://schemas.openxmlformats.org/officeDocument/2006/relationships/settings" Target="settings.xml" Id="rId3" /><Relationship Type="http://schemas.openxmlformats.org/officeDocument/2006/relationships/hyperlink" Target="https://doi.org/10.1057/palgrave.jibs.8490676" TargetMode="External" Id="rId21" /><Relationship Type="http://schemas.openxmlformats.org/officeDocument/2006/relationships/image" Target="media/image1.png" Id="rId7" /><Relationship Type="http://schemas.openxmlformats.org/officeDocument/2006/relationships/hyperlink" Target="https://doi.org/10.3386/w24196" TargetMode="External" Id="rId12" /><Relationship Type="http://schemas.openxmlformats.org/officeDocument/2006/relationships/hyperlink" Target="https://doi.org/10.1080/13571510110051441" TargetMode="External" Id="rId17" /><Relationship Type="http://schemas.openxmlformats.org/officeDocument/2006/relationships/hyperlink" Target="https://doi.org/10.1080/01441647.2018.1494640" TargetMode="External" Id="rId25" /><Relationship Type="http://schemas.openxmlformats.org/officeDocument/2006/relationships/styles" Target="styles.xml" Id="rId2" /><Relationship Type="http://schemas.openxmlformats.org/officeDocument/2006/relationships/hyperlink" Target="https://doi.org/10.2307/2095101" TargetMode="External" Id="rId16" /><Relationship Type="http://schemas.openxmlformats.org/officeDocument/2006/relationships/hyperlink" Target="https://doi.org/10.1038/s42256-019-0088-2"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doi.org/10.1108/IJOA-05-2021-2775" TargetMode="External" Id="rId24" /><Relationship Type="http://schemas.openxmlformats.org/officeDocument/2006/relationships/footnotes" Target="footnotes.xml" Id="rId5" /><Relationship Type="http://schemas.openxmlformats.org/officeDocument/2006/relationships/hyperlink" Target="https://www.coso.org" TargetMode="External" Id="rId15" /><Relationship Type="http://schemas.openxmlformats.org/officeDocument/2006/relationships/hyperlink" Target="https://doi.org/10.5465/amr.1995.9508080335" TargetMode="External" Id="rId23" /><Relationship Type="http://schemas.openxmlformats.org/officeDocument/2006/relationships/footer" Target="footer1.xml" Id="rId28" /><Relationship Type="http://schemas.openxmlformats.org/officeDocument/2006/relationships/image" Target="media/image4.emf" Id="rId10" /><Relationship Type="http://schemas.openxmlformats.org/officeDocument/2006/relationships/hyperlink" Target="https://doi.org/10.1111/j.1539-6975.2011.01413.x"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doi.org/10.1080/23299460.2018.1495030" TargetMode="External" Id="rId14" /><Relationship Type="http://schemas.openxmlformats.org/officeDocument/2006/relationships/hyperlink" Target="https://scholarship.law.upenn.edu/penn_law_review/vol165/iss3/3/" TargetMode="External" Id="rId22"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numbering" Target="numbering.xml" Id="R7526e5ba365a4ac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C7B82E-2502-48D1-9927-9483FCAB51E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Mohmmad Rahil Aabid Hussain Vahora (2508046)</lastModifiedBy>
  <revision>2</revision>
  <dcterms:created xsi:type="dcterms:W3CDTF">2026-07-15T13:27:00.0000000Z</dcterms:created>
  <dcterms:modified xsi:type="dcterms:W3CDTF">2026-07-16T13:10:32.3551757Z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zotero-version="9.0.5"&gt;&lt;session id="tThV5VfD"/&gt;&lt;style id="http://www.zotero.org/styles/harvard-cite-them-right" locale="en-US" hasBibliography="1" bibliographyStyleHasBeenSet="1"/&gt;&lt;prefs&gt;&lt;pref name="fieldType" value="Field"/&gt;&lt;/prefs</vt:lpwstr>
  </property>
  <property fmtid="{D5CDD505-2E9C-101B-9397-08002B2CF9AE}" pid="3" name="ZOTERO_PREF_2">
    <vt:lpwstr>&gt;&lt;/data&gt;</vt:lpwstr>
  </property>
</Properties>
</file>