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6A793DF" wp14:paraId="50891C2B" wp14:textId="5E7937B1">
      <w:pPr>
        <w:spacing w:before="240" w:beforeAutospacing="off" w:after="240" w:afterAutospacing="off"/>
      </w:pPr>
      <w:r w:rsidRPr="5D521198" w:rsidR="39DD396E">
        <w:rPr>
          <w:rFonts w:ascii="Aptos" w:hAnsi="Aptos" w:eastAsia="Aptos" w:cs="Aptos"/>
          <w:sz w:val="24"/>
          <w:szCs w:val="24"/>
        </w:rPr>
        <w:t>Title: The Impact of Drug Misuse in Wales and its Health Interventions</w:t>
      </w:r>
    </w:p>
    <w:p xmlns:wp14="http://schemas.microsoft.com/office/word/2010/wordml" w:rsidP="66A793DF" wp14:paraId="0A910E3B" wp14:textId="2AB464B4">
      <w:pPr>
        <w:spacing w:before="240" w:beforeAutospacing="off" w:after="240" w:afterAutospacing="off"/>
      </w:pPr>
      <w:r w:rsidRPr="5D521198" w:rsidR="39DD396E">
        <w:rPr>
          <w:rFonts w:ascii="Aptos" w:hAnsi="Aptos" w:eastAsia="Aptos" w:cs="Aptos"/>
          <w:sz w:val="24"/>
          <w:szCs w:val="24"/>
        </w:rPr>
        <w:t>Introduction</w:t>
      </w:r>
    </w:p>
    <w:p xmlns:wp14="http://schemas.microsoft.com/office/word/2010/wordml" w:rsidP="5D521198" wp14:paraId="2D074459" wp14:textId="05B855C0">
      <w:pPr>
        <w:pStyle w:val="Normal"/>
        <w:spacing w:before="240" w:beforeAutospacing="off" w:after="240" w:afterAutospacing="off"/>
      </w:pPr>
      <w:r w:rsidRPr="26E7CECC" w:rsidR="39DD396E">
        <w:rPr>
          <w:rFonts w:ascii="Aptos" w:hAnsi="Aptos" w:eastAsia="Aptos" w:cs="Aptos"/>
          <w:sz w:val="24"/>
          <w:szCs w:val="24"/>
        </w:rPr>
        <w:t>Drug misuse is a significant issue in the United Kingdom, affecting individuals, families, communities, and overstretched services. This essay will explore the prevalence of drug misuse in Wales and discuss the interventions implemented by the Health Board. Naloxone take-home programs and needle exchange programs will be the focus of the presentation.</w:t>
      </w:r>
      <w:r w:rsidRPr="26E7CECC" w:rsidR="342AA330">
        <w:rPr>
          <w:rFonts w:ascii="Aptos" w:hAnsi="Aptos" w:eastAsia="Aptos" w:cs="Aptos"/>
          <w:sz w:val="24"/>
          <w:szCs w:val="24"/>
        </w:rPr>
        <w:t xml:space="preserve"> </w:t>
      </w:r>
      <w:r w:rsidRPr="26E7CECC" w:rsidR="342AA330">
        <w:rPr>
          <w:rFonts w:ascii="Aptos" w:hAnsi="Aptos" w:eastAsia="Aptos" w:cs="Aptos"/>
          <w:sz w:val="24"/>
          <w:szCs w:val="24"/>
        </w:rPr>
        <w:t>The term "drug misuse" refers to the possession or supply of drugs restricted by law as controlled substances</w:t>
      </w:r>
      <w:r w:rsidRPr="26E7CECC" w:rsidR="0CC1CE52">
        <w:rPr>
          <w:rFonts w:ascii="Aptos" w:hAnsi="Aptos" w:eastAsia="Aptos" w:cs="Aptos"/>
          <w:sz w:val="24"/>
          <w:szCs w:val="24"/>
        </w:rPr>
        <w:t xml:space="preserve"> (King, 2022)</w:t>
      </w:r>
      <w:r w:rsidRPr="26E7CECC" w:rsidR="342AA330">
        <w:rPr>
          <w:rFonts w:ascii="Aptos" w:hAnsi="Aptos" w:eastAsia="Aptos" w:cs="Aptos"/>
          <w:sz w:val="24"/>
          <w:szCs w:val="24"/>
        </w:rPr>
        <w:t xml:space="preserve">. In 1971, the Misuse of Drugs Act was enacted criminalizing the possession and use of certain drugs. </w:t>
      </w:r>
      <w:r w:rsidRPr="26E7CECC" w:rsidR="342AA330">
        <w:rPr>
          <w:rFonts w:ascii="Aptos" w:hAnsi="Aptos" w:eastAsia="Aptos" w:cs="Aptos"/>
          <w:sz w:val="24"/>
          <w:szCs w:val="24"/>
        </w:rPr>
        <w:t>There are three classifications of drugs in this category: Class A, Class B, and Class C.</w:t>
      </w:r>
      <w:r w:rsidRPr="26E7CECC" w:rsidR="342AA330">
        <w:rPr>
          <w:rFonts w:ascii="Aptos" w:hAnsi="Aptos" w:eastAsia="Aptos" w:cs="Aptos"/>
          <w:sz w:val="24"/>
          <w:szCs w:val="24"/>
        </w:rPr>
        <w:t xml:space="preserve"> Although drugs may fall into one of the Schedules for legitimate medicinal use, they may also be classified as the "other" category. </w:t>
      </w:r>
      <w:r w:rsidRPr="26E7CECC" w:rsidR="342AA330">
        <w:rPr>
          <w:rFonts w:ascii="Aptos" w:hAnsi="Aptos" w:eastAsia="Aptos" w:cs="Aptos"/>
          <w:sz w:val="24"/>
          <w:szCs w:val="24"/>
        </w:rPr>
        <w:t>In</w:t>
      </w:r>
      <w:r w:rsidRPr="26E7CECC" w:rsidR="342AA330">
        <w:rPr>
          <w:rFonts w:ascii="Aptos" w:hAnsi="Aptos" w:eastAsia="Aptos" w:cs="Aptos"/>
          <w:sz w:val="24"/>
          <w:szCs w:val="24"/>
        </w:rPr>
        <w:t xml:space="preserve"> accordance with</w:t>
      </w:r>
      <w:r w:rsidRPr="26E7CECC" w:rsidR="342AA330">
        <w:rPr>
          <w:rFonts w:ascii="Aptos" w:hAnsi="Aptos" w:eastAsia="Aptos" w:cs="Aptos"/>
          <w:sz w:val="24"/>
          <w:szCs w:val="24"/>
        </w:rPr>
        <w:t xml:space="preserve"> t</w:t>
      </w:r>
      <w:r w:rsidRPr="26E7CECC" w:rsidR="342AA330">
        <w:rPr>
          <w:rFonts w:ascii="Aptos" w:hAnsi="Aptos" w:eastAsia="Aptos" w:cs="Aptos"/>
          <w:sz w:val="24"/>
          <w:szCs w:val="24"/>
        </w:rPr>
        <w:t>he Misuse of Drugs Act 1971, morphine is classified as a Class A drug, but when lawfully supplied, it falls under the category of a Schedule 2 controlled substance</w:t>
      </w:r>
      <w:r w:rsidRPr="26E7CECC" w:rsidR="7BB8E8BF">
        <w:rPr>
          <w:rFonts w:ascii="Aptos" w:hAnsi="Aptos" w:eastAsia="Aptos" w:cs="Aptos"/>
          <w:sz w:val="24"/>
          <w:szCs w:val="24"/>
        </w:rPr>
        <w:t xml:space="preserve"> (United Kingdom Government, 2024). </w:t>
      </w:r>
    </w:p>
    <w:p xmlns:wp14="http://schemas.microsoft.com/office/word/2010/wordml" w:rsidP="66A793DF" wp14:paraId="3414B8FF" wp14:textId="488A73C8">
      <w:pPr>
        <w:spacing w:before="240" w:beforeAutospacing="off" w:after="240" w:afterAutospacing="off"/>
      </w:pPr>
      <w:r w:rsidRPr="5D521198" w:rsidR="39DD396E">
        <w:rPr>
          <w:rFonts w:ascii="Aptos" w:hAnsi="Aptos" w:eastAsia="Aptos" w:cs="Aptos"/>
          <w:sz w:val="24"/>
          <w:szCs w:val="24"/>
        </w:rPr>
        <w:t>Prevalence of Drug Misuse in Wales</w:t>
      </w:r>
    </w:p>
    <w:p xmlns:wp14="http://schemas.microsoft.com/office/word/2010/wordml" w:rsidP="5D521198" wp14:paraId="5C5A4DE0" wp14:textId="1C84E6DF">
      <w:pPr>
        <w:pStyle w:val="Normal"/>
        <w:spacing w:before="240" w:beforeAutospacing="off" w:after="240" w:afterAutospacing="off"/>
        <w:rPr>
          <w:rFonts w:ascii="Aptos" w:hAnsi="Aptos" w:eastAsia="Aptos" w:cs="Aptos"/>
          <w:sz w:val="24"/>
          <w:szCs w:val="24"/>
        </w:rPr>
      </w:pPr>
      <w:r w:rsidRPr="5D521198" w:rsidR="39DD396E">
        <w:rPr>
          <w:rFonts w:ascii="Aptos" w:hAnsi="Aptos" w:eastAsia="Aptos" w:cs="Aptos"/>
          <w:sz w:val="24"/>
          <w:szCs w:val="24"/>
        </w:rPr>
        <w:t xml:space="preserve">There is a wide variation in the prevalence of drug use among communities and demographics, but </w:t>
      </w:r>
      <w:r w:rsidRPr="5D521198" w:rsidR="3C6C8F1C">
        <w:rPr>
          <w:rFonts w:ascii="Aptos" w:hAnsi="Aptos" w:eastAsia="Aptos" w:cs="Aptos"/>
          <w:sz w:val="24"/>
          <w:szCs w:val="24"/>
        </w:rPr>
        <w:t>overall,</w:t>
      </w:r>
      <w:r w:rsidRPr="5D521198" w:rsidR="39DD396E">
        <w:rPr>
          <w:rFonts w:ascii="Aptos" w:hAnsi="Aptos" w:eastAsia="Aptos" w:cs="Aptos"/>
          <w:sz w:val="24"/>
          <w:szCs w:val="24"/>
        </w:rPr>
        <w:t xml:space="preserve"> it </w:t>
      </w:r>
      <w:r w:rsidRPr="5D521198" w:rsidR="39DD396E">
        <w:rPr>
          <w:rFonts w:ascii="Aptos" w:hAnsi="Aptos" w:eastAsia="Aptos" w:cs="Aptos"/>
          <w:sz w:val="24"/>
          <w:szCs w:val="24"/>
        </w:rPr>
        <w:t>indicates</w:t>
      </w:r>
      <w:r w:rsidRPr="5D521198" w:rsidR="39DD396E">
        <w:rPr>
          <w:rFonts w:ascii="Aptos" w:hAnsi="Aptos" w:eastAsia="Aptos" w:cs="Aptos"/>
          <w:sz w:val="24"/>
          <w:szCs w:val="24"/>
        </w:rPr>
        <w:t xml:space="preserve"> an upward trend which is concerning. The Government of the United Kingdom (2023) suggests that between April 2022 and March 2023, 290,635 adults consulted drug and alcohol services. In comparison to the previous year (290,215). This is a smaller increase than in previous years.</w:t>
      </w:r>
      <w:r w:rsidRPr="5D521198" w:rsidR="13A8FBAE">
        <w:rPr>
          <w:rFonts w:ascii="Aptos" w:hAnsi="Aptos" w:eastAsia="Aptos" w:cs="Aptos"/>
          <w:sz w:val="24"/>
          <w:szCs w:val="24"/>
        </w:rPr>
        <w:t xml:space="preserve"> </w:t>
      </w:r>
      <w:r w:rsidRPr="5D521198" w:rsidR="39DD396E">
        <w:rPr>
          <w:rFonts w:ascii="Aptos" w:hAnsi="Aptos" w:eastAsia="Aptos" w:cs="Aptos"/>
          <w:sz w:val="24"/>
          <w:szCs w:val="24"/>
        </w:rPr>
        <w:t>The annual rate of drug-related deaths in England and Wales in 2020 was 79.5 deaths per million, a 60.9% increase over 2010 levels, and the highest rate since 1993 (</w:t>
      </w:r>
      <w:r w:rsidRPr="5D521198" w:rsidR="39DD396E">
        <w:rPr>
          <w:rFonts w:ascii="Aptos" w:hAnsi="Aptos" w:eastAsia="Aptos" w:cs="Aptos"/>
          <w:sz w:val="24"/>
          <w:szCs w:val="24"/>
        </w:rPr>
        <w:t>Office for National Stati</w:t>
      </w:r>
      <w:r w:rsidRPr="5D521198" w:rsidR="04801CA4">
        <w:rPr>
          <w:rFonts w:ascii="Aptos" w:hAnsi="Aptos" w:eastAsia="Aptos" w:cs="Aptos"/>
          <w:sz w:val="24"/>
          <w:szCs w:val="24"/>
        </w:rPr>
        <w:t>stics, 2021)</w:t>
      </w:r>
      <w:r w:rsidRPr="5D521198" w:rsidR="39DD396E">
        <w:rPr>
          <w:rFonts w:ascii="Aptos" w:hAnsi="Aptos" w:eastAsia="Aptos" w:cs="Aptos"/>
          <w:sz w:val="24"/>
          <w:szCs w:val="24"/>
        </w:rPr>
        <w:t>. According to the United Kingdom's National Statistics Office (2023), in 2022, 4,907 deaths due to drug poisoning were recorded, equivalent to an average death rate of 84.4 deaths for every million people, which is similar to the figure recorded in 2021 (84.0 deaths per million, 4,859 deaths); death rates related to drug poisoning have increased each year since 2012.</w:t>
      </w:r>
      <w:r w:rsidRPr="5D521198" w:rsidR="027C1299">
        <w:rPr>
          <w:rFonts w:ascii="Aptos" w:hAnsi="Aptos" w:eastAsia="Aptos" w:cs="Aptos"/>
          <w:sz w:val="24"/>
          <w:szCs w:val="24"/>
        </w:rPr>
        <w:t xml:space="preserve"> It is now eas</w:t>
      </w:r>
      <w:r w:rsidRPr="5D521198" w:rsidR="2FA8AD8A">
        <w:rPr>
          <w:rFonts w:ascii="Aptos" w:hAnsi="Aptos" w:eastAsia="Aptos" w:cs="Aptos"/>
          <w:sz w:val="24"/>
          <w:szCs w:val="24"/>
        </w:rPr>
        <w:t>y</w:t>
      </w:r>
      <w:r w:rsidRPr="5D521198" w:rsidR="027C1299">
        <w:rPr>
          <w:rFonts w:ascii="Aptos" w:hAnsi="Aptos" w:eastAsia="Aptos" w:cs="Aptos"/>
          <w:sz w:val="24"/>
          <w:szCs w:val="24"/>
        </w:rPr>
        <w:t xml:space="preserve"> to obtain drugs such as </w:t>
      </w:r>
      <w:r w:rsidRPr="5D521198" w:rsidR="73A7F924">
        <w:rPr>
          <w:rFonts w:ascii="Aptos" w:hAnsi="Aptos" w:eastAsia="Aptos" w:cs="Aptos"/>
          <w:noProof w:val="0"/>
          <w:sz w:val="24"/>
          <w:szCs w:val="24"/>
          <w:lang w:val="en-GB"/>
        </w:rPr>
        <w:t xml:space="preserve">synthetic opioids known as </w:t>
      </w:r>
      <w:r w:rsidRPr="5D521198" w:rsidR="73A7F924">
        <w:rPr>
          <w:rFonts w:ascii="Aptos" w:hAnsi="Aptos" w:eastAsia="Aptos" w:cs="Aptos"/>
          <w:noProof w:val="0"/>
          <w:sz w:val="24"/>
          <w:szCs w:val="24"/>
          <w:lang w:val="en-GB"/>
        </w:rPr>
        <w:t>Nitazenes</w:t>
      </w:r>
      <w:r w:rsidRPr="5D521198" w:rsidR="027C1299">
        <w:rPr>
          <w:rFonts w:ascii="Aptos" w:hAnsi="Aptos" w:eastAsia="Aptos" w:cs="Aptos"/>
          <w:sz w:val="24"/>
          <w:szCs w:val="24"/>
        </w:rPr>
        <w:t xml:space="preserve"> </w:t>
      </w:r>
      <w:r w:rsidRPr="5D521198" w:rsidR="6DBB24EC">
        <w:rPr>
          <w:rFonts w:ascii="Aptos" w:hAnsi="Aptos" w:eastAsia="Aptos" w:cs="Aptos"/>
          <w:sz w:val="24"/>
          <w:szCs w:val="24"/>
        </w:rPr>
        <w:t>(</w:t>
      </w:r>
      <w:r w:rsidRPr="5D521198" w:rsidR="5493B949">
        <w:rPr>
          <w:rFonts w:ascii="Aptos" w:hAnsi="Aptos" w:eastAsia="Aptos" w:cs="Aptos"/>
          <w:sz w:val="24"/>
          <w:szCs w:val="24"/>
        </w:rPr>
        <w:t>Houghton et al, 2021)</w:t>
      </w:r>
      <w:r w:rsidRPr="5D521198" w:rsidR="06F6F1F4">
        <w:rPr>
          <w:rFonts w:ascii="Aptos" w:hAnsi="Aptos" w:eastAsia="Aptos" w:cs="Aptos"/>
          <w:sz w:val="24"/>
          <w:szCs w:val="24"/>
        </w:rPr>
        <w:t xml:space="preserve"> as they are manufactured and </w:t>
      </w:r>
      <w:r w:rsidRPr="5D521198" w:rsidR="06F6F1F4">
        <w:rPr>
          <w:rFonts w:ascii="Aptos" w:hAnsi="Aptos" w:eastAsia="Aptos" w:cs="Aptos"/>
          <w:sz w:val="24"/>
          <w:szCs w:val="24"/>
        </w:rPr>
        <w:t>do not</w:t>
      </w:r>
      <w:r w:rsidRPr="5D521198" w:rsidR="06F6F1F4">
        <w:rPr>
          <w:rFonts w:ascii="Aptos" w:hAnsi="Aptos" w:eastAsia="Aptos" w:cs="Aptos"/>
          <w:sz w:val="24"/>
          <w:szCs w:val="24"/>
        </w:rPr>
        <w:t xml:space="preserve"> need to be imported. P</w:t>
      </w:r>
      <w:r w:rsidRPr="5D521198" w:rsidR="6DBB24EC">
        <w:rPr>
          <w:rFonts w:ascii="Aptos" w:hAnsi="Aptos" w:eastAsia="Aptos" w:cs="Aptos"/>
          <w:sz w:val="24"/>
          <w:szCs w:val="24"/>
        </w:rPr>
        <w:t xml:space="preserve">oor mental health has been linked to increase drug use leading to a </w:t>
      </w:r>
      <w:r w:rsidRPr="5D521198" w:rsidR="39DD396E">
        <w:rPr>
          <w:rFonts w:ascii="Aptos" w:hAnsi="Aptos" w:eastAsia="Aptos" w:cs="Aptos"/>
          <w:sz w:val="24"/>
          <w:szCs w:val="24"/>
        </w:rPr>
        <w:t>drug misuse epidemic</w:t>
      </w:r>
      <w:r w:rsidRPr="5D521198" w:rsidR="66C9A959">
        <w:rPr>
          <w:rFonts w:ascii="Aptos" w:hAnsi="Aptos" w:eastAsia="Aptos" w:cs="Aptos"/>
          <w:sz w:val="24"/>
          <w:szCs w:val="24"/>
        </w:rPr>
        <w:t xml:space="preserve"> (Eastwood and </w:t>
      </w:r>
      <w:r w:rsidRPr="5D521198" w:rsidR="66C9A959">
        <w:rPr>
          <w:rFonts w:ascii="Aptos" w:hAnsi="Aptos" w:eastAsia="Aptos" w:cs="Aptos"/>
          <w:sz w:val="24"/>
          <w:szCs w:val="24"/>
        </w:rPr>
        <w:t>Schlossenbu</w:t>
      </w:r>
      <w:r w:rsidRPr="5D521198" w:rsidR="51138C9F">
        <w:rPr>
          <w:rFonts w:ascii="Aptos" w:hAnsi="Aptos" w:eastAsia="Aptos" w:cs="Aptos"/>
          <w:sz w:val="24"/>
          <w:szCs w:val="24"/>
        </w:rPr>
        <w:t>rg</w:t>
      </w:r>
      <w:r w:rsidRPr="5D521198" w:rsidR="51138C9F">
        <w:rPr>
          <w:rFonts w:ascii="Aptos" w:hAnsi="Aptos" w:eastAsia="Aptos" w:cs="Aptos"/>
          <w:sz w:val="24"/>
          <w:szCs w:val="24"/>
        </w:rPr>
        <w:t>, 2023)</w:t>
      </w:r>
      <w:r w:rsidRPr="5D521198" w:rsidR="39DD396E">
        <w:rPr>
          <w:rFonts w:ascii="Aptos" w:hAnsi="Aptos" w:eastAsia="Aptos" w:cs="Aptos"/>
          <w:sz w:val="24"/>
          <w:szCs w:val="24"/>
        </w:rPr>
        <w:t>.</w:t>
      </w:r>
    </w:p>
    <w:p xmlns:wp14="http://schemas.microsoft.com/office/word/2010/wordml" w:rsidP="66A793DF" wp14:paraId="417E7BF1" wp14:textId="368D9487">
      <w:pPr>
        <w:spacing w:before="240" w:beforeAutospacing="off" w:after="240" w:afterAutospacing="off"/>
      </w:pPr>
      <w:r w:rsidRPr="5D521198" w:rsidR="39DD396E">
        <w:rPr>
          <w:rFonts w:ascii="Aptos" w:hAnsi="Aptos" w:eastAsia="Aptos" w:cs="Aptos"/>
          <w:sz w:val="24"/>
          <w:szCs w:val="24"/>
        </w:rPr>
        <w:t>Health interventions</w:t>
      </w:r>
    </w:p>
    <w:p xmlns:wp14="http://schemas.microsoft.com/office/word/2010/wordml" w:rsidP="66A793DF" wp14:paraId="6A39BE72" wp14:textId="21E8B769">
      <w:pPr>
        <w:spacing w:before="240" w:beforeAutospacing="off" w:after="240" w:afterAutospacing="off"/>
      </w:pPr>
      <w:r w:rsidRPr="5D521198" w:rsidR="39DD396E">
        <w:rPr>
          <w:rFonts w:ascii="Aptos" w:hAnsi="Aptos" w:eastAsia="Aptos" w:cs="Aptos"/>
          <w:sz w:val="24"/>
          <w:szCs w:val="24"/>
        </w:rPr>
        <w:t>Recogni</w:t>
      </w:r>
      <w:r w:rsidRPr="5D521198" w:rsidR="7B711E3C">
        <w:rPr>
          <w:rFonts w:ascii="Aptos" w:hAnsi="Aptos" w:eastAsia="Aptos" w:cs="Aptos"/>
          <w:sz w:val="24"/>
          <w:szCs w:val="24"/>
        </w:rPr>
        <w:t>s</w:t>
      </w:r>
      <w:r w:rsidRPr="5D521198" w:rsidR="39DD396E">
        <w:rPr>
          <w:rFonts w:ascii="Aptos" w:hAnsi="Aptos" w:eastAsia="Aptos" w:cs="Aptos"/>
          <w:sz w:val="24"/>
          <w:szCs w:val="24"/>
        </w:rPr>
        <w:t xml:space="preserve">ing the severity of the problem, the Government has </w:t>
      </w:r>
      <w:r w:rsidRPr="5D521198" w:rsidR="39DD396E">
        <w:rPr>
          <w:rFonts w:ascii="Aptos" w:hAnsi="Aptos" w:eastAsia="Aptos" w:cs="Aptos"/>
          <w:sz w:val="24"/>
          <w:szCs w:val="24"/>
        </w:rPr>
        <w:t>initiated</w:t>
      </w:r>
      <w:r w:rsidRPr="5D521198" w:rsidR="39DD396E">
        <w:rPr>
          <w:rFonts w:ascii="Aptos" w:hAnsi="Aptos" w:eastAsia="Aptos" w:cs="Aptos"/>
          <w:sz w:val="24"/>
          <w:szCs w:val="24"/>
        </w:rPr>
        <w:t xml:space="preserve"> various health interventions to tackle drug misuse. One of the most successful initiatives is the needle exchange program. Participants in needle exchange programs can exchange used needles for new ones in a safe and confidential environment. The most significant public health risk associated with injecting drug use </w:t>
      </w:r>
      <w:r w:rsidRPr="5D521198" w:rsidR="39DD396E">
        <w:rPr>
          <w:rFonts w:ascii="Aptos" w:hAnsi="Aptos" w:eastAsia="Aptos" w:cs="Aptos"/>
          <w:sz w:val="24"/>
          <w:szCs w:val="24"/>
        </w:rPr>
        <w:t>remains</w:t>
      </w:r>
      <w:r w:rsidRPr="5D521198" w:rsidR="39DD396E">
        <w:rPr>
          <w:rFonts w:ascii="Aptos" w:hAnsi="Aptos" w:eastAsia="Aptos" w:cs="Aptos"/>
          <w:sz w:val="24"/>
          <w:szCs w:val="24"/>
        </w:rPr>
        <w:t xml:space="preserve"> the transmission of blood-borne viral infections HIV, hepatitis B, and hepatitis C, through the sharing of needles, </w:t>
      </w:r>
      <w:r w:rsidRPr="5D521198" w:rsidR="11AC40DD">
        <w:rPr>
          <w:rFonts w:ascii="Aptos" w:hAnsi="Aptos" w:eastAsia="Aptos" w:cs="Aptos"/>
          <w:sz w:val="24"/>
          <w:szCs w:val="24"/>
        </w:rPr>
        <w:t>syringes,</w:t>
      </w:r>
      <w:r w:rsidRPr="5D521198" w:rsidR="39DD396E">
        <w:rPr>
          <w:rFonts w:ascii="Aptos" w:hAnsi="Aptos" w:eastAsia="Aptos" w:cs="Aptos"/>
          <w:sz w:val="24"/>
          <w:szCs w:val="24"/>
        </w:rPr>
        <w:t xml:space="preserve"> and other injecting equipment. Drug users are encouraged to </w:t>
      </w:r>
      <w:r w:rsidRPr="5D521198" w:rsidR="39DD396E">
        <w:rPr>
          <w:rFonts w:ascii="Aptos" w:hAnsi="Aptos" w:eastAsia="Aptos" w:cs="Aptos"/>
          <w:sz w:val="24"/>
          <w:szCs w:val="24"/>
        </w:rPr>
        <w:t>participate</w:t>
      </w:r>
      <w:r w:rsidRPr="5D521198" w:rsidR="39DD396E">
        <w:rPr>
          <w:rFonts w:ascii="Aptos" w:hAnsi="Aptos" w:eastAsia="Aptos" w:cs="Aptos"/>
          <w:sz w:val="24"/>
          <w:szCs w:val="24"/>
        </w:rPr>
        <w:t xml:space="preserve"> in this intervention to prevent the spread of blood-borne illnesses (Welsh Government, 2011). Public Health Wales (2023) explains needle exchange programs do not just offer these services, but also strive to reduce harm by providing advice, information, and referrals to other services, including sexual health clinics, and </w:t>
      </w:r>
      <w:r w:rsidRPr="5D521198" w:rsidR="67575D1D">
        <w:rPr>
          <w:rFonts w:ascii="Aptos" w:hAnsi="Aptos" w:eastAsia="Aptos" w:cs="Aptos"/>
          <w:sz w:val="24"/>
          <w:szCs w:val="24"/>
        </w:rPr>
        <w:t>counselling</w:t>
      </w:r>
      <w:r w:rsidRPr="5D521198" w:rsidR="14048694">
        <w:rPr>
          <w:rFonts w:ascii="Aptos" w:hAnsi="Aptos" w:eastAsia="Aptos" w:cs="Aptos"/>
          <w:sz w:val="24"/>
          <w:szCs w:val="24"/>
        </w:rPr>
        <w:t xml:space="preserve">. </w:t>
      </w:r>
      <w:r w:rsidRPr="5D521198" w:rsidR="39DD396E">
        <w:rPr>
          <w:rFonts w:ascii="Aptos" w:hAnsi="Aptos" w:eastAsia="Aptos" w:cs="Aptos"/>
          <w:sz w:val="24"/>
          <w:szCs w:val="24"/>
        </w:rPr>
        <w:t xml:space="preserve">Additionally, the service encourages drug users to consider alternative methods of drug use, </w:t>
      </w:r>
      <w:r w:rsidRPr="5D521198" w:rsidR="030CEF98">
        <w:rPr>
          <w:rFonts w:ascii="Aptos" w:hAnsi="Aptos" w:eastAsia="Aptos" w:cs="Aptos"/>
          <w:sz w:val="24"/>
          <w:szCs w:val="24"/>
        </w:rPr>
        <w:t>to</w:t>
      </w:r>
      <w:r w:rsidRPr="5D521198" w:rsidR="39DD396E">
        <w:rPr>
          <w:rFonts w:ascii="Aptos" w:hAnsi="Aptos" w:eastAsia="Aptos" w:cs="Aptos"/>
          <w:sz w:val="24"/>
          <w:szCs w:val="24"/>
        </w:rPr>
        <w:t xml:space="preserve"> avoid the risks associated with injecting drugs.</w:t>
      </w:r>
    </w:p>
    <w:p xmlns:wp14="http://schemas.microsoft.com/office/word/2010/wordml" w:rsidP="66A793DF" wp14:paraId="2147D832" wp14:textId="06242A6E">
      <w:pPr>
        <w:spacing w:before="240" w:beforeAutospacing="off" w:after="240" w:afterAutospacing="off"/>
      </w:pPr>
      <w:r w:rsidRPr="5D521198" w:rsidR="39DD396E">
        <w:rPr>
          <w:rFonts w:ascii="Aptos" w:hAnsi="Aptos" w:eastAsia="Aptos" w:cs="Aptos"/>
          <w:sz w:val="24"/>
          <w:szCs w:val="24"/>
        </w:rPr>
        <w:t xml:space="preserve">Public Health Wales (2022) advises there was a 27 percent decrease in the number of needle exchange services attendees in 2021-22 compared to 2019-20. The number of syringes distributed in Welsh services in 2021-22 was 1,751,650, </w:t>
      </w:r>
      <w:r w:rsidRPr="5D521198" w:rsidR="39DD396E">
        <w:rPr>
          <w:rFonts w:ascii="Aptos" w:hAnsi="Aptos" w:eastAsia="Aptos" w:cs="Aptos"/>
          <w:sz w:val="24"/>
          <w:szCs w:val="24"/>
        </w:rPr>
        <w:t>representing</w:t>
      </w:r>
      <w:r w:rsidRPr="5D521198" w:rsidR="39DD396E">
        <w:rPr>
          <w:rFonts w:ascii="Aptos" w:hAnsi="Aptos" w:eastAsia="Aptos" w:cs="Aptos"/>
          <w:sz w:val="24"/>
          <w:szCs w:val="24"/>
        </w:rPr>
        <w:t xml:space="preserve"> a decrease of 8 percent over the previous year and the lowest number since the introduction of pharmacy services in 2014-15. Following the disruption of services during the pandemic, the </w:t>
      </w:r>
      <w:r w:rsidRPr="5D521198" w:rsidR="39DD396E">
        <w:rPr>
          <w:rFonts w:ascii="Aptos" w:hAnsi="Aptos" w:eastAsia="Aptos" w:cs="Aptos"/>
          <w:sz w:val="24"/>
          <w:szCs w:val="24"/>
        </w:rPr>
        <w:t>initial</w:t>
      </w:r>
      <w:r w:rsidRPr="5D521198" w:rsidR="39DD396E">
        <w:rPr>
          <w:rFonts w:ascii="Aptos" w:hAnsi="Aptos" w:eastAsia="Aptos" w:cs="Aptos"/>
          <w:sz w:val="24"/>
          <w:szCs w:val="24"/>
        </w:rPr>
        <w:t xml:space="preserve"> decline has not been offset by an increase or return to </w:t>
      </w:r>
      <w:r w:rsidRPr="5D521198" w:rsidR="39DD396E">
        <w:rPr>
          <w:rFonts w:ascii="Aptos" w:hAnsi="Aptos" w:eastAsia="Aptos" w:cs="Aptos"/>
          <w:sz w:val="24"/>
          <w:szCs w:val="24"/>
        </w:rPr>
        <w:t>previous</w:t>
      </w:r>
      <w:r w:rsidRPr="5D521198" w:rsidR="39DD396E">
        <w:rPr>
          <w:rFonts w:ascii="Aptos" w:hAnsi="Aptos" w:eastAsia="Aptos" w:cs="Aptos"/>
          <w:sz w:val="24"/>
          <w:szCs w:val="24"/>
        </w:rPr>
        <w:t xml:space="preserve"> levels. It was reported that 33% of people shared indirect injecting equipment such as spoons, </w:t>
      </w:r>
      <w:r w:rsidRPr="5D521198" w:rsidR="2583733B">
        <w:rPr>
          <w:rFonts w:ascii="Aptos" w:hAnsi="Aptos" w:eastAsia="Aptos" w:cs="Aptos"/>
          <w:sz w:val="24"/>
          <w:szCs w:val="24"/>
        </w:rPr>
        <w:t>filters,</w:t>
      </w:r>
      <w:r w:rsidRPr="5D521198" w:rsidR="39DD396E">
        <w:rPr>
          <w:rFonts w:ascii="Aptos" w:hAnsi="Aptos" w:eastAsia="Aptos" w:cs="Aptos"/>
          <w:sz w:val="24"/>
          <w:szCs w:val="24"/>
        </w:rPr>
        <w:t xml:space="preserve"> and water. 27% shared direct injecting equipment (needles and syringes) in 2021-22, an increase of 1 percent over the past five years. The importance of needle exchange programs is </w:t>
      </w:r>
      <w:r w:rsidRPr="5D521198" w:rsidR="39DD396E">
        <w:rPr>
          <w:rFonts w:ascii="Aptos" w:hAnsi="Aptos" w:eastAsia="Aptos" w:cs="Aptos"/>
          <w:sz w:val="24"/>
          <w:szCs w:val="24"/>
        </w:rPr>
        <w:t>evident</w:t>
      </w:r>
      <w:r w:rsidRPr="5D521198" w:rsidR="39DD396E">
        <w:rPr>
          <w:rFonts w:ascii="Aptos" w:hAnsi="Aptos" w:eastAsia="Aptos" w:cs="Aptos"/>
          <w:sz w:val="24"/>
          <w:szCs w:val="24"/>
        </w:rPr>
        <w:t xml:space="preserve"> from this rise. The stigma associated with heroin use is one of the implications of needle exchange services. In their study, </w:t>
      </w:r>
      <w:r w:rsidRPr="5D521198" w:rsidR="39DD396E">
        <w:rPr>
          <w:rFonts w:ascii="Aptos" w:hAnsi="Aptos" w:eastAsia="Aptos" w:cs="Aptos"/>
          <w:sz w:val="24"/>
          <w:szCs w:val="24"/>
        </w:rPr>
        <w:t>Sumnall</w:t>
      </w:r>
      <w:r w:rsidRPr="5D521198" w:rsidR="39DD396E">
        <w:rPr>
          <w:rFonts w:ascii="Aptos" w:hAnsi="Aptos" w:eastAsia="Aptos" w:cs="Aptos"/>
          <w:sz w:val="24"/>
          <w:szCs w:val="24"/>
        </w:rPr>
        <w:t xml:space="preserve"> et al. (2021) conclude that stigma reduction poses a major public health challenge since certain types of substance abuse are associated with substantial morbidity and mortality (National harm reduction coalition, 2020). Extreme stereotypes may lead to the dehumanization of the target community. In addition, needle exchange programs may also be viewed as encouraging or </w:t>
      </w:r>
      <w:r w:rsidRPr="5D521198" w:rsidR="39DD396E">
        <w:rPr>
          <w:rFonts w:ascii="Aptos" w:hAnsi="Aptos" w:eastAsia="Aptos" w:cs="Aptos"/>
          <w:sz w:val="24"/>
          <w:szCs w:val="24"/>
        </w:rPr>
        <w:t>facilitating</w:t>
      </w:r>
      <w:r w:rsidRPr="5D521198" w:rsidR="39DD396E">
        <w:rPr>
          <w:rFonts w:ascii="Aptos" w:hAnsi="Aptos" w:eastAsia="Aptos" w:cs="Aptos"/>
          <w:sz w:val="24"/>
          <w:szCs w:val="24"/>
        </w:rPr>
        <w:t xml:space="preserve"> drug use (Clarke et al, 2016).</w:t>
      </w:r>
    </w:p>
    <w:p xmlns:wp14="http://schemas.microsoft.com/office/word/2010/wordml" w:rsidP="66A793DF" wp14:paraId="3989B642" wp14:textId="0F167E78">
      <w:pPr>
        <w:spacing w:before="240" w:beforeAutospacing="off" w:after="240" w:afterAutospacing="off"/>
      </w:pPr>
      <w:r w:rsidRPr="5D521198" w:rsidR="39DD396E">
        <w:rPr>
          <w:rFonts w:ascii="Aptos" w:hAnsi="Aptos" w:eastAsia="Aptos" w:cs="Aptos"/>
          <w:sz w:val="24"/>
          <w:szCs w:val="24"/>
        </w:rPr>
        <w:t xml:space="preserve">In addition to the needle exchange program, the Health Board has implemented a take-home Naloxone program. Naloxone is an opioid overdose reversal drug that can save lives when administered promptly. This program trains individuals who use drugs or know someone who does to administer naloxone in case of an overdose. By equipping individuals with this life-saving medication, the take-home naloxone program aims to reduce overdose deaths and improve drug users' overall health outcomes. In 2021, Naloxone was used in 288 overdose events in Wales, with only 3 deaths reported (Public health Wales, 2022). A study conducted by </w:t>
      </w:r>
      <w:r w:rsidRPr="5D521198" w:rsidR="7C582431">
        <w:rPr>
          <w:rFonts w:ascii="Aptos" w:hAnsi="Aptos" w:eastAsia="Aptos" w:cs="Aptos"/>
          <w:sz w:val="24"/>
          <w:szCs w:val="24"/>
        </w:rPr>
        <w:t>Spring</w:t>
      </w:r>
      <w:r w:rsidRPr="5D521198" w:rsidR="630B2367">
        <w:rPr>
          <w:rFonts w:ascii="Aptos" w:hAnsi="Aptos" w:eastAsia="Aptos" w:cs="Aptos"/>
          <w:sz w:val="24"/>
          <w:szCs w:val="24"/>
        </w:rPr>
        <w:t xml:space="preserve">, </w:t>
      </w:r>
      <w:r w:rsidRPr="5D521198" w:rsidR="39DD396E">
        <w:rPr>
          <w:rFonts w:ascii="Aptos" w:hAnsi="Aptos" w:eastAsia="Aptos" w:cs="Aptos"/>
          <w:sz w:val="24"/>
          <w:szCs w:val="24"/>
        </w:rPr>
        <w:t>et</w:t>
      </w:r>
      <w:r w:rsidRPr="5D521198" w:rsidR="39DD396E">
        <w:rPr>
          <w:rFonts w:ascii="Aptos" w:hAnsi="Aptos" w:eastAsia="Aptos" w:cs="Aptos"/>
          <w:i w:val="1"/>
          <w:iCs w:val="1"/>
          <w:sz w:val="24"/>
          <w:szCs w:val="24"/>
        </w:rPr>
        <w:t xml:space="preserve"> al.</w:t>
      </w:r>
      <w:r w:rsidRPr="5D521198" w:rsidR="39DD396E">
        <w:rPr>
          <w:rFonts w:ascii="Aptos" w:hAnsi="Aptos" w:eastAsia="Aptos" w:cs="Aptos"/>
          <w:sz w:val="24"/>
          <w:szCs w:val="24"/>
        </w:rPr>
        <w:t xml:space="preserve"> (2022) found that Naloxone is available to </w:t>
      </w:r>
      <w:r w:rsidRPr="5D521198" w:rsidR="755ECBD8">
        <w:rPr>
          <w:rFonts w:ascii="Aptos" w:hAnsi="Aptos" w:eastAsia="Aptos" w:cs="Aptos"/>
          <w:sz w:val="24"/>
          <w:szCs w:val="24"/>
        </w:rPr>
        <w:t>all</w:t>
      </w:r>
      <w:r w:rsidRPr="5D521198" w:rsidR="39DD396E">
        <w:rPr>
          <w:rFonts w:ascii="Aptos" w:hAnsi="Aptos" w:eastAsia="Aptos" w:cs="Aptos"/>
          <w:sz w:val="24"/>
          <w:szCs w:val="24"/>
        </w:rPr>
        <w:t xml:space="preserve"> drug users receiving treatment in the United Kingdom. Recent contact with drug treatment professionals and needle exchange programs </w:t>
      </w:r>
      <w:r w:rsidRPr="5D521198" w:rsidR="0A19091F">
        <w:rPr>
          <w:rFonts w:ascii="Aptos" w:hAnsi="Aptos" w:eastAsia="Aptos" w:cs="Aptos"/>
          <w:sz w:val="24"/>
          <w:szCs w:val="24"/>
        </w:rPr>
        <w:t>contributes</w:t>
      </w:r>
      <w:r w:rsidRPr="5D521198" w:rsidR="39DD396E">
        <w:rPr>
          <w:rFonts w:ascii="Aptos" w:hAnsi="Aptos" w:eastAsia="Aptos" w:cs="Aptos"/>
          <w:sz w:val="24"/>
          <w:szCs w:val="24"/>
        </w:rPr>
        <w:t xml:space="preserve"> to this. However, not all drug users receive treatment, so not all have access to naloxone. Additionally, not all drug users are aware of naloxone or have access to needle exchange programs</w:t>
      </w:r>
      <w:r w:rsidRPr="5D521198" w:rsidR="768DF4A6">
        <w:rPr>
          <w:rFonts w:ascii="Aptos" w:hAnsi="Aptos" w:eastAsia="Aptos" w:cs="Aptos"/>
          <w:sz w:val="24"/>
          <w:szCs w:val="24"/>
        </w:rPr>
        <w:t xml:space="preserve"> (Sampson et al, 2024)</w:t>
      </w:r>
      <w:r w:rsidRPr="5D521198" w:rsidR="39DD396E">
        <w:rPr>
          <w:rFonts w:ascii="Aptos" w:hAnsi="Aptos" w:eastAsia="Aptos" w:cs="Aptos"/>
          <w:sz w:val="24"/>
          <w:szCs w:val="24"/>
        </w:rPr>
        <w:t>. This means that naloxone may not be available to some drug users who need it most.</w:t>
      </w:r>
    </w:p>
    <w:p xmlns:wp14="http://schemas.microsoft.com/office/word/2010/wordml" w:rsidP="66A793DF" wp14:paraId="1D3B9B0A" wp14:textId="797EFFF1">
      <w:pPr>
        <w:spacing w:before="240" w:beforeAutospacing="off" w:after="240" w:afterAutospacing="off"/>
      </w:pPr>
      <w:r w:rsidRPr="5D521198" w:rsidR="39DD396E">
        <w:rPr>
          <w:rFonts w:ascii="Aptos" w:hAnsi="Aptos" w:eastAsia="Aptos" w:cs="Aptos"/>
          <w:sz w:val="24"/>
          <w:szCs w:val="24"/>
        </w:rPr>
        <w:t>Impact of Health Interventions</w:t>
      </w:r>
    </w:p>
    <w:p xmlns:wp14="http://schemas.microsoft.com/office/word/2010/wordml" w:rsidP="5D521198" wp14:paraId="117EF136" wp14:textId="363C3A6D">
      <w:pPr>
        <w:spacing w:before="240" w:beforeAutospacing="off" w:after="240" w:afterAutospacing="off"/>
        <w:jc w:val="left"/>
      </w:pPr>
      <w:r w:rsidRPr="5D521198" w:rsidR="39DD396E">
        <w:rPr>
          <w:rFonts w:ascii="Aptos" w:hAnsi="Aptos" w:eastAsia="Aptos" w:cs="Aptos"/>
          <w:sz w:val="24"/>
          <w:szCs w:val="24"/>
        </w:rPr>
        <w:t xml:space="preserve">The implementation of health interventions, such as the needle exchange program and the take-home naloxone program, has had a significant impact on the health and well-being of drug users, their families and wider </w:t>
      </w:r>
      <w:r w:rsidRPr="5D521198" w:rsidR="5F6B946E">
        <w:rPr>
          <w:rFonts w:ascii="Aptos" w:hAnsi="Aptos" w:eastAsia="Aptos" w:cs="Aptos"/>
          <w:sz w:val="24"/>
          <w:szCs w:val="24"/>
        </w:rPr>
        <w:t>society (Harm Reduction, 2022)</w:t>
      </w:r>
      <w:r w:rsidRPr="5D521198" w:rsidR="39DD396E">
        <w:rPr>
          <w:rFonts w:ascii="Aptos" w:hAnsi="Aptos" w:eastAsia="Aptos" w:cs="Aptos"/>
          <w:sz w:val="24"/>
          <w:szCs w:val="24"/>
        </w:rPr>
        <w:t xml:space="preserve">. These initiatives have been recognized as effective harm reduction strategies, contributing to a reduction in blood-borne diseases, overdose deaths, and drug-related health </w:t>
      </w:r>
      <w:r w:rsidRPr="5D521198" w:rsidR="01CE5C94">
        <w:rPr>
          <w:rFonts w:ascii="Aptos" w:hAnsi="Aptos" w:eastAsia="Aptos" w:cs="Aptos"/>
          <w:sz w:val="24"/>
          <w:szCs w:val="24"/>
        </w:rPr>
        <w:t>issues (Recovery, 2024</w:t>
      </w:r>
      <w:r w:rsidRPr="5D521198" w:rsidR="39DD396E">
        <w:rPr>
          <w:rFonts w:ascii="Aptos" w:hAnsi="Aptos" w:eastAsia="Aptos" w:cs="Aptos"/>
          <w:sz w:val="24"/>
          <w:szCs w:val="24"/>
        </w:rPr>
        <w:t xml:space="preserve">). To increase awareness and access to naloxone for drug users, it is crucial to implement comprehensive education campaigns targeting both drug users and the </w:t>
      </w:r>
      <w:r w:rsidRPr="5D521198" w:rsidR="39DD396E">
        <w:rPr>
          <w:rFonts w:ascii="Aptos" w:hAnsi="Aptos" w:eastAsia="Aptos" w:cs="Aptos"/>
          <w:sz w:val="24"/>
          <w:szCs w:val="24"/>
        </w:rPr>
        <w:t>public</w:t>
      </w:r>
      <w:r w:rsidRPr="5D521198" w:rsidR="39DD396E">
        <w:rPr>
          <w:rFonts w:ascii="Aptos" w:hAnsi="Aptos" w:eastAsia="Aptos" w:cs="Aptos"/>
          <w:sz w:val="24"/>
          <w:szCs w:val="24"/>
        </w:rPr>
        <w:t>. These campaigns should focus on raising awareness about naloxone's life-saving potential, its availability through needle exchange programs, and the importance of seeking help for substance abuse</w:t>
      </w:r>
      <w:r w:rsidRPr="5D521198" w:rsidR="1C921791">
        <w:rPr>
          <w:rFonts w:ascii="Aptos" w:hAnsi="Aptos" w:eastAsia="Aptos" w:cs="Aptos"/>
          <w:sz w:val="24"/>
          <w:szCs w:val="24"/>
        </w:rPr>
        <w:t xml:space="preserve"> (</w:t>
      </w:r>
      <w:r w:rsidRPr="5D521198" w:rsidR="1C921791">
        <w:rPr>
          <w:rFonts w:ascii="Aptos" w:hAnsi="Aptos" w:eastAsia="Aptos" w:cs="Aptos"/>
          <w:sz w:val="24"/>
          <w:szCs w:val="24"/>
        </w:rPr>
        <w:t>Bayba</w:t>
      </w:r>
      <w:r w:rsidRPr="5D521198" w:rsidR="1C921791">
        <w:rPr>
          <w:rFonts w:ascii="Aptos" w:hAnsi="Aptos" w:eastAsia="Aptos" w:cs="Aptos"/>
          <w:sz w:val="24"/>
          <w:szCs w:val="24"/>
        </w:rPr>
        <w:t>, 2024)</w:t>
      </w:r>
      <w:r w:rsidRPr="5D521198" w:rsidR="39DD396E">
        <w:rPr>
          <w:rFonts w:ascii="Aptos" w:hAnsi="Aptos" w:eastAsia="Aptos" w:cs="Aptos"/>
          <w:sz w:val="24"/>
          <w:szCs w:val="24"/>
        </w:rPr>
        <w:t xml:space="preserve">. Additionally, it is essential to expand the reach of needle exchange programs and </w:t>
      </w:r>
      <w:r w:rsidRPr="5D521198" w:rsidR="39DD396E">
        <w:rPr>
          <w:rFonts w:ascii="Aptos" w:hAnsi="Aptos" w:eastAsia="Aptos" w:cs="Aptos"/>
          <w:sz w:val="24"/>
          <w:szCs w:val="24"/>
        </w:rPr>
        <w:t>establish</w:t>
      </w:r>
      <w:r w:rsidRPr="5D521198" w:rsidR="39DD396E">
        <w:rPr>
          <w:rFonts w:ascii="Aptos" w:hAnsi="Aptos" w:eastAsia="Aptos" w:cs="Aptos"/>
          <w:sz w:val="24"/>
          <w:szCs w:val="24"/>
        </w:rPr>
        <w:t xml:space="preserve"> partnerships with community organizations to ensure that naloxone is readily accessible to all drug users, regardless of their engagement with treatment services.</w:t>
      </w:r>
    </w:p>
    <w:p xmlns:wp14="http://schemas.microsoft.com/office/word/2010/wordml" w:rsidP="66A793DF" wp14:paraId="7EB2521D" wp14:textId="60F376BD">
      <w:pPr>
        <w:spacing w:before="240" w:beforeAutospacing="off" w:after="240" w:afterAutospacing="off"/>
      </w:pPr>
      <w:r w:rsidRPr="5D521198" w:rsidR="39DD396E">
        <w:rPr>
          <w:rFonts w:ascii="Aptos" w:hAnsi="Aptos" w:eastAsia="Aptos" w:cs="Aptos"/>
          <w:sz w:val="24"/>
          <w:szCs w:val="24"/>
        </w:rPr>
        <w:t>Conclusion</w:t>
      </w:r>
    </w:p>
    <w:p xmlns:wp14="http://schemas.microsoft.com/office/word/2010/wordml" w:rsidP="66A793DF" wp14:paraId="339A7811" wp14:textId="5398A10B">
      <w:pPr>
        <w:spacing w:before="240" w:beforeAutospacing="off" w:after="240" w:afterAutospacing="off"/>
        <w:rPr>
          <w:rFonts w:ascii="Aptos" w:hAnsi="Aptos" w:eastAsia="Aptos" w:cs="Aptos"/>
          <w:noProof w:val="0"/>
          <w:sz w:val="24"/>
          <w:szCs w:val="24"/>
          <w:lang w:val="en-US"/>
        </w:rPr>
      </w:pPr>
      <w:r w:rsidRPr="5D521198" w:rsidR="39DD396E">
        <w:rPr>
          <w:rFonts w:ascii="Aptos" w:hAnsi="Aptos" w:eastAsia="Aptos" w:cs="Aptos"/>
          <w:sz w:val="24"/>
          <w:szCs w:val="24"/>
        </w:rPr>
        <w:t xml:space="preserve">In conclusion, drug misuse in Wales, the United Kingdom and the world is a continuing problem that affects individuals, families, communities, and overstretched services. </w:t>
      </w:r>
      <w:r w:rsidRPr="5D521198" w:rsidR="39DD396E">
        <w:rPr>
          <w:rFonts w:ascii="Aptos" w:hAnsi="Aptos" w:eastAsia="Aptos" w:cs="Aptos"/>
          <w:sz w:val="24"/>
          <w:szCs w:val="24"/>
        </w:rPr>
        <w:t>The prevalence of drug misuse highlights the need for effective health interventions.</w:t>
      </w:r>
      <w:r w:rsidRPr="5D521198" w:rsidR="39DD396E">
        <w:rPr>
          <w:rFonts w:ascii="Aptos" w:hAnsi="Aptos" w:eastAsia="Aptos" w:cs="Aptos"/>
          <w:sz w:val="24"/>
          <w:szCs w:val="24"/>
        </w:rPr>
        <w:t xml:space="preserve"> The needle exchange program and the take-home naloxone program are two critical initiatives implemented by the Health Board to mitigate drug misuse and promote a healthier and safer environment for drug users. </w:t>
      </w:r>
      <w:r w:rsidRPr="5D521198" w:rsidR="1449C581">
        <w:rPr>
          <w:rFonts w:ascii="Aptos" w:hAnsi="Aptos" w:eastAsia="Aptos" w:cs="Aptos"/>
          <w:sz w:val="24"/>
          <w:szCs w:val="24"/>
        </w:rPr>
        <w:t xml:space="preserve">By implementing these interventions, the government is playing a crucial role in reducing drug-related harm and improving the health and well-being of drug users, their friends, </w:t>
      </w:r>
      <w:r w:rsidRPr="5D521198" w:rsidR="1449C581">
        <w:rPr>
          <w:rFonts w:ascii="Aptos" w:hAnsi="Aptos" w:eastAsia="Aptos" w:cs="Aptos"/>
          <w:sz w:val="24"/>
          <w:szCs w:val="24"/>
        </w:rPr>
        <w:t>families,</w:t>
      </w:r>
      <w:r w:rsidRPr="5D521198" w:rsidR="1449C581">
        <w:rPr>
          <w:rFonts w:ascii="Aptos" w:hAnsi="Aptos" w:eastAsia="Aptos" w:cs="Aptos"/>
          <w:sz w:val="24"/>
          <w:szCs w:val="24"/>
        </w:rPr>
        <w:t xml:space="preserve"> and society.</w:t>
      </w:r>
    </w:p>
    <w:p w:rsidR="0A6E94E0" w:rsidRDefault="0A6E94E0" w14:paraId="44F2AE9E" w14:textId="430E55A0">
      <w:r>
        <w:br w:type="page"/>
      </w:r>
    </w:p>
    <w:p xmlns:wp14="http://schemas.microsoft.com/office/word/2010/wordml" w:rsidP="66A793DF" wp14:paraId="2C078E63" wp14:textId="478038A0">
      <w:pPr>
        <w:pStyle w:val="Normal"/>
      </w:pPr>
      <w:r w:rsidR="16091B42">
        <w:rPr/>
        <w:t>References</w:t>
      </w:r>
      <w:r w:rsidR="16091B42">
        <w:rPr/>
        <w:t xml:space="preserve">. </w:t>
      </w:r>
    </w:p>
    <w:p w:rsidR="16091B42" w:rsidP="5D521198" w:rsidRDefault="16091B42" w14:paraId="6E602CC7" w14:textId="72E07887">
      <w:pPr>
        <w:spacing w:before="0" w:beforeAutospacing="off" w:after="160" w:afterAutospacing="off" w:line="279" w:lineRule="auto"/>
        <w:ind w:right="0"/>
        <w:jc w:val="left"/>
        <w:rPr>
          <w:rFonts w:ascii="Aptos" w:hAnsi="Aptos" w:eastAsia="Aptos" w:cs="Aptos"/>
          <w:noProof w:val="0"/>
          <w:sz w:val="24"/>
          <w:szCs w:val="24"/>
          <w:lang w:val="en-GB"/>
        </w:rPr>
      </w:pPr>
      <w:r w:rsidRPr="5D521198" w:rsidR="64E1D0C6">
        <w:rPr>
          <w:rFonts w:ascii="Aptos" w:hAnsi="Aptos" w:eastAsia="Aptos" w:cs="Aptos"/>
          <w:b w:val="0"/>
          <w:bCs w:val="0"/>
          <w:i w:val="0"/>
          <w:iCs w:val="0"/>
          <w:caps w:val="0"/>
          <w:smallCaps w:val="0"/>
          <w:noProof w:val="0"/>
          <w:color w:val="000000" w:themeColor="text1" w:themeTint="FF" w:themeShade="FF"/>
          <w:sz w:val="24"/>
          <w:szCs w:val="24"/>
          <w:lang w:val="en-GB"/>
        </w:rPr>
        <w:t>Bayba</w:t>
      </w:r>
      <w:r w:rsidRPr="5D521198" w:rsidR="64E1D0C6">
        <w:rPr>
          <w:rFonts w:ascii="Aptos" w:hAnsi="Aptos" w:eastAsia="Aptos" w:cs="Aptos"/>
          <w:b w:val="0"/>
          <w:bCs w:val="0"/>
          <w:i w:val="0"/>
          <w:iCs w:val="0"/>
          <w:caps w:val="0"/>
          <w:smallCaps w:val="0"/>
          <w:noProof w:val="0"/>
          <w:color w:val="000000" w:themeColor="text1" w:themeTint="FF" w:themeShade="FF"/>
          <w:sz w:val="24"/>
          <w:szCs w:val="24"/>
          <w:lang w:val="en-GB"/>
        </w:rPr>
        <w:t xml:space="preserve">, M., Addiction Group (2024). </w:t>
      </w:r>
      <w:r w:rsidRPr="5D521198" w:rsidR="64E1D0C6">
        <w:rPr>
          <w:rFonts w:ascii="Aptos" w:hAnsi="Aptos" w:eastAsia="Aptos" w:cs="Aptos"/>
          <w:b w:val="0"/>
          <w:bCs w:val="0"/>
          <w:i w:val="1"/>
          <w:iCs w:val="1"/>
          <w:caps w:val="0"/>
          <w:smallCaps w:val="0"/>
          <w:noProof w:val="0"/>
          <w:color w:val="000000" w:themeColor="text1" w:themeTint="FF" w:themeShade="FF"/>
          <w:sz w:val="24"/>
          <w:szCs w:val="24"/>
          <w:lang w:val="en-GB"/>
        </w:rPr>
        <w:t>What are harm reduction strategies? What do they look like?</w:t>
      </w:r>
      <w:r w:rsidRPr="5D521198" w:rsidR="64E1D0C6">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https://www.addictiongroup.org/treatment/therapies/harm-reduction/. (Accessed 3 July 2024)</w:t>
      </w:r>
      <w:r w:rsidRPr="5D521198" w:rsidR="391B662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91B42" w:rsidP="5D521198" w:rsidRDefault="16091B42" w14:paraId="7EBD05B8" w14:textId="6BD0DC4A">
      <w:pPr>
        <w:pStyle w:val="Normal"/>
        <w:spacing w:after="160" w:line="279" w:lineRule="auto"/>
      </w:pPr>
      <w:r w:rsidRPr="5D521198" w:rsidR="16091B42">
        <w:rPr>
          <w:rFonts w:ascii="Aptos" w:hAnsi="Aptos" w:eastAsia="Aptos" w:cs="Aptos"/>
          <w:b w:val="0"/>
          <w:bCs w:val="0"/>
          <w:i w:val="0"/>
          <w:iCs w:val="0"/>
          <w:caps w:val="0"/>
          <w:smallCaps w:val="0"/>
          <w:color w:val="000000" w:themeColor="text1" w:themeTint="FF" w:themeShade="FF"/>
          <w:sz w:val="24"/>
          <w:szCs w:val="24"/>
        </w:rPr>
        <w:t xml:space="preserve">Clarke, K., Harris, D., </w:t>
      </w:r>
      <w:r w:rsidRPr="5D521198" w:rsidR="16091B42">
        <w:rPr>
          <w:rFonts w:ascii="Aptos" w:hAnsi="Aptos" w:eastAsia="Aptos" w:cs="Aptos"/>
          <w:b w:val="0"/>
          <w:bCs w:val="0"/>
          <w:i w:val="0"/>
          <w:iCs w:val="0"/>
          <w:caps w:val="0"/>
          <w:smallCaps w:val="0"/>
          <w:color w:val="000000" w:themeColor="text1" w:themeTint="FF" w:themeShade="FF"/>
          <w:sz w:val="24"/>
          <w:szCs w:val="24"/>
        </w:rPr>
        <w:t>Zweifler</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J., Lasher, M., Mortimer, R., Hughes, S. (2016) </w:t>
      </w:r>
      <w:r w:rsidRPr="5D521198" w:rsidR="16091B42">
        <w:rPr>
          <w:rFonts w:ascii="Aptos" w:hAnsi="Aptos" w:eastAsia="Aptos" w:cs="Aptos"/>
          <w:b w:val="0"/>
          <w:bCs w:val="0"/>
          <w:i w:val="0"/>
          <w:iCs w:val="0"/>
          <w:caps w:val="0"/>
          <w:smallCaps w:val="0"/>
          <w:color w:val="212121"/>
          <w:sz w:val="24"/>
          <w:szCs w:val="24"/>
        </w:rPr>
        <w:t xml:space="preserve">The Significance of Harm Reduction as a Social and Health Care Intervention for Injecting Drug Users, </w:t>
      </w:r>
      <w:r w:rsidRPr="5D521198" w:rsidR="16091B42">
        <w:rPr>
          <w:rFonts w:ascii="Aptos" w:hAnsi="Aptos" w:eastAsia="Aptos" w:cs="Aptos"/>
          <w:b w:val="0"/>
          <w:bCs w:val="0"/>
          <w:i w:val="1"/>
          <w:iCs w:val="1"/>
          <w:caps w:val="0"/>
          <w:smallCaps w:val="0"/>
          <w:color w:val="212121"/>
          <w:sz w:val="24"/>
          <w:szCs w:val="24"/>
        </w:rPr>
        <w:t>Soc Work Public Health</w:t>
      </w:r>
      <w:r w:rsidRPr="5D521198" w:rsidR="16091B42">
        <w:rPr>
          <w:rFonts w:ascii="Aptos" w:hAnsi="Aptos" w:eastAsia="Aptos" w:cs="Aptos"/>
          <w:b w:val="0"/>
          <w:bCs w:val="0"/>
          <w:i w:val="0"/>
          <w:iCs w:val="0"/>
          <w:caps w:val="0"/>
          <w:smallCaps w:val="0"/>
          <w:color w:val="212121"/>
          <w:sz w:val="24"/>
          <w:szCs w:val="24"/>
        </w:rPr>
        <w:t>, 31(5), pp. 398-407</w:t>
      </w:r>
      <w:r w:rsidRPr="5D521198" w:rsidR="16091B42">
        <w:rPr>
          <w:rFonts w:ascii="Aptos" w:hAnsi="Aptos" w:eastAsia="Aptos" w:cs="Aptos"/>
          <w:b w:val="0"/>
          <w:bCs w:val="0"/>
          <w:i w:val="0"/>
          <w:iCs w:val="0"/>
          <w:caps w:val="0"/>
          <w:smallCaps w:val="0"/>
          <w:color w:val="212121"/>
          <w:sz w:val="24"/>
          <w:szCs w:val="24"/>
        </w:rPr>
        <w:t xml:space="preserve">. </w:t>
      </w:r>
    </w:p>
    <w:p w:rsidR="16091B42" w:rsidP="5D521198" w:rsidRDefault="16091B42" w14:paraId="4796C29E" w14:textId="22CD55C2">
      <w:pPr>
        <w:spacing w:after="160" w:line="279" w:lineRule="auto"/>
        <w:rPr>
          <w:rFonts w:ascii="Aptos" w:hAnsi="Aptos" w:eastAsia="Aptos" w:cs="Aptos"/>
          <w:noProof w:val="0"/>
          <w:sz w:val="24"/>
          <w:szCs w:val="24"/>
          <w:lang w:val="en-GB"/>
        </w:rPr>
      </w:pPr>
      <w:r w:rsidRPr="26E7CECC" w:rsidR="2FEBAD11">
        <w:rPr>
          <w:rFonts w:ascii="Aptos" w:hAnsi="Aptos" w:eastAsia="Aptos" w:cs="Aptos"/>
          <w:b w:val="0"/>
          <w:bCs w:val="0"/>
          <w:i w:val="0"/>
          <w:iCs w:val="0"/>
          <w:caps w:val="0"/>
          <w:smallCaps w:val="0"/>
          <w:noProof w:val="0"/>
          <w:color w:val="000000" w:themeColor="text1" w:themeTint="FF" w:themeShade="FF"/>
          <w:sz w:val="24"/>
          <w:szCs w:val="24"/>
          <w:lang w:val="en-GB"/>
        </w:rPr>
        <w:t xml:space="preserve">Eastwood, N., </w:t>
      </w:r>
      <w:r w:rsidRPr="26E7CECC" w:rsidR="2FEBAD11">
        <w:rPr>
          <w:rFonts w:ascii="Aptos" w:hAnsi="Aptos" w:eastAsia="Aptos" w:cs="Aptos"/>
          <w:b w:val="0"/>
          <w:bCs w:val="0"/>
          <w:i w:val="0"/>
          <w:iCs w:val="0"/>
          <w:caps w:val="0"/>
          <w:smallCaps w:val="0"/>
          <w:noProof w:val="0"/>
          <w:color w:val="000000" w:themeColor="text1" w:themeTint="FF" w:themeShade="FF"/>
          <w:sz w:val="24"/>
          <w:szCs w:val="24"/>
          <w:lang w:val="en-GB"/>
        </w:rPr>
        <w:t>Schlossenberg</w:t>
      </w:r>
      <w:r w:rsidRPr="26E7CECC" w:rsidR="2FEBAD11">
        <w:rPr>
          <w:rFonts w:ascii="Aptos" w:hAnsi="Aptos" w:eastAsia="Aptos" w:cs="Aptos"/>
          <w:b w:val="0"/>
          <w:bCs w:val="0"/>
          <w:i w:val="0"/>
          <w:iCs w:val="0"/>
          <w:caps w:val="0"/>
          <w:smallCaps w:val="0"/>
          <w:noProof w:val="0"/>
          <w:color w:val="000000" w:themeColor="text1" w:themeTint="FF" w:themeShade="FF"/>
          <w:sz w:val="24"/>
          <w:szCs w:val="24"/>
          <w:lang w:val="en-GB"/>
        </w:rPr>
        <w:t xml:space="preserve"> (2023) The illegal drugs market is changing – is the </w:t>
      </w:r>
      <w:r w:rsidRPr="26E7CECC" w:rsidR="6B4847E6">
        <w:rPr>
          <w:rFonts w:ascii="Aptos" w:hAnsi="Aptos" w:eastAsia="Aptos" w:cs="Aptos"/>
          <w:b w:val="0"/>
          <w:bCs w:val="0"/>
          <w:i w:val="0"/>
          <w:iCs w:val="0"/>
          <w:caps w:val="0"/>
          <w:smallCaps w:val="0"/>
          <w:noProof w:val="0"/>
          <w:color w:val="000000" w:themeColor="text1" w:themeTint="FF" w:themeShade="FF"/>
          <w:sz w:val="24"/>
          <w:szCs w:val="24"/>
          <w:lang w:val="en-GB"/>
        </w:rPr>
        <w:t>Uk</w:t>
      </w:r>
      <w:r w:rsidRPr="26E7CECC" w:rsidR="2FEBAD11">
        <w:rPr>
          <w:rFonts w:ascii="Aptos" w:hAnsi="Aptos" w:eastAsia="Aptos" w:cs="Aptos"/>
          <w:b w:val="0"/>
          <w:bCs w:val="0"/>
          <w:i w:val="0"/>
          <w:iCs w:val="0"/>
          <w:caps w:val="0"/>
          <w:smallCaps w:val="0"/>
          <w:noProof w:val="0"/>
          <w:color w:val="000000" w:themeColor="text1" w:themeTint="FF" w:themeShade="FF"/>
          <w:sz w:val="24"/>
          <w:szCs w:val="24"/>
          <w:lang w:val="en-GB"/>
        </w:rPr>
        <w:t xml:space="preserve"> prepared?</w:t>
      </w:r>
      <w:r w:rsidRPr="26E7CECC" w:rsidR="2FEBAD11">
        <w:rPr>
          <w:rFonts w:ascii="Aptos" w:hAnsi="Aptos" w:eastAsia="Aptos" w:cs="Aptos"/>
          <w:b w:val="0"/>
          <w:bCs w:val="0"/>
          <w:i w:val="1"/>
          <w:iCs w:val="1"/>
          <w:caps w:val="0"/>
          <w:smallCaps w:val="0"/>
          <w:noProof w:val="0"/>
          <w:color w:val="000000" w:themeColor="text1" w:themeTint="FF" w:themeShade="FF"/>
          <w:sz w:val="24"/>
          <w:szCs w:val="24"/>
          <w:lang w:val="en-GB"/>
        </w:rPr>
        <w:t xml:space="preserve"> BMJ, </w:t>
      </w:r>
      <w:r w:rsidRPr="26E7CECC" w:rsidR="2FEBAD11">
        <w:rPr>
          <w:rFonts w:ascii="Aptos" w:hAnsi="Aptos" w:eastAsia="Aptos" w:cs="Aptos"/>
          <w:b w:val="0"/>
          <w:bCs w:val="0"/>
          <w:i w:val="0"/>
          <w:iCs w:val="0"/>
          <w:caps w:val="0"/>
          <w:smallCaps w:val="0"/>
          <w:noProof w:val="0"/>
          <w:color w:val="000000" w:themeColor="text1" w:themeTint="FF" w:themeShade="FF"/>
          <w:sz w:val="24"/>
          <w:szCs w:val="24"/>
          <w:lang w:val="en-GB"/>
        </w:rPr>
        <w:t>3 (83), pp. 2421.</w:t>
      </w:r>
    </w:p>
    <w:p w:rsidR="16091B42" w:rsidP="5D521198" w:rsidRDefault="16091B42" w14:paraId="5532040C" w14:textId="42996B02">
      <w:pPr>
        <w:pStyle w:val="Normal"/>
        <w:spacing w:after="160" w:line="279" w:lineRule="auto"/>
        <w:rPr>
          <w:rFonts w:ascii="Aptos" w:hAnsi="Aptos" w:eastAsia="Aptos" w:cs="Aptos"/>
          <w:noProof w:val="0"/>
          <w:sz w:val="24"/>
          <w:szCs w:val="24"/>
          <w:lang w:val="en-GB"/>
        </w:rPr>
      </w:pPr>
      <w:r w:rsidRPr="5D521198" w:rsidR="2FEBAD11">
        <w:rPr>
          <w:rFonts w:ascii="Aptos" w:hAnsi="Aptos" w:eastAsia="Aptos" w:cs="Aptos"/>
          <w:b w:val="0"/>
          <w:bCs w:val="0"/>
          <w:i w:val="0"/>
          <w:iCs w:val="0"/>
          <w:caps w:val="0"/>
          <w:smallCaps w:val="0"/>
          <w:noProof w:val="0"/>
          <w:color w:val="000000" w:themeColor="text1" w:themeTint="FF" w:themeShade="FF"/>
          <w:sz w:val="24"/>
          <w:szCs w:val="24"/>
          <w:lang w:val="en-GB"/>
        </w:rPr>
        <w:t xml:space="preserve">Houghton, B., Bailey, A., </w:t>
      </w:r>
      <w:r w:rsidRPr="5D521198" w:rsidR="2FEBAD11">
        <w:rPr>
          <w:rFonts w:ascii="Aptos" w:hAnsi="Aptos" w:eastAsia="Aptos" w:cs="Aptos"/>
          <w:b w:val="0"/>
          <w:bCs w:val="0"/>
          <w:i w:val="0"/>
          <w:iCs w:val="0"/>
          <w:caps w:val="0"/>
          <w:smallCaps w:val="0"/>
          <w:noProof w:val="0"/>
          <w:color w:val="000000" w:themeColor="text1" w:themeTint="FF" w:themeShade="FF"/>
          <w:sz w:val="24"/>
          <w:szCs w:val="24"/>
          <w:lang w:val="en-GB"/>
        </w:rPr>
        <w:t>Kouimtsidis</w:t>
      </w:r>
      <w:r w:rsidRPr="5D521198" w:rsidR="2FEBAD11">
        <w:rPr>
          <w:rFonts w:ascii="Aptos" w:hAnsi="Aptos" w:eastAsia="Aptos" w:cs="Aptos"/>
          <w:b w:val="0"/>
          <w:bCs w:val="0"/>
          <w:i w:val="0"/>
          <w:iCs w:val="0"/>
          <w:caps w:val="0"/>
          <w:smallCaps w:val="0"/>
          <w:noProof w:val="0"/>
          <w:color w:val="000000" w:themeColor="text1" w:themeTint="FF" w:themeShade="FF"/>
          <w:sz w:val="24"/>
          <w:szCs w:val="24"/>
          <w:lang w:val="en-GB"/>
        </w:rPr>
        <w:t xml:space="preserve">, C., </w:t>
      </w:r>
      <w:r w:rsidRPr="5D521198" w:rsidR="2FEBAD11">
        <w:rPr>
          <w:rFonts w:ascii="Aptos" w:hAnsi="Aptos" w:eastAsia="Aptos" w:cs="Aptos"/>
          <w:b w:val="0"/>
          <w:bCs w:val="0"/>
          <w:i w:val="0"/>
          <w:iCs w:val="0"/>
          <w:caps w:val="0"/>
          <w:smallCaps w:val="0"/>
          <w:noProof w:val="0"/>
          <w:color w:val="000000" w:themeColor="text1" w:themeTint="FF" w:themeShade="FF"/>
          <w:sz w:val="24"/>
          <w:szCs w:val="24"/>
          <w:lang w:val="en-GB"/>
        </w:rPr>
        <w:t>Duka,T</w:t>
      </w:r>
      <w:r w:rsidRPr="5D521198" w:rsidR="2FEBAD11">
        <w:rPr>
          <w:rFonts w:ascii="Aptos" w:hAnsi="Aptos" w:eastAsia="Aptos" w:cs="Aptos"/>
          <w:b w:val="0"/>
          <w:bCs w:val="0"/>
          <w:i w:val="0"/>
          <w:iCs w:val="0"/>
          <w:caps w:val="0"/>
          <w:smallCaps w:val="0"/>
          <w:noProof w:val="0"/>
          <w:color w:val="000000" w:themeColor="text1" w:themeTint="FF" w:themeShade="FF"/>
          <w:sz w:val="24"/>
          <w:szCs w:val="24"/>
          <w:lang w:val="en-GB"/>
        </w:rPr>
        <w:t xml:space="preserve">., Notley, C. (2021) Perspectives of drug treatment and mental health professionals towards treatment provision for substance use disorders with coexisting mental health problems in England. </w:t>
      </w:r>
      <w:r w:rsidRPr="5D521198" w:rsidR="2FEBAD11">
        <w:rPr>
          <w:rFonts w:ascii="Aptos" w:hAnsi="Aptos" w:eastAsia="Aptos" w:cs="Aptos"/>
          <w:b w:val="0"/>
          <w:bCs w:val="0"/>
          <w:i w:val="1"/>
          <w:iCs w:val="1"/>
          <w:caps w:val="0"/>
          <w:smallCaps w:val="0"/>
          <w:noProof w:val="0"/>
          <w:color w:val="000000" w:themeColor="text1" w:themeTint="FF" w:themeShade="FF"/>
          <w:sz w:val="24"/>
          <w:szCs w:val="24"/>
          <w:lang w:val="en-GB"/>
        </w:rPr>
        <w:t xml:space="preserve">Drug Science, Policy, and Law, </w:t>
      </w:r>
      <w:r w:rsidRPr="5D521198" w:rsidR="2FEBAD11">
        <w:rPr>
          <w:rFonts w:ascii="Aptos" w:hAnsi="Aptos" w:eastAsia="Aptos" w:cs="Aptos"/>
          <w:b w:val="0"/>
          <w:bCs w:val="0"/>
          <w:i w:val="0"/>
          <w:iCs w:val="0"/>
          <w:caps w:val="0"/>
          <w:smallCaps w:val="0"/>
          <w:noProof w:val="0"/>
          <w:color w:val="000000" w:themeColor="text1" w:themeTint="FF" w:themeShade="FF"/>
          <w:sz w:val="24"/>
          <w:szCs w:val="24"/>
          <w:lang w:val="en-GB"/>
        </w:rPr>
        <w:t>(7)1 pp. 1-9</w:t>
      </w:r>
      <w:r w:rsidRPr="5D521198" w:rsidR="2FEBAD11">
        <w:rPr>
          <w:rFonts w:ascii="Aptos" w:hAnsi="Aptos" w:eastAsia="Aptos" w:cs="Aptos"/>
          <w:b w:val="0"/>
          <w:bCs w:val="0"/>
          <w:i w:val="1"/>
          <w:iCs w:val="1"/>
          <w:caps w:val="0"/>
          <w:smallCaps w:val="0"/>
          <w:noProof w:val="0"/>
          <w:color w:val="000000" w:themeColor="text1" w:themeTint="FF" w:themeShade="FF"/>
          <w:sz w:val="24"/>
          <w:szCs w:val="24"/>
          <w:lang w:val="en-GB"/>
        </w:rPr>
        <w:t>.</w:t>
      </w:r>
    </w:p>
    <w:p w:rsidR="16091B42" w:rsidP="5D521198" w:rsidRDefault="16091B42" w14:paraId="4C79C945" w14:textId="3FC884BF">
      <w:pPr>
        <w:spacing w:after="160" w:line="279" w:lineRule="auto"/>
        <w:rPr>
          <w:rFonts w:ascii="Aptos" w:hAnsi="Aptos" w:eastAsia="Aptos" w:cs="Aptos"/>
          <w:noProof w:val="0"/>
          <w:sz w:val="24"/>
          <w:szCs w:val="24"/>
          <w:lang w:val="en-GB"/>
        </w:rPr>
      </w:pPr>
      <w:r w:rsidRPr="5D521198" w:rsidR="2FEBAD11">
        <w:rPr>
          <w:rFonts w:ascii="Aptos" w:hAnsi="Aptos" w:eastAsia="Aptos" w:cs="Aptos"/>
          <w:b w:val="0"/>
          <w:bCs w:val="0"/>
          <w:i w:val="0"/>
          <w:iCs w:val="0"/>
          <w:caps w:val="0"/>
          <w:smallCaps w:val="0"/>
          <w:noProof w:val="0"/>
          <w:color w:val="000000" w:themeColor="text1" w:themeTint="FF" w:themeShade="FF"/>
          <w:sz w:val="24"/>
          <w:szCs w:val="24"/>
          <w:lang w:val="en-GB"/>
        </w:rPr>
        <w:t xml:space="preserve">King, L. (2022) </w:t>
      </w:r>
      <w:r w:rsidRPr="5D521198" w:rsidR="2FEBAD11">
        <w:rPr>
          <w:rFonts w:ascii="Aptos" w:hAnsi="Aptos" w:eastAsia="Aptos" w:cs="Aptos"/>
          <w:b w:val="0"/>
          <w:bCs w:val="0"/>
          <w:i w:val="1"/>
          <w:iCs w:val="1"/>
          <w:caps w:val="0"/>
          <w:smallCaps w:val="0"/>
          <w:noProof w:val="0"/>
          <w:color w:val="000000" w:themeColor="text1" w:themeTint="FF" w:themeShade="FF"/>
          <w:sz w:val="24"/>
          <w:szCs w:val="24"/>
          <w:lang w:val="en-GB"/>
        </w:rPr>
        <w:t>Forensic chemistry of substance misuse: a guide to drug control</w:t>
      </w:r>
      <w:r w:rsidRPr="5D521198" w:rsidR="2FEBAD11">
        <w:rPr>
          <w:rFonts w:ascii="Aptos" w:hAnsi="Aptos" w:eastAsia="Aptos" w:cs="Aptos"/>
          <w:b w:val="0"/>
          <w:bCs w:val="0"/>
          <w:i w:val="0"/>
          <w:iCs w:val="0"/>
          <w:caps w:val="0"/>
          <w:smallCaps w:val="0"/>
          <w:noProof w:val="0"/>
          <w:color w:val="000000" w:themeColor="text1" w:themeTint="FF" w:themeShade="FF"/>
          <w:sz w:val="24"/>
          <w:szCs w:val="24"/>
          <w:lang w:val="en-GB"/>
        </w:rPr>
        <w:t>. Croydon: CPI group (UK) Limited</w:t>
      </w:r>
      <w:r w:rsidRPr="5D521198" w:rsidR="20A0771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91B42" w:rsidP="5D521198" w:rsidRDefault="16091B42" w14:paraId="6DC02677" w14:textId="3118C1D9">
      <w:pPr>
        <w:pStyle w:val="Normal"/>
        <w:spacing w:after="160" w:line="279" w:lineRule="auto"/>
        <w:rPr>
          <w:rFonts w:ascii="Aptos" w:hAnsi="Aptos" w:eastAsia="Aptos" w:cs="Aptos"/>
          <w:b w:val="0"/>
          <w:bCs w:val="0"/>
          <w:i w:val="1"/>
          <w:iCs w:val="1"/>
          <w:caps w:val="0"/>
          <w:smallCaps w:val="0"/>
          <w:noProof w:val="0"/>
          <w:color w:val="000000" w:themeColor="text1" w:themeTint="FF" w:themeShade="FF"/>
          <w:sz w:val="24"/>
          <w:szCs w:val="24"/>
          <w:lang w:val="en-GB"/>
        </w:rPr>
      </w:pPr>
      <w:r w:rsidRPr="5D521198" w:rsidR="16091B42">
        <w:rPr>
          <w:rFonts w:ascii="Aptos" w:hAnsi="Aptos" w:eastAsia="Aptos" w:cs="Aptos"/>
          <w:b w:val="0"/>
          <w:bCs w:val="0"/>
          <w:i w:val="0"/>
          <w:iCs w:val="0"/>
          <w:caps w:val="0"/>
          <w:smallCaps w:val="0"/>
          <w:color w:val="000000" w:themeColor="text1" w:themeTint="FF" w:themeShade="FF"/>
          <w:sz w:val="24"/>
          <w:szCs w:val="24"/>
        </w:rPr>
        <w:t xml:space="preserve">National Harm reduction coalition (2020) </w:t>
      </w:r>
      <w:r w:rsidRPr="5D521198" w:rsidR="16091B42">
        <w:rPr>
          <w:rFonts w:ascii="Aptos" w:hAnsi="Aptos" w:eastAsia="Aptos" w:cs="Aptos"/>
          <w:b w:val="0"/>
          <w:bCs w:val="0"/>
          <w:i w:val="1"/>
          <w:iCs w:val="1"/>
          <w:caps w:val="0"/>
          <w:smallCaps w:val="0"/>
          <w:color w:val="000000" w:themeColor="text1" w:themeTint="FF" w:themeShade="FF"/>
          <w:sz w:val="24"/>
          <w:szCs w:val="24"/>
        </w:rPr>
        <w:t>Guide to developing and managing syringe Access programs</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Available at: </w:t>
      </w:r>
      <w:r w:rsidRPr="5D521198" w:rsidR="16091B42">
        <w:rPr>
          <w:rFonts w:ascii="Aptos" w:hAnsi="Aptos" w:eastAsia="Aptos" w:cs="Aptos"/>
          <w:b w:val="0"/>
          <w:bCs w:val="0"/>
          <w:i w:val="0"/>
          <w:iCs w:val="0"/>
          <w:caps w:val="0"/>
          <w:smallCaps w:val="0"/>
          <w:strike w:val="0"/>
          <w:dstrike w:val="0"/>
          <w:sz w:val="24"/>
          <w:szCs w:val="24"/>
        </w:rPr>
        <w:t>https://harmreduction.org/issues/syringe-access/guide-to-managing-programs/</w:t>
      </w:r>
      <w:r w:rsidRPr="5D521198" w:rsidR="16091B42">
        <w:rPr>
          <w:rFonts w:ascii="Aptos" w:hAnsi="Aptos" w:eastAsia="Aptos" w:cs="Aptos"/>
          <w:b w:val="0"/>
          <w:bCs w:val="0"/>
          <w:i w:val="0"/>
          <w:iCs w:val="0"/>
          <w:caps w:val="0"/>
          <w:smallCaps w:val="0"/>
          <w:color w:val="000000" w:themeColor="text1" w:themeTint="FF" w:themeShade="FF"/>
          <w:sz w:val="24"/>
          <w:szCs w:val="24"/>
        </w:rPr>
        <w:t>. (Accessed on 29 June 2024)</w:t>
      </w:r>
      <w:r w:rsidRPr="5D521198" w:rsidR="2E94BEE1">
        <w:rPr>
          <w:rFonts w:ascii="Aptos" w:hAnsi="Aptos" w:eastAsia="Aptos" w:cs="Aptos"/>
          <w:b w:val="0"/>
          <w:bCs w:val="0"/>
          <w:i w:val="0"/>
          <w:iCs w:val="0"/>
          <w:caps w:val="0"/>
          <w:smallCaps w:val="0"/>
          <w:color w:val="000000" w:themeColor="text1" w:themeTint="FF" w:themeShade="FF"/>
          <w:sz w:val="24"/>
          <w:szCs w:val="24"/>
        </w:rPr>
        <w:t xml:space="preserve">. </w:t>
      </w:r>
    </w:p>
    <w:p w:rsidR="16091B42" w:rsidP="26E7CECC" w:rsidRDefault="16091B42" w14:paraId="2431ADE5" w14:textId="5FB4F098">
      <w:pPr>
        <w:spacing w:before="0" w:beforeAutospacing="off" w:after="160" w:afterAutospacing="off" w:line="279" w:lineRule="auto"/>
        <w:ind w:right="0"/>
        <w:jc w:val="left"/>
        <w:rPr>
          <w:rFonts w:ascii="Aptos" w:hAnsi="Aptos" w:eastAsia="Aptos" w:cs="Aptos"/>
          <w:noProof w:val="0"/>
          <w:sz w:val="24"/>
          <w:szCs w:val="24"/>
          <w:lang w:val="en-GB"/>
        </w:rPr>
      </w:pPr>
      <w:r w:rsidRPr="26E7CECC" w:rsidR="452A6437">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institute on drug abuse (2022) </w:t>
      </w:r>
      <w:r w:rsidRPr="26E7CECC" w:rsidR="452A6437">
        <w:rPr>
          <w:rFonts w:ascii="Aptos" w:hAnsi="Aptos" w:eastAsia="Aptos" w:cs="Aptos"/>
          <w:b w:val="0"/>
          <w:bCs w:val="0"/>
          <w:i w:val="1"/>
          <w:iCs w:val="1"/>
          <w:caps w:val="0"/>
          <w:smallCaps w:val="0"/>
          <w:noProof w:val="0"/>
          <w:color w:val="000000" w:themeColor="text1" w:themeTint="FF" w:themeShade="FF"/>
          <w:sz w:val="24"/>
          <w:szCs w:val="24"/>
          <w:lang w:val="en-GB"/>
        </w:rPr>
        <w:t xml:space="preserve">Harm Reduction. </w:t>
      </w:r>
      <w:r w:rsidRPr="26E7CECC" w:rsidR="452A6437">
        <w:rPr>
          <w:rFonts w:ascii="Aptos" w:hAnsi="Aptos" w:eastAsia="Aptos" w:cs="Aptos"/>
          <w:b w:val="0"/>
          <w:bCs w:val="0"/>
          <w:i w:val="0"/>
          <w:iCs w:val="0"/>
          <w:caps w:val="0"/>
          <w:smallCaps w:val="0"/>
          <w:noProof w:val="0"/>
          <w:color w:val="000000" w:themeColor="text1" w:themeTint="FF" w:themeShade="FF"/>
          <w:sz w:val="24"/>
          <w:szCs w:val="24"/>
          <w:lang w:val="en-GB"/>
        </w:rPr>
        <w:t>Available at: https://nida.nih.gov/research-topics/harm-reduction (Accessed on 3 July 2024)</w:t>
      </w:r>
      <w:r w:rsidRPr="26E7CECC" w:rsidR="132E992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91B42" w:rsidP="5D521198" w:rsidRDefault="16091B42" w14:paraId="7A5D7AF6" w14:textId="47A8CF44">
      <w:pPr>
        <w:pStyle w:val="Normal"/>
        <w:spacing w:after="160" w:line="279" w:lineRule="auto"/>
        <w:rPr>
          <w:rFonts w:ascii="Aptos" w:hAnsi="Aptos" w:eastAsia="Aptos" w:cs="Aptos"/>
          <w:noProof w:val="0"/>
          <w:sz w:val="24"/>
          <w:szCs w:val="24"/>
          <w:lang w:val="en-US"/>
        </w:rPr>
      </w:pPr>
      <w:r w:rsidRPr="5D521198" w:rsidR="16091B42">
        <w:rPr>
          <w:rFonts w:ascii="Aptos" w:hAnsi="Aptos" w:eastAsia="Aptos" w:cs="Aptos"/>
          <w:b w:val="0"/>
          <w:bCs w:val="0"/>
          <w:i w:val="0"/>
          <w:iCs w:val="0"/>
          <w:caps w:val="0"/>
          <w:smallCaps w:val="0"/>
          <w:color w:val="000000" w:themeColor="text1" w:themeTint="FF" w:themeShade="FF"/>
          <w:sz w:val="24"/>
          <w:szCs w:val="24"/>
        </w:rPr>
        <w:t xml:space="preserve">Office for national statistics (2021) </w:t>
      </w:r>
      <w:r w:rsidRPr="5D521198" w:rsidR="16091B42">
        <w:rPr>
          <w:rFonts w:ascii="Aptos" w:hAnsi="Aptos" w:eastAsia="Aptos" w:cs="Aptos"/>
          <w:b w:val="0"/>
          <w:bCs w:val="0"/>
          <w:i w:val="1"/>
          <w:iCs w:val="1"/>
          <w:caps w:val="0"/>
          <w:smallCaps w:val="0"/>
          <w:color w:val="000000" w:themeColor="text1" w:themeTint="FF" w:themeShade="FF"/>
          <w:sz w:val="24"/>
          <w:szCs w:val="24"/>
        </w:rPr>
        <w:t>Deaths related to drug poisoning in England and Wales: 2020 registration,</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Available </w:t>
      </w:r>
      <w:r w:rsidRPr="5D521198" w:rsidR="236E725B">
        <w:rPr>
          <w:rFonts w:ascii="Aptos" w:hAnsi="Aptos" w:eastAsia="Aptos" w:cs="Aptos"/>
          <w:b w:val="0"/>
          <w:bCs w:val="0"/>
          <w:i w:val="0"/>
          <w:iCs w:val="0"/>
          <w:caps w:val="0"/>
          <w:smallCaps w:val="0"/>
          <w:color w:val="000000" w:themeColor="text1" w:themeTint="FF" w:themeShade="FF"/>
          <w:sz w:val="24"/>
          <w:szCs w:val="24"/>
        </w:rPr>
        <w:t>at: https</w:t>
      </w:r>
      <w:r w:rsidRPr="5D521198" w:rsidR="16091B42">
        <w:rPr>
          <w:rFonts w:ascii="Aptos" w:hAnsi="Aptos" w:eastAsia="Aptos" w:cs="Aptos"/>
          <w:b w:val="0"/>
          <w:bCs w:val="0"/>
          <w:i w:val="0"/>
          <w:iCs w:val="0"/>
          <w:caps w:val="0"/>
          <w:smallCaps w:val="0"/>
          <w:strike w:val="0"/>
          <w:dstrike w:val="0"/>
          <w:sz w:val="24"/>
          <w:szCs w:val="24"/>
        </w:rPr>
        <w:t>://www.ons.gov.uk/peoplepopulationandcommunity/birthsdeathsandmarriages/deaths/bulletins/deathsrelatedtodrugpoisoninginenglandandwales/2020</w:t>
      </w:r>
      <w:r w:rsidRPr="5D521198" w:rsidR="16091B42">
        <w:rPr>
          <w:rFonts w:ascii="Aptos" w:hAnsi="Aptos" w:eastAsia="Aptos" w:cs="Aptos"/>
          <w:b w:val="0"/>
          <w:bCs w:val="0"/>
          <w:i w:val="0"/>
          <w:iCs w:val="0"/>
          <w:caps w:val="0"/>
          <w:smallCaps w:val="0"/>
          <w:color w:val="000000" w:themeColor="text1" w:themeTint="FF" w:themeShade="FF"/>
          <w:sz w:val="24"/>
          <w:szCs w:val="24"/>
        </w:rPr>
        <w:t>. (Accessed 27 June 2024).</w:t>
      </w:r>
    </w:p>
    <w:p w:rsidR="16091B42" w:rsidP="0A6E94E0" w:rsidRDefault="16091B42" w14:paraId="55B344EB" w14:textId="20F42D3A">
      <w:pPr>
        <w:spacing w:after="160" w:line="279" w:lineRule="auto"/>
        <w:rPr>
          <w:rFonts w:ascii="Aptos" w:hAnsi="Aptos" w:eastAsia="Aptos" w:cs="Aptos"/>
          <w:noProof w:val="0"/>
          <w:sz w:val="24"/>
          <w:szCs w:val="24"/>
          <w:lang w:val="en-US"/>
        </w:rPr>
      </w:pPr>
      <w:r w:rsidRPr="5D521198" w:rsidR="16091B42">
        <w:rPr>
          <w:rFonts w:ascii="Aptos" w:hAnsi="Aptos" w:eastAsia="Aptos" w:cs="Aptos"/>
          <w:b w:val="0"/>
          <w:bCs w:val="0"/>
          <w:i w:val="0"/>
          <w:iCs w:val="0"/>
          <w:caps w:val="0"/>
          <w:smallCaps w:val="0"/>
          <w:color w:val="000000" w:themeColor="text1" w:themeTint="FF" w:themeShade="FF"/>
          <w:sz w:val="24"/>
          <w:szCs w:val="24"/>
        </w:rPr>
        <w:t>Office for national statistics (2023)</w:t>
      </w:r>
      <w:r w:rsidRPr="5D521198" w:rsidR="16091B42">
        <w:rPr>
          <w:rFonts w:ascii="Aptos" w:hAnsi="Aptos" w:eastAsia="Aptos" w:cs="Aptos"/>
          <w:b w:val="0"/>
          <w:bCs w:val="0"/>
          <w:i w:val="1"/>
          <w:iCs w:val="1"/>
          <w:caps w:val="0"/>
          <w:smallCaps w:val="0"/>
          <w:color w:val="000000" w:themeColor="text1" w:themeTint="FF" w:themeShade="FF"/>
          <w:sz w:val="24"/>
          <w:szCs w:val="24"/>
        </w:rPr>
        <w:t xml:space="preserve"> Deaths related to drug poisoning in England and Wales: 2022 </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registration, Available </w:t>
      </w:r>
      <w:r w:rsidRPr="5D521198" w:rsidR="4DCB415C">
        <w:rPr>
          <w:rFonts w:ascii="Aptos" w:hAnsi="Aptos" w:eastAsia="Aptos" w:cs="Aptos"/>
          <w:b w:val="0"/>
          <w:bCs w:val="0"/>
          <w:i w:val="0"/>
          <w:iCs w:val="0"/>
          <w:caps w:val="0"/>
          <w:smallCaps w:val="0"/>
          <w:color w:val="000000" w:themeColor="text1" w:themeTint="FF" w:themeShade="FF"/>
          <w:sz w:val="24"/>
          <w:szCs w:val="24"/>
        </w:rPr>
        <w:t>at: https</w:t>
      </w:r>
      <w:r w:rsidRPr="5D521198" w:rsidR="16091B42">
        <w:rPr>
          <w:rFonts w:ascii="Aptos" w:hAnsi="Aptos" w:eastAsia="Aptos" w:cs="Aptos"/>
          <w:b w:val="0"/>
          <w:bCs w:val="0"/>
          <w:i w:val="0"/>
          <w:iCs w:val="0"/>
          <w:caps w:val="0"/>
          <w:smallCaps w:val="0"/>
          <w:strike w:val="0"/>
          <w:dstrike w:val="0"/>
          <w:sz w:val="24"/>
          <w:szCs w:val="24"/>
        </w:rPr>
        <w:t>://www.ons.gov.uk/peoplepopulationandcommunity/birthsdeathsandmarriages/deaths/bulletins/deathsrelatedtodrugpoisoninginenglandandwales/2022registrations</w:t>
      </w:r>
      <w:r w:rsidRPr="5D521198" w:rsidR="16091B42">
        <w:rPr>
          <w:rFonts w:ascii="Aptos" w:hAnsi="Aptos" w:eastAsia="Aptos" w:cs="Aptos"/>
          <w:b w:val="0"/>
          <w:bCs w:val="0"/>
          <w:i w:val="0"/>
          <w:iCs w:val="0"/>
          <w:caps w:val="0"/>
          <w:smallCaps w:val="0"/>
          <w:color w:val="000000" w:themeColor="text1" w:themeTint="FF" w:themeShade="FF"/>
          <w:sz w:val="24"/>
          <w:szCs w:val="24"/>
        </w:rPr>
        <w:t>. (Accessed 27 June 2024)</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w:t>
      </w:r>
    </w:p>
    <w:p w:rsidR="16091B42" w:rsidP="0A6E94E0" w:rsidRDefault="16091B42" w14:paraId="55C4DD78" w14:textId="38C685FA">
      <w:pPr>
        <w:spacing w:after="160" w:line="279" w:lineRule="auto"/>
        <w:rPr>
          <w:rFonts w:ascii="Aptos" w:hAnsi="Aptos" w:eastAsia="Aptos" w:cs="Aptos"/>
          <w:noProof w:val="0"/>
          <w:sz w:val="24"/>
          <w:szCs w:val="24"/>
          <w:lang w:val="en-US"/>
        </w:rPr>
      </w:pPr>
      <w:r w:rsidRPr="5D521198" w:rsidR="16091B42">
        <w:rPr>
          <w:rFonts w:ascii="Aptos" w:hAnsi="Aptos" w:eastAsia="Aptos" w:cs="Aptos"/>
          <w:b w:val="0"/>
          <w:bCs w:val="0"/>
          <w:i w:val="0"/>
          <w:iCs w:val="0"/>
          <w:caps w:val="0"/>
          <w:smallCaps w:val="0"/>
          <w:color w:val="000000" w:themeColor="text1" w:themeTint="FF" w:themeShade="FF"/>
          <w:sz w:val="24"/>
          <w:szCs w:val="24"/>
        </w:rPr>
        <w:t xml:space="preserve">Public Health Wales (2022) </w:t>
      </w:r>
      <w:r w:rsidRPr="5D521198" w:rsidR="16091B42">
        <w:rPr>
          <w:rFonts w:ascii="Aptos" w:hAnsi="Aptos" w:eastAsia="Aptos" w:cs="Aptos"/>
          <w:b w:val="0"/>
          <w:bCs w:val="0"/>
          <w:i w:val="1"/>
          <w:iCs w:val="1"/>
          <w:caps w:val="0"/>
          <w:smallCaps w:val="0"/>
          <w:color w:val="000000" w:themeColor="text1" w:themeTint="FF" w:themeShade="FF"/>
          <w:sz w:val="24"/>
          <w:szCs w:val="24"/>
        </w:rPr>
        <w:t xml:space="preserve">Needle and syringe </w:t>
      </w:r>
      <w:r w:rsidRPr="5D521198" w:rsidR="16091B42">
        <w:rPr>
          <w:rFonts w:ascii="Aptos" w:hAnsi="Aptos" w:eastAsia="Aptos" w:cs="Aptos"/>
          <w:b w:val="0"/>
          <w:bCs w:val="0"/>
          <w:i w:val="1"/>
          <w:iCs w:val="1"/>
          <w:caps w:val="0"/>
          <w:smallCaps w:val="0"/>
          <w:color w:val="000000" w:themeColor="text1" w:themeTint="FF" w:themeShade="FF"/>
          <w:sz w:val="24"/>
          <w:szCs w:val="24"/>
        </w:rPr>
        <w:t>programme</w:t>
      </w:r>
      <w:r w:rsidRPr="5D521198" w:rsidR="16091B42">
        <w:rPr>
          <w:rFonts w:ascii="Aptos" w:hAnsi="Aptos" w:eastAsia="Aptos" w:cs="Aptos"/>
          <w:b w:val="0"/>
          <w:bCs w:val="0"/>
          <w:i w:val="1"/>
          <w:iCs w:val="1"/>
          <w:caps w:val="0"/>
          <w:smallCaps w:val="0"/>
          <w:color w:val="000000" w:themeColor="text1" w:themeTint="FF" w:themeShade="FF"/>
          <w:sz w:val="24"/>
          <w:szCs w:val="24"/>
        </w:rPr>
        <w:t xml:space="preserve"> activity in Wales.</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Available at: </w:t>
      </w:r>
      <w:r w:rsidRPr="5D521198" w:rsidR="16091B42">
        <w:rPr>
          <w:rFonts w:ascii="Aptos" w:hAnsi="Aptos" w:eastAsia="Aptos" w:cs="Aptos"/>
          <w:b w:val="0"/>
          <w:bCs w:val="0"/>
          <w:i w:val="0"/>
          <w:iCs w:val="0"/>
          <w:caps w:val="0"/>
          <w:smallCaps w:val="0"/>
          <w:strike w:val="0"/>
          <w:dstrike w:val="0"/>
          <w:sz w:val="24"/>
          <w:szCs w:val="24"/>
        </w:rPr>
        <w:t>https://phw.nhs.wales/publications/publications1/needle-and-syringe-programme-activity-in-wales-annual-report-2021-22/</w:t>
      </w:r>
      <w:r w:rsidRPr="5D521198" w:rsidR="16091B42">
        <w:rPr>
          <w:rFonts w:ascii="Aptos" w:hAnsi="Aptos" w:eastAsia="Aptos" w:cs="Aptos"/>
          <w:b w:val="0"/>
          <w:bCs w:val="0"/>
          <w:i w:val="0"/>
          <w:iCs w:val="0"/>
          <w:caps w:val="0"/>
          <w:smallCaps w:val="0"/>
          <w:color w:val="000000" w:themeColor="text1" w:themeTint="FF" w:themeShade="FF"/>
          <w:sz w:val="24"/>
          <w:szCs w:val="24"/>
        </w:rPr>
        <w:t>. (Accessed 29 June 2024)</w:t>
      </w:r>
      <w:r w:rsidRPr="5D521198" w:rsidR="20597470">
        <w:rPr>
          <w:rFonts w:ascii="Aptos" w:hAnsi="Aptos" w:eastAsia="Aptos" w:cs="Aptos"/>
          <w:b w:val="0"/>
          <w:bCs w:val="0"/>
          <w:i w:val="0"/>
          <w:iCs w:val="0"/>
          <w:caps w:val="0"/>
          <w:smallCaps w:val="0"/>
          <w:color w:val="000000" w:themeColor="text1" w:themeTint="FF" w:themeShade="FF"/>
          <w:sz w:val="24"/>
          <w:szCs w:val="24"/>
        </w:rPr>
        <w:t xml:space="preserve">. </w:t>
      </w:r>
    </w:p>
    <w:p w:rsidR="16091B42" w:rsidP="0A6E94E0" w:rsidRDefault="16091B42" w14:paraId="601C2027" w14:textId="64C566F3">
      <w:pPr>
        <w:spacing w:after="160" w:line="279" w:lineRule="auto"/>
        <w:rPr>
          <w:rFonts w:ascii="Aptos" w:hAnsi="Aptos" w:eastAsia="Aptos" w:cs="Aptos"/>
          <w:noProof w:val="0"/>
          <w:sz w:val="24"/>
          <w:szCs w:val="24"/>
          <w:lang w:val="en-US"/>
        </w:rPr>
      </w:pPr>
      <w:r w:rsidRPr="5D521198" w:rsidR="16091B42">
        <w:rPr>
          <w:rFonts w:ascii="Aptos" w:hAnsi="Aptos" w:eastAsia="Aptos" w:cs="Aptos"/>
          <w:b w:val="0"/>
          <w:bCs w:val="0"/>
          <w:i w:val="0"/>
          <w:iCs w:val="0"/>
          <w:caps w:val="0"/>
          <w:smallCaps w:val="0"/>
          <w:color w:val="000000" w:themeColor="text1" w:themeTint="FF" w:themeShade="FF"/>
          <w:sz w:val="24"/>
          <w:szCs w:val="24"/>
        </w:rPr>
        <w:t>Public health Wales (2023) N</w:t>
      </w:r>
      <w:r w:rsidRPr="5D521198" w:rsidR="16091B42">
        <w:rPr>
          <w:rFonts w:ascii="Aptos" w:hAnsi="Aptos" w:eastAsia="Aptos" w:cs="Aptos"/>
          <w:b w:val="0"/>
          <w:bCs w:val="0"/>
          <w:i w:val="1"/>
          <w:iCs w:val="1"/>
          <w:caps w:val="0"/>
          <w:smallCaps w:val="0"/>
          <w:color w:val="000000" w:themeColor="text1" w:themeTint="FF" w:themeShade="FF"/>
          <w:sz w:val="24"/>
          <w:szCs w:val="24"/>
        </w:rPr>
        <w:t xml:space="preserve">umber of people attending safe needle and syringe </w:t>
      </w:r>
      <w:r w:rsidRPr="5D521198" w:rsidR="16091B42">
        <w:rPr>
          <w:rFonts w:ascii="Aptos" w:hAnsi="Aptos" w:eastAsia="Aptos" w:cs="Aptos"/>
          <w:b w:val="0"/>
          <w:bCs w:val="0"/>
          <w:i w:val="1"/>
          <w:iCs w:val="1"/>
          <w:caps w:val="0"/>
          <w:smallCaps w:val="0"/>
          <w:color w:val="000000" w:themeColor="text1" w:themeTint="FF" w:themeShade="FF"/>
          <w:sz w:val="24"/>
          <w:szCs w:val="24"/>
        </w:rPr>
        <w:t>programmes</w:t>
      </w:r>
      <w:r w:rsidRPr="5D521198" w:rsidR="16091B42">
        <w:rPr>
          <w:rFonts w:ascii="Aptos" w:hAnsi="Aptos" w:eastAsia="Aptos" w:cs="Aptos"/>
          <w:b w:val="0"/>
          <w:bCs w:val="0"/>
          <w:i w:val="1"/>
          <w:iCs w:val="1"/>
          <w:caps w:val="0"/>
          <w:smallCaps w:val="0"/>
          <w:color w:val="000000" w:themeColor="text1" w:themeTint="FF" w:themeShade="FF"/>
          <w:sz w:val="24"/>
          <w:szCs w:val="24"/>
        </w:rPr>
        <w:t xml:space="preserve"> falls by 27 per sent, </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Available at: </w:t>
      </w:r>
      <w:r w:rsidRPr="5D521198" w:rsidR="16091B42">
        <w:rPr>
          <w:rFonts w:ascii="Aptos" w:hAnsi="Aptos" w:eastAsia="Aptos" w:cs="Aptos"/>
          <w:b w:val="0"/>
          <w:bCs w:val="0"/>
          <w:i w:val="0"/>
          <w:iCs w:val="0"/>
          <w:caps w:val="0"/>
          <w:smallCaps w:val="0"/>
          <w:strike w:val="0"/>
          <w:dstrike w:val="0"/>
          <w:sz w:val="24"/>
          <w:szCs w:val="24"/>
        </w:rPr>
        <w:t>https://phw.nhs.wales/news/number-of-people-attending-safe-needle-and-syringe-programmes-falls-by-27-per-cent/</w:t>
      </w:r>
      <w:r w:rsidRPr="5D521198" w:rsidR="09E4990A">
        <w:rPr>
          <w:rFonts w:ascii="Aptos" w:hAnsi="Aptos" w:eastAsia="Aptos" w:cs="Aptos"/>
          <w:b w:val="0"/>
          <w:bCs w:val="0"/>
          <w:i w:val="0"/>
          <w:iCs w:val="0"/>
          <w:caps w:val="0"/>
          <w:smallCaps w:val="0"/>
          <w:strike w:val="0"/>
          <w:dstrike w:val="0"/>
          <w:sz w:val="24"/>
          <w:szCs w:val="24"/>
        </w:rPr>
        <w:t>.</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(Accessed on 28 June 2024)</w:t>
      </w:r>
      <w:r w:rsidRPr="5D521198" w:rsidR="2800625F">
        <w:rPr>
          <w:rFonts w:ascii="Aptos" w:hAnsi="Aptos" w:eastAsia="Aptos" w:cs="Aptos"/>
          <w:b w:val="0"/>
          <w:bCs w:val="0"/>
          <w:i w:val="0"/>
          <w:iCs w:val="0"/>
          <w:caps w:val="0"/>
          <w:smallCaps w:val="0"/>
          <w:color w:val="000000" w:themeColor="text1" w:themeTint="FF" w:themeShade="FF"/>
          <w:sz w:val="24"/>
          <w:szCs w:val="24"/>
        </w:rPr>
        <w:t xml:space="preserve">. </w:t>
      </w:r>
    </w:p>
    <w:p w:rsidR="16091B42" w:rsidP="0A6E94E0" w:rsidRDefault="16091B42" w14:paraId="108F5E31" w14:textId="2A80BB6D">
      <w:pPr>
        <w:spacing w:after="160" w:line="279" w:lineRule="auto"/>
        <w:rPr>
          <w:rFonts w:ascii="Aptos" w:hAnsi="Aptos" w:eastAsia="Aptos" w:cs="Aptos"/>
          <w:noProof w:val="0"/>
          <w:sz w:val="24"/>
          <w:szCs w:val="24"/>
          <w:lang w:val="en-US"/>
        </w:rPr>
      </w:pPr>
      <w:r w:rsidRPr="5D521198" w:rsidR="16091B42">
        <w:rPr>
          <w:rFonts w:ascii="Aptos" w:hAnsi="Aptos" w:eastAsia="Aptos" w:cs="Aptos"/>
          <w:b w:val="0"/>
          <w:bCs w:val="0"/>
          <w:i w:val="0"/>
          <w:iCs w:val="0"/>
          <w:caps w:val="0"/>
          <w:smallCaps w:val="0"/>
          <w:color w:val="000000" w:themeColor="text1" w:themeTint="FF" w:themeShade="FF"/>
          <w:sz w:val="24"/>
          <w:szCs w:val="24"/>
        </w:rPr>
        <w:t xml:space="preserve">Public Health Wales (2022) </w:t>
      </w:r>
      <w:r w:rsidRPr="5D521198" w:rsidR="16091B42">
        <w:rPr>
          <w:rFonts w:ascii="Aptos" w:hAnsi="Aptos" w:eastAsia="Aptos" w:cs="Aptos"/>
          <w:b w:val="0"/>
          <w:bCs w:val="0"/>
          <w:i w:val="1"/>
          <w:iCs w:val="1"/>
          <w:caps w:val="0"/>
          <w:smallCaps w:val="0"/>
          <w:color w:val="000000" w:themeColor="text1" w:themeTint="FF" w:themeShade="FF"/>
          <w:sz w:val="24"/>
          <w:szCs w:val="24"/>
        </w:rPr>
        <w:t>Wales Drugs deaths, A complex picture</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Available at: </w:t>
      </w:r>
      <w:r w:rsidRPr="5D521198" w:rsidR="16091B42">
        <w:rPr>
          <w:rFonts w:ascii="Aptos" w:hAnsi="Aptos" w:eastAsia="Aptos" w:cs="Aptos"/>
          <w:b w:val="0"/>
          <w:bCs w:val="0"/>
          <w:i w:val="0"/>
          <w:iCs w:val="0"/>
          <w:caps w:val="0"/>
          <w:smallCaps w:val="0"/>
          <w:strike w:val="0"/>
          <w:dstrike w:val="0"/>
          <w:sz w:val="24"/>
          <w:szCs w:val="24"/>
        </w:rPr>
        <w:t>https://phw.nhs.wales/news/wales-drug-deaths-a-complex-picture/</w:t>
      </w:r>
      <w:r w:rsidRPr="5D521198" w:rsidR="16091B42">
        <w:rPr>
          <w:rFonts w:ascii="Aptos" w:hAnsi="Aptos" w:eastAsia="Aptos" w:cs="Aptos"/>
          <w:b w:val="0"/>
          <w:bCs w:val="0"/>
          <w:i w:val="0"/>
          <w:iCs w:val="0"/>
          <w:caps w:val="0"/>
          <w:smallCaps w:val="0"/>
          <w:color w:val="000000" w:themeColor="text1" w:themeTint="FF" w:themeShade="FF"/>
          <w:sz w:val="24"/>
          <w:szCs w:val="24"/>
        </w:rPr>
        <w:t>. (Accessed 28 June 2024)</w:t>
      </w:r>
      <w:r w:rsidRPr="5D521198" w:rsidR="7462D730">
        <w:rPr>
          <w:rFonts w:ascii="Aptos" w:hAnsi="Aptos" w:eastAsia="Aptos" w:cs="Aptos"/>
          <w:b w:val="0"/>
          <w:bCs w:val="0"/>
          <w:i w:val="0"/>
          <w:iCs w:val="0"/>
          <w:caps w:val="0"/>
          <w:smallCaps w:val="0"/>
          <w:color w:val="000000" w:themeColor="text1" w:themeTint="FF" w:themeShade="FF"/>
          <w:sz w:val="24"/>
          <w:szCs w:val="24"/>
        </w:rPr>
        <w:t xml:space="preserve">. </w:t>
      </w:r>
    </w:p>
    <w:p w:rsidR="16091B42" w:rsidP="0A6E94E0" w:rsidRDefault="16091B42" w14:paraId="0E287EC9" w14:textId="15F1501F">
      <w:pPr>
        <w:spacing w:after="160" w:line="279" w:lineRule="auto"/>
        <w:rPr>
          <w:rFonts w:ascii="Aptos" w:hAnsi="Aptos" w:eastAsia="Aptos" w:cs="Aptos"/>
          <w:noProof w:val="0"/>
          <w:sz w:val="24"/>
          <w:szCs w:val="24"/>
          <w:lang w:val="en-US"/>
        </w:rPr>
      </w:pPr>
      <w:r w:rsidRPr="5D521198" w:rsidR="16091B42">
        <w:rPr>
          <w:rFonts w:ascii="Aptos" w:hAnsi="Aptos" w:eastAsia="Aptos" w:cs="Aptos"/>
          <w:b w:val="0"/>
          <w:bCs w:val="0"/>
          <w:i w:val="0"/>
          <w:iCs w:val="0"/>
          <w:caps w:val="0"/>
          <w:smallCaps w:val="0"/>
          <w:color w:val="212121"/>
          <w:sz w:val="24"/>
          <w:szCs w:val="24"/>
        </w:rPr>
        <w:t xml:space="preserve">Recovery.com (2024) </w:t>
      </w:r>
      <w:r w:rsidRPr="5D521198" w:rsidR="16091B42">
        <w:rPr>
          <w:rFonts w:ascii="Aptos" w:hAnsi="Aptos" w:eastAsia="Aptos" w:cs="Aptos"/>
          <w:b w:val="0"/>
          <w:bCs w:val="0"/>
          <w:i w:val="1"/>
          <w:iCs w:val="1"/>
          <w:caps w:val="0"/>
          <w:smallCaps w:val="0"/>
          <w:color w:val="212121"/>
          <w:sz w:val="24"/>
          <w:szCs w:val="24"/>
        </w:rPr>
        <w:t>Exploring harm reduction: strategies and benefits in substance use</w:t>
      </w:r>
      <w:r w:rsidRPr="5D521198" w:rsidR="16091B42">
        <w:rPr>
          <w:rFonts w:ascii="Aptos" w:hAnsi="Aptos" w:eastAsia="Aptos" w:cs="Aptos"/>
          <w:b w:val="0"/>
          <w:bCs w:val="0"/>
          <w:i w:val="0"/>
          <w:iCs w:val="0"/>
          <w:caps w:val="0"/>
          <w:smallCaps w:val="0"/>
          <w:color w:val="212121"/>
          <w:sz w:val="24"/>
          <w:szCs w:val="24"/>
        </w:rPr>
        <w:t xml:space="preserve">. Available at: </w:t>
      </w:r>
      <w:r w:rsidRPr="5D521198" w:rsidR="16091B42">
        <w:rPr>
          <w:rFonts w:ascii="Aptos" w:hAnsi="Aptos" w:eastAsia="Aptos" w:cs="Aptos"/>
          <w:b w:val="0"/>
          <w:bCs w:val="0"/>
          <w:i w:val="0"/>
          <w:iCs w:val="0"/>
          <w:caps w:val="0"/>
          <w:smallCaps w:val="0"/>
          <w:strike w:val="0"/>
          <w:dstrike w:val="0"/>
          <w:sz w:val="24"/>
          <w:szCs w:val="24"/>
        </w:rPr>
        <w:t>https://recovery.com/resources/what-is-harm-reduction/.</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(Accessed 30 June 2024)</w:t>
      </w:r>
      <w:r w:rsidRPr="5D521198" w:rsidR="1F4E1FE5">
        <w:rPr>
          <w:rFonts w:ascii="Aptos" w:hAnsi="Aptos" w:eastAsia="Aptos" w:cs="Aptos"/>
          <w:b w:val="0"/>
          <w:bCs w:val="0"/>
          <w:i w:val="0"/>
          <w:iCs w:val="0"/>
          <w:caps w:val="0"/>
          <w:smallCaps w:val="0"/>
          <w:color w:val="000000" w:themeColor="text1" w:themeTint="FF" w:themeShade="FF"/>
          <w:sz w:val="24"/>
          <w:szCs w:val="24"/>
        </w:rPr>
        <w:t xml:space="preserve">. </w:t>
      </w:r>
    </w:p>
    <w:p w:rsidR="4443ED71" w:rsidP="5D521198" w:rsidRDefault="4443ED71" w14:paraId="2ABA8B0E" w14:textId="18EE313E">
      <w:pPr>
        <w:spacing w:before="0" w:beforeAutospacing="off" w:after="160" w:afterAutospacing="off" w:line="279" w:lineRule="auto"/>
        <w:ind w:right="0"/>
        <w:jc w:val="left"/>
        <w:rPr>
          <w:rFonts w:ascii="Aptos" w:hAnsi="Aptos" w:eastAsia="Aptos" w:cs="Aptos"/>
          <w:noProof w:val="0"/>
          <w:sz w:val="24"/>
          <w:szCs w:val="24"/>
          <w:lang w:val="en-GB"/>
        </w:rPr>
      </w:pPr>
      <w:r w:rsidRPr="26E7CECC" w:rsidR="4443ED71">
        <w:rPr>
          <w:rFonts w:ascii="Aptos" w:hAnsi="Aptos" w:eastAsia="Aptos" w:cs="Aptos"/>
          <w:b w:val="0"/>
          <w:bCs w:val="0"/>
          <w:i w:val="0"/>
          <w:iCs w:val="0"/>
          <w:caps w:val="0"/>
          <w:smallCaps w:val="0"/>
          <w:noProof w:val="0"/>
          <w:color w:val="000000" w:themeColor="text1" w:themeTint="FF" w:themeShade="FF"/>
          <w:sz w:val="24"/>
          <w:szCs w:val="24"/>
          <w:lang w:val="en-GB"/>
        </w:rPr>
        <w:t>Sampson, F</w:t>
      </w:r>
      <w:r w:rsidRPr="26E7CECC" w:rsidR="4D6FB122">
        <w:rPr>
          <w:rFonts w:ascii="Aptos" w:hAnsi="Aptos" w:eastAsia="Aptos" w:cs="Aptos"/>
          <w:b w:val="0"/>
          <w:bCs w:val="0"/>
          <w:i w:val="0"/>
          <w:iCs w:val="0"/>
          <w:caps w:val="0"/>
          <w:smallCaps w:val="0"/>
          <w:noProof w:val="0"/>
          <w:color w:val="000000" w:themeColor="text1" w:themeTint="FF" w:themeShade="FF"/>
          <w:sz w:val="24"/>
          <w:szCs w:val="24"/>
          <w:lang w:val="en-GB"/>
        </w:rPr>
        <w:t xml:space="preserve">., Hughes, J., Long, J., </w:t>
      </w:r>
      <w:r w:rsidRPr="26E7CECC" w:rsidR="4D6FB122">
        <w:rPr>
          <w:rFonts w:ascii="Aptos" w:hAnsi="Aptos" w:eastAsia="Aptos" w:cs="Aptos"/>
          <w:b w:val="0"/>
          <w:bCs w:val="0"/>
          <w:i w:val="0"/>
          <w:iCs w:val="0"/>
          <w:caps w:val="0"/>
          <w:smallCaps w:val="0"/>
          <w:noProof w:val="0"/>
          <w:color w:val="000000" w:themeColor="text1" w:themeTint="FF" w:themeShade="FF"/>
          <w:sz w:val="24"/>
          <w:szCs w:val="24"/>
          <w:lang w:val="en-GB"/>
        </w:rPr>
        <w:t>Buykx,P</w:t>
      </w:r>
      <w:r w:rsidRPr="26E7CECC" w:rsidR="4D6FB122">
        <w:rPr>
          <w:rFonts w:ascii="Aptos" w:hAnsi="Aptos" w:eastAsia="Aptos" w:cs="Aptos"/>
          <w:b w:val="0"/>
          <w:bCs w:val="0"/>
          <w:i w:val="0"/>
          <w:iCs w:val="0"/>
          <w:caps w:val="0"/>
          <w:smallCaps w:val="0"/>
          <w:noProof w:val="0"/>
          <w:color w:val="000000" w:themeColor="text1" w:themeTint="FF" w:themeShade="FF"/>
          <w:sz w:val="24"/>
          <w:szCs w:val="24"/>
          <w:lang w:val="en-GB"/>
        </w:rPr>
        <w:t xml:space="preserve">., Goodacre, S., Snooks, H., Evans, B., Jones, J., Moore, C., Johnston, S. (2024) Is a randomised controlled trial of </w:t>
      </w:r>
      <w:r w:rsidRPr="26E7CECC" w:rsidR="372DD108">
        <w:rPr>
          <w:rFonts w:ascii="Aptos" w:hAnsi="Aptos" w:eastAsia="Aptos" w:cs="Aptos"/>
          <w:b w:val="0"/>
          <w:bCs w:val="0"/>
          <w:i w:val="0"/>
          <w:iCs w:val="0"/>
          <w:caps w:val="0"/>
          <w:smallCaps w:val="0"/>
          <w:noProof w:val="0"/>
          <w:color w:val="000000" w:themeColor="text1" w:themeTint="FF" w:themeShade="FF"/>
          <w:sz w:val="24"/>
          <w:szCs w:val="24"/>
          <w:lang w:val="en-GB"/>
        </w:rPr>
        <w:t>take-home</w:t>
      </w:r>
      <w:r w:rsidRPr="26E7CECC" w:rsidR="4D6FB122">
        <w:rPr>
          <w:rFonts w:ascii="Aptos" w:hAnsi="Aptos" w:eastAsia="Aptos" w:cs="Aptos"/>
          <w:b w:val="0"/>
          <w:bCs w:val="0"/>
          <w:i w:val="0"/>
          <w:iCs w:val="0"/>
          <w:caps w:val="0"/>
          <w:smallCaps w:val="0"/>
          <w:noProof w:val="0"/>
          <w:color w:val="000000" w:themeColor="text1" w:themeTint="FF" w:themeShade="FF"/>
          <w:sz w:val="24"/>
          <w:szCs w:val="24"/>
          <w:lang w:val="en-GB"/>
        </w:rPr>
        <w:t xml:space="preserve"> naloxone distributed in emergency settings likely to be </w:t>
      </w:r>
      <w:r w:rsidRPr="26E7CECC" w:rsidR="4D6FB122">
        <w:rPr>
          <w:rFonts w:ascii="Aptos" w:hAnsi="Aptos" w:eastAsia="Aptos" w:cs="Aptos"/>
          <w:b w:val="0"/>
          <w:bCs w:val="0"/>
          <w:i w:val="0"/>
          <w:iCs w:val="0"/>
          <w:caps w:val="0"/>
          <w:smallCaps w:val="0"/>
          <w:noProof w:val="0"/>
          <w:color w:val="000000" w:themeColor="text1" w:themeTint="FF" w:themeShade="FF"/>
          <w:sz w:val="24"/>
          <w:szCs w:val="24"/>
          <w:lang w:val="en-GB"/>
        </w:rPr>
        <w:t>feasible</w:t>
      </w:r>
      <w:r w:rsidRPr="26E7CECC" w:rsidR="4D6FB122">
        <w:rPr>
          <w:rFonts w:ascii="Aptos" w:hAnsi="Aptos" w:eastAsia="Aptos" w:cs="Aptos"/>
          <w:b w:val="0"/>
          <w:bCs w:val="0"/>
          <w:i w:val="0"/>
          <w:iCs w:val="0"/>
          <w:caps w:val="0"/>
          <w:smallCaps w:val="0"/>
          <w:noProof w:val="0"/>
          <w:color w:val="000000" w:themeColor="text1" w:themeTint="FF" w:themeShade="FF"/>
          <w:sz w:val="24"/>
          <w:szCs w:val="24"/>
          <w:lang w:val="en-GB"/>
        </w:rPr>
        <w:t xml:space="preserve"> and acceptable? Findings from a UK qualitative study exploring perspectives of people who use opioids and emergency services staff, </w:t>
      </w:r>
      <w:r w:rsidRPr="26E7CECC" w:rsidR="4D6FB122">
        <w:rPr>
          <w:rFonts w:ascii="Aptos" w:hAnsi="Aptos" w:eastAsia="Aptos" w:cs="Aptos"/>
          <w:b w:val="0"/>
          <w:bCs w:val="0"/>
          <w:i w:val="1"/>
          <w:iCs w:val="1"/>
          <w:caps w:val="0"/>
          <w:smallCaps w:val="0"/>
          <w:noProof w:val="0"/>
          <w:color w:val="000000" w:themeColor="text1" w:themeTint="FF" w:themeShade="FF"/>
          <w:sz w:val="24"/>
          <w:szCs w:val="24"/>
          <w:lang w:val="en-GB"/>
        </w:rPr>
        <w:t>BMC Emergency Medicine</w:t>
      </w:r>
      <w:r w:rsidRPr="26E7CECC" w:rsidR="4D6FB122">
        <w:rPr>
          <w:rFonts w:ascii="Aptos" w:hAnsi="Aptos" w:eastAsia="Aptos" w:cs="Aptos"/>
          <w:b w:val="0"/>
          <w:bCs w:val="0"/>
          <w:i w:val="0"/>
          <w:iCs w:val="0"/>
          <w:caps w:val="0"/>
          <w:smallCaps w:val="0"/>
          <w:noProof w:val="0"/>
          <w:color w:val="000000" w:themeColor="text1" w:themeTint="FF" w:themeShade="FF"/>
          <w:sz w:val="24"/>
          <w:szCs w:val="24"/>
          <w:lang w:val="en-GB"/>
        </w:rPr>
        <w:t>, 24(75), pp. 1-10</w:t>
      </w:r>
      <w:r w:rsidRPr="26E7CECC" w:rsidR="1D4FF0B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91B42" w:rsidP="0A6E94E0" w:rsidRDefault="16091B42" w14:paraId="6F6B7950" w14:textId="793873B4">
      <w:pPr>
        <w:spacing w:after="160" w:line="279" w:lineRule="auto"/>
      </w:pPr>
      <w:r w:rsidRPr="5D521198" w:rsidR="16091B42">
        <w:rPr>
          <w:rFonts w:ascii="Aptos" w:hAnsi="Aptos" w:eastAsia="Aptos" w:cs="Aptos"/>
          <w:b w:val="0"/>
          <w:bCs w:val="0"/>
          <w:i w:val="0"/>
          <w:iCs w:val="0"/>
          <w:caps w:val="0"/>
          <w:smallCaps w:val="0"/>
          <w:color w:val="000000" w:themeColor="text1" w:themeTint="FF" w:themeShade="FF"/>
          <w:sz w:val="24"/>
          <w:szCs w:val="24"/>
        </w:rPr>
        <w:t xml:space="preserve">Spring, C., Croxford, S., Ward, Z., Ayres, R., Lord, C., Desai, M., Emanuel, E., Vickerman, P., </w:t>
      </w:r>
      <w:r w:rsidRPr="5D521198" w:rsidR="16091B42">
        <w:rPr>
          <w:rFonts w:ascii="Aptos" w:hAnsi="Aptos" w:eastAsia="Aptos" w:cs="Aptos"/>
          <w:b w:val="0"/>
          <w:bCs w:val="0"/>
          <w:i w:val="0"/>
          <w:iCs w:val="0"/>
          <w:caps w:val="0"/>
          <w:smallCaps w:val="0"/>
          <w:color w:val="000000" w:themeColor="text1" w:themeTint="FF" w:themeShade="FF"/>
          <w:sz w:val="24"/>
          <w:szCs w:val="24"/>
        </w:rPr>
        <w:t>Artenie</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A. (2022) ‘Perceived availability and carriage of take-home naloxone and factors associated with carriage among people who inject drugs in England, Wales and Northern Ireland’, </w:t>
      </w:r>
      <w:r w:rsidRPr="5D521198" w:rsidR="16091B42">
        <w:rPr>
          <w:rFonts w:ascii="Aptos" w:hAnsi="Aptos" w:eastAsia="Aptos" w:cs="Aptos"/>
          <w:b w:val="0"/>
          <w:bCs w:val="0"/>
          <w:i w:val="1"/>
          <w:iCs w:val="1"/>
          <w:caps w:val="0"/>
          <w:smallCaps w:val="0"/>
          <w:color w:val="000000" w:themeColor="text1" w:themeTint="FF" w:themeShade="FF"/>
          <w:sz w:val="24"/>
          <w:szCs w:val="24"/>
        </w:rPr>
        <w:t>The International journal of drug policy</w:t>
      </w:r>
      <w:r w:rsidRPr="5D521198" w:rsidR="16091B42">
        <w:rPr>
          <w:rFonts w:ascii="Aptos" w:hAnsi="Aptos" w:eastAsia="Aptos" w:cs="Aptos"/>
          <w:b w:val="0"/>
          <w:bCs w:val="0"/>
          <w:i w:val="0"/>
          <w:iCs w:val="0"/>
          <w:caps w:val="0"/>
          <w:smallCaps w:val="0"/>
          <w:color w:val="000000" w:themeColor="text1" w:themeTint="FF" w:themeShade="FF"/>
          <w:sz w:val="24"/>
          <w:szCs w:val="24"/>
        </w:rPr>
        <w:t>, 102, pp. 103615–103615.</w:t>
      </w:r>
      <w:r w:rsidRPr="5D521198" w:rsidR="716B52DE">
        <w:rPr>
          <w:rFonts w:ascii="Aptos" w:hAnsi="Aptos" w:eastAsia="Aptos" w:cs="Aptos"/>
          <w:b w:val="0"/>
          <w:bCs w:val="0"/>
          <w:i w:val="0"/>
          <w:iCs w:val="0"/>
          <w:caps w:val="0"/>
          <w:smallCaps w:val="0"/>
          <w:color w:val="000000" w:themeColor="text1" w:themeTint="FF" w:themeShade="FF"/>
          <w:sz w:val="24"/>
          <w:szCs w:val="24"/>
        </w:rPr>
        <w:t xml:space="preserve"> </w:t>
      </w:r>
    </w:p>
    <w:p w:rsidR="16091B42" w:rsidP="0A6E94E0" w:rsidRDefault="16091B42" w14:paraId="358EBBC8" w14:textId="5FF1FADE">
      <w:pPr>
        <w:spacing w:after="160" w:line="279" w:lineRule="auto"/>
      </w:pPr>
      <w:r w:rsidRPr="5D521198" w:rsidR="716B52DE">
        <w:rPr>
          <w:rFonts w:ascii="Aptos" w:hAnsi="Aptos" w:eastAsia="Aptos" w:cs="Aptos"/>
          <w:b w:val="0"/>
          <w:bCs w:val="0"/>
          <w:i w:val="0"/>
          <w:iCs w:val="0"/>
          <w:caps w:val="0"/>
          <w:smallCaps w:val="0"/>
          <w:color w:val="000000" w:themeColor="text1" w:themeTint="FF" w:themeShade="FF"/>
          <w:sz w:val="24"/>
          <w:szCs w:val="24"/>
        </w:rPr>
        <w:t xml:space="preserve">                                         </w:t>
      </w:r>
      <w:r w:rsidRPr="5D521198" w:rsidR="3EC749B3">
        <w:rPr>
          <w:rFonts w:ascii="Aptos" w:hAnsi="Aptos" w:eastAsia="Aptos" w:cs="Aptos"/>
          <w:b w:val="0"/>
          <w:bCs w:val="0"/>
          <w:i w:val="0"/>
          <w:iCs w:val="0"/>
          <w:caps w:val="0"/>
          <w:smallCaps w:val="0"/>
          <w:color w:val="000000" w:themeColor="text1" w:themeTint="FF" w:themeShade="FF"/>
          <w:sz w:val="24"/>
          <w:szCs w:val="24"/>
        </w:rPr>
        <w:t xml:space="preserve">                                                                                                                     </w:t>
      </w:r>
      <w:r w:rsidRPr="5D521198" w:rsidR="2266266C">
        <w:rPr>
          <w:rFonts w:ascii="Aptos" w:hAnsi="Aptos" w:eastAsia="Aptos" w:cs="Aptos"/>
          <w:b w:val="0"/>
          <w:bCs w:val="0"/>
          <w:i w:val="0"/>
          <w:iCs w:val="0"/>
          <w:caps w:val="0"/>
          <w:smallCaps w:val="0"/>
          <w:color w:val="000000" w:themeColor="text1" w:themeTint="FF" w:themeShade="FF"/>
          <w:sz w:val="24"/>
          <w:szCs w:val="24"/>
        </w:rPr>
        <w:t xml:space="preserve"> </w:t>
      </w:r>
      <w:r w:rsidRPr="5D521198" w:rsidR="3EC749B3">
        <w:rPr>
          <w:rFonts w:ascii="Aptos" w:hAnsi="Aptos" w:eastAsia="Aptos" w:cs="Aptos"/>
          <w:b w:val="0"/>
          <w:bCs w:val="0"/>
          <w:i w:val="0"/>
          <w:iCs w:val="0"/>
          <w:caps w:val="0"/>
          <w:smallCaps w:val="0"/>
          <w:color w:val="000000" w:themeColor="text1" w:themeTint="FF" w:themeShade="FF"/>
          <w:sz w:val="24"/>
          <w:szCs w:val="24"/>
        </w:rPr>
        <w:t xml:space="preserve">            </w:t>
      </w:r>
      <w:r w:rsidRPr="5D521198" w:rsidR="466C39BB">
        <w:rPr>
          <w:rFonts w:ascii="Aptos" w:hAnsi="Aptos" w:eastAsia="Aptos" w:cs="Aptos"/>
          <w:b w:val="0"/>
          <w:bCs w:val="0"/>
          <w:i w:val="0"/>
          <w:iCs w:val="0"/>
          <w:caps w:val="0"/>
          <w:smallCaps w:val="0"/>
          <w:color w:val="000000" w:themeColor="text1" w:themeTint="FF" w:themeShade="FF"/>
          <w:sz w:val="24"/>
          <w:szCs w:val="24"/>
        </w:rPr>
        <w:t xml:space="preserve"> </w:t>
      </w:r>
      <w:r w:rsidRPr="5D521198" w:rsidR="14ABD81C">
        <w:rPr>
          <w:rFonts w:ascii="Aptos" w:hAnsi="Aptos" w:eastAsia="Aptos" w:cs="Aptos"/>
          <w:b w:val="0"/>
          <w:bCs w:val="0"/>
          <w:i w:val="0"/>
          <w:iCs w:val="0"/>
          <w:caps w:val="0"/>
          <w:smallCaps w:val="0"/>
          <w:color w:val="000000" w:themeColor="text1" w:themeTint="FF" w:themeShade="FF"/>
          <w:sz w:val="24"/>
          <w:szCs w:val="24"/>
        </w:rPr>
        <w:t xml:space="preserve"> </w:t>
      </w:r>
      <w:r w:rsidRPr="5D521198" w:rsidR="16091B42">
        <w:rPr>
          <w:rFonts w:ascii="Aptos" w:hAnsi="Aptos" w:eastAsia="Aptos" w:cs="Aptos"/>
          <w:b w:val="0"/>
          <w:bCs w:val="0"/>
          <w:i w:val="0"/>
          <w:iCs w:val="0"/>
          <w:caps w:val="0"/>
          <w:smallCaps w:val="0"/>
          <w:color w:val="000000" w:themeColor="text1" w:themeTint="FF" w:themeShade="FF"/>
          <w:sz w:val="24"/>
          <w:szCs w:val="24"/>
        </w:rPr>
        <w:t>Sumnall</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H., Atkinson, A., Gage, S., Hamilton, I., Montgomery, C. (2021) Less than human; Dehumanization of people that use heroin, </w:t>
      </w:r>
      <w:r w:rsidRPr="5D521198" w:rsidR="16091B42">
        <w:rPr>
          <w:rFonts w:ascii="Aptos" w:hAnsi="Aptos" w:eastAsia="Aptos" w:cs="Aptos"/>
          <w:b w:val="0"/>
          <w:bCs w:val="0"/>
          <w:i w:val="1"/>
          <w:iCs w:val="1"/>
          <w:caps w:val="0"/>
          <w:smallCaps w:val="0"/>
          <w:color w:val="000000" w:themeColor="text1" w:themeTint="FF" w:themeShade="FF"/>
          <w:sz w:val="24"/>
          <w:szCs w:val="24"/>
        </w:rPr>
        <w:t>Health Education</w:t>
      </w:r>
      <w:r w:rsidRPr="5D521198" w:rsidR="16091B42">
        <w:rPr>
          <w:rFonts w:ascii="Aptos" w:hAnsi="Aptos" w:eastAsia="Aptos" w:cs="Aptos"/>
          <w:b w:val="0"/>
          <w:bCs w:val="0"/>
          <w:i w:val="0"/>
          <w:iCs w:val="0"/>
          <w:caps w:val="0"/>
          <w:smallCaps w:val="0"/>
          <w:color w:val="000000" w:themeColor="text1" w:themeTint="FF" w:themeShade="FF"/>
          <w:sz w:val="24"/>
          <w:szCs w:val="24"/>
        </w:rPr>
        <w:t>, 121(6), pp. 649 – 669.</w:t>
      </w:r>
    </w:p>
    <w:p w:rsidR="16091B42" w:rsidP="0A6E94E0" w:rsidRDefault="16091B42" w14:paraId="7DFE7B39" w14:textId="10F05F57">
      <w:pPr>
        <w:spacing w:after="160" w:line="279" w:lineRule="auto"/>
        <w:rPr>
          <w:rFonts w:ascii="Aptos" w:hAnsi="Aptos" w:eastAsia="Aptos" w:cs="Aptos"/>
          <w:noProof w:val="0"/>
          <w:sz w:val="24"/>
          <w:szCs w:val="24"/>
          <w:lang w:val="en-US"/>
        </w:rPr>
      </w:pPr>
      <w:r w:rsidRPr="5D521198" w:rsidR="16091B42">
        <w:rPr>
          <w:rFonts w:ascii="Aptos" w:hAnsi="Aptos" w:eastAsia="Aptos" w:cs="Aptos"/>
          <w:b w:val="0"/>
          <w:bCs w:val="0"/>
          <w:i w:val="0"/>
          <w:iCs w:val="0"/>
          <w:caps w:val="0"/>
          <w:smallCaps w:val="0"/>
          <w:color w:val="000000" w:themeColor="text1" w:themeTint="FF" w:themeShade="FF"/>
          <w:sz w:val="24"/>
          <w:szCs w:val="24"/>
        </w:rPr>
        <w:t xml:space="preserve">United Kingdom Government (2023) </w:t>
      </w:r>
      <w:r w:rsidRPr="5D521198" w:rsidR="16091B42">
        <w:rPr>
          <w:rFonts w:ascii="Aptos" w:hAnsi="Aptos" w:eastAsia="Aptos" w:cs="Aptos"/>
          <w:b w:val="0"/>
          <w:bCs w:val="0"/>
          <w:i w:val="1"/>
          <w:iCs w:val="1"/>
          <w:caps w:val="0"/>
          <w:smallCaps w:val="0"/>
          <w:color w:val="000000" w:themeColor="text1" w:themeTint="FF" w:themeShade="FF"/>
          <w:sz w:val="24"/>
          <w:szCs w:val="24"/>
        </w:rPr>
        <w:t>Adult substance misuse treatment statistics 2022 to 2023: Report</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Available at: </w:t>
      </w:r>
      <w:r w:rsidRPr="5D521198" w:rsidR="16091B42">
        <w:rPr>
          <w:rFonts w:ascii="Aptos" w:hAnsi="Aptos" w:eastAsia="Aptos" w:cs="Aptos"/>
          <w:b w:val="0"/>
          <w:bCs w:val="0"/>
          <w:i w:val="0"/>
          <w:iCs w:val="0"/>
          <w:caps w:val="0"/>
          <w:smallCaps w:val="0"/>
          <w:strike w:val="0"/>
          <w:dstrike w:val="0"/>
          <w:sz w:val="24"/>
          <w:szCs w:val="24"/>
        </w:rPr>
        <w:t>https://www.gov.uk/government/statistics/substance-misuse-treatment-for-adults-statistics-2022-to-2023/adult-substance-misuse-treatment-statistics-2022-to-2023-report</w:t>
      </w:r>
      <w:r w:rsidRPr="5D521198" w:rsidR="16091B42">
        <w:rPr>
          <w:rFonts w:ascii="Aptos" w:hAnsi="Aptos" w:eastAsia="Aptos" w:cs="Aptos"/>
          <w:b w:val="0"/>
          <w:bCs w:val="0"/>
          <w:i w:val="0"/>
          <w:iCs w:val="0"/>
          <w:caps w:val="0"/>
          <w:smallCaps w:val="0"/>
          <w:color w:val="000000" w:themeColor="text1" w:themeTint="FF" w:themeShade="FF"/>
          <w:sz w:val="24"/>
          <w:szCs w:val="24"/>
        </w:rPr>
        <w:t>. (Accessed on 27 June 2024)</w:t>
      </w:r>
      <w:r w:rsidRPr="5D521198" w:rsidR="67883C29">
        <w:rPr>
          <w:rFonts w:ascii="Aptos" w:hAnsi="Aptos" w:eastAsia="Aptos" w:cs="Aptos"/>
          <w:b w:val="0"/>
          <w:bCs w:val="0"/>
          <w:i w:val="0"/>
          <w:iCs w:val="0"/>
          <w:caps w:val="0"/>
          <w:smallCaps w:val="0"/>
          <w:color w:val="000000" w:themeColor="text1" w:themeTint="FF" w:themeShade="FF"/>
          <w:sz w:val="24"/>
          <w:szCs w:val="24"/>
        </w:rPr>
        <w:t xml:space="preserve">. </w:t>
      </w:r>
    </w:p>
    <w:p w:rsidR="16091B42" w:rsidP="5D521198" w:rsidRDefault="16091B42" w14:paraId="452FF4E0" w14:textId="06A8B6A6">
      <w:pPr>
        <w:spacing w:after="160" w:line="279" w:lineRule="auto"/>
        <w:rPr>
          <w:rFonts w:ascii="Aptos" w:hAnsi="Aptos" w:eastAsia="Aptos" w:cs="Aptos"/>
          <w:noProof w:val="0"/>
          <w:sz w:val="24"/>
          <w:szCs w:val="24"/>
          <w:lang w:val="en-GB"/>
        </w:rPr>
      </w:pPr>
      <w:r w:rsidRPr="5D521198" w:rsidR="295A19D2">
        <w:rPr>
          <w:rFonts w:ascii="Aptos" w:hAnsi="Aptos" w:eastAsia="Aptos" w:cs="Aptos"/>
          <w:b w:val="0"/>
          <w:bCs w:val="0"/>
          <w:i w:val="0"/>
          <w:iCs w:val="0"/>
          <w:caps w:val="0"/>
          <w:smallCaps w:val="0"/>
          <w:noProof w:val="0"/>
          <w:color w:val="000000" w:themeColor="text1" w:themeTint="FF" w:themeShade="FF"/>
          <w:sz w:val="24"/>
          <w:szCs w:val="24"/>
          <w:lang w:val="en-GB"/>
        </w:rPr>
        <w:t>United Kingdom Government (2024) Misuse of drugs act 1974. Available at: https://www.legislation.gov.uk/ukpga/1971/38/contents (Accessed 3 July 2024)</w:t>
      </w:r>
      <w:r w:rsidRPr="5D521198" w:rsidR="295A19D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91B42" w:rsidP="5D521198" w:rsidRDefault="16091B42" w14:paraId="1A34D616" w14:textId="59CE69E0">
      <w:pPr>
        <w:pStyle w:val="Normal"/>
        <w:spacing w:after="160" w:line="279" w:lineRule="auto"/>
        <w:rPr>
          <w:rFonts w:ascii="Aptos" w:hAnsi="Aptos" w:eastAsia="Aptos" w:cs="Aptos"/>
          <w:noProof w:val="0"/>
          <w:sz w:val="24"/>
          <w:szCs w:val="24"/>
          <w:lang w:val="en-US"/>
        </w:rPr>
      </w:pPr>
      <w:r w:rsidRPr="5D521198" w:rsidR="16091B42">
        <w:rPr>
          <w:rFonts w:ascii="Aptos" w:hAnsi="Aptos" w:eastAsia="Aptos" w:cs="Aptos"/>
          <w:b w:val="0"/>
          <w:bCs w:val="0"/>
          <w:i w:val="0"/>
          <w:iCs w:val="0"/>
          <w:caps w:val="0"/>
          <w:smallCaps w:val="0"/>
          <w:color w:val="000000" w:themeColor="text1" w:themeTint="FF" w:themeShade="FF"/>
          <w:sz w:val="24"/>
          <w:szCs w:val="24"/>
        </w:rPr>
        <w:t xml:space="preserve">Welsh Government (2011) </w:t>
      </w:r>
      <w:r w:rsidRPr="5D521198" w:rsidR="16091B42">
        <w:rPr>
          <w:rFonts w:ascii="Aptos" w:hAnsi="Aptos" w:eastAsia="Aptos" w:cs="Aptos"/>
          <w:b w:val="0"/>
          <w:bCs w:val="0"/>
          <w:i w:val="1"/>
          <w:iCs w:val="1"/>
          <w:caps w:val="0"/>
          <w:smallCaps w:val="0"/>
          <w:color w:val="000000" w:themeColor="text1" w:themeTint="FF" w:themeShade="FF"/>
          <w:sz w:val="24"/>
          <w:szCs w:val="24"/>
        </w:rPr>
        <w:t xml:space="preserve">Substance misuse treatment framework (SMTF) service framework for needle and syringe </w:t>
      </w:r>
      <w:r w:rsidRPr="5D521198" w:rsidR="16091B42">
        <w:rPr>
          <w:rFonts w:ascii="Aptos" w:hAnsi="Aptos" w:eastAsia="Aptos" w:cs="Aptos"/>
          <w:b w:val="0"/>
          <w:bCs w:val="0"/>
          <w:i w:val="1"/>
          <w:iCs w:val="1"/>
          <w:caps w:val="0"/>
          <w:smallCaps w:val="0"/>
          <w:color w:val="000000" w:themeColor="text1" w:themeTint="FF" w:themeShade="FF"/>
          <w:sz w:val="24"/>
          <w:szCs w:val="24"/>
        </w:rPr>
        <w:t>programmes</w:t>
      </w:r>
      <w:r w:rsidRPr="5D521198" w:rsidR="16091B42">
        <w:rPr>
          <w:rFonts w:ascii="Aptos" w:hAnsi="Aptos" w:eastAsia="Aptos" w:cs="Aptos"/>
          <w:b w:val="0"/>
          <w:bCs w:val="0"/>
          <w:i w:val="1"/>
          <w:iCs w:val="1"/>
          <w:caps w:val="0"/>
          <w:smallCaps w:val="0"/>
          <w:color w:val="000000" w:themeColor="text1" w:themeTint="FF" w:themeShade="FF"/>
          <w:sz w:val="24"/>
          <w:szCs w:val="24"/>
        </w:rPr>
        <w:t xml:space="preserve"> in Wales,</w:t>
      </w:r>
      <w:r w:rsidRPr="5D521198" w:rsidR="16091B42">
        <w:rPr>
          <w:rFonts w:ascii="Aptos" w:hAnsi="Aptos" w:eastAsia="Aptos" w:cs="Aptos"/>
          <w:b w:val="0"/>
          <w:bCs w:val="0"/>
          <w:i w:val="0"/>
          <w:iCs w:val="0"/>
          <w:caps w:val="0"/>
          <w:smallCaps w:val="0"/>
          <w:color w:val="000000" w:themeColor="text1" w:themeTint="FF" w:themeShade="FF"/>
          <w:sz w:val="24"/>
          <w:szCs w:val="24"/>
        </w:rPr>
        <w:t xml:space="preserve"> Available at: </w:t>
      </w:r>
      <w:r w:rsidRPr="5D521198" w:rsidR="16091B42">
        <w:rPr>
          <w:rFonts w:ascii="Aptos" w:hAnsi="Aptos" w:eastAsia="Aptos" w:cs="Aptos"/>
          <w:b w:val="0"/>
          <w:bCs w:val="0"/>
          <w:i w:val="0"/>
          <w:iCs w:val="0"/>
          <w:caps w:val="0"/>
          <w:smallCaps w:val="0"/>
          <w:strike w:val="0"/>
          <w:dstrike w:val="0"/>
          <w:sz w:val="24"/>
          <w:szCs w:val="24"/>
        </w:rPr>
        <w:t>https://www.gov.wales/sites/default/files/publications/2019-02/substance-misuse-treatment-framework-service-framework-for-needle-and-syringe-programmes-in-wales.pdf</w:t>
      </w:r>
      <w:r w:rsidRPr="5D521198" w:rsidR="16091B42">
        <w:rPr>
          <w:rFonts w:ascii="Aptos" w:hAnsi="Aptos" w:eastAsia="Aptos" w:cs="Aptos"/>
          <w:b w:val="0"/>
          <w:bCs w:val="0"/>
          <w:i w:val="0"/>
          <w:iCs w:val="0"/>
          <w:caps w:val="0"/>
          <w:smallCaps w:val="0"/>
          <w:color w:val="000000" w:themeColor="text1" w:themeTint="FF" w:themeShade="FF"/>
          <w:sz w:val="24"/>
          <w:szCs w:val="24"/>
        </w:rPr>
        <w:t>. (Accessed 28 June 2024)</w:t>
      </w:r>
      <w:r w:rsidRPr="5D521198" w:rsidR="05A94250">
        <w:rPr>
          <w:rFonts w:ascii="Aptos" w:hAnsi="Aptos" w:eastAsia="Aptos" w:cs="Aptos"/>
          <w:b w:val="0"/>
          <w:bCs w:val="0"/>
          <w:i w:val="0"/>
          <w:iCs w:val="0"/>
          <w:caps w:val="0"/>
          <w:smallCaps w:val="0"/>
          <w:color w:val="000000" w:themeColor="text1" w:themeTint="FF" w:themeShade="FF"/>
          <w:sz w:val="24"/>
          <w:szCs w:val="24"/>
        </w:rPr>
        <w:t xml:space="preserve">. </w:t>
      </w:r>
    </w:p>
    <w:p w:rsidR="0A6E94E0" w:rsidP="5D521198" w:rsidRDefault="0A6E94E0" w14:paraId="7F0C967B" w14:textId="696F3010">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0A6E94E0" w:rsidP="0A6E94E0" w:rsidRDefault="0A6E94E0" w14:paraId="3BEDAF8E" w14:textId="6449341E">
      <w:pPr>
        <w:pStyle w:val="Normal"/>
        <w:spacing w:after="160" w:line="279" w:lineRule="auto"/>
        <w:rPr>
          <w:rFonts w:ascii="Aptos" w:hAnsi="Aptos" w:eastAsia="Aptos" w:cs="Aptos"/>
          <w:noProof w:val="0"/>
          <w:sz w:val="24"/>
          <w:szCs w:val="24"/>
          <w:lang w:val="en-US"/>
        </w:rPr>
      </w:pPr>
    </w:p>
    <w:p w:rsidR="0A6E94E0" w:rsidP="0A6E94E0" w:rsidRDefault="0A6E94E0" w14:paraId="5CE88B33" w14:textId="2F84C2C4">
      <w:pPr>
        <w:pStyle w:val="Normal"/>
        <w:spacing w:after="160" w:line="279" w:lineRule="auto"/>
        <w:rPr>
          <w:rFonts w:ascii="Aptos" w:hAnsi="Aptos" w:eastAsia="Aptos" w:cs="Aptos"/>
          <w:noProof w:val="0"/>
          <w:sz w:val="24"/>
          <w:szCs w:val="24"/>
          <w:lang w:val="en-US"/>
        </w:rPr>
      </w:pPr>
    </w:p>
    <w:p w:rsidR="16091B42" w:rsidP="0A6E94E0" w:rsidRDefault="16091B42" w14:paraId="03299344" w14:textId="6AE0EAF7">
      <w:pPr>
        <w:spacing w:after="160" w:line="279" w:lineRule="auto"/>
        <w:rPr>
          <w:rFonts w:ascii="Aptos" w:hAnsi="Aptos" w:eastAsia="Aptos" w:cs="Aptos"/>
          <w:noProof w:val="0"/>
          <w:sz w:val="24"/>
          <w:szCs w:val="24"/>
          <w:lang w:val="en-US"/>
        </w:rPr>
      </w:pPr>
      <w:r w:rsidRPr="5D521198" w:rsidR="16091B42">
        <w:rPr>
          <w:rFonts w:ascii="Aptos" w:hAnsi="Aptos" w:eastAsia="Aptos" w:cs="Aptos"/>
          <w:sz w:val="24"/>
          <w:szCs w:val="24"/>
        </w:rPr>
        <w:t xml:space="preserve"> </w:t>
      </w:r>
    </w:p>
    <w:p w:rsidR="0A6E94E0" w:rsidP="0A6E94E0" w:rsidRDefault="0A6E94E0" w14:paraId="723B6904" w14:textId="6005FE0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X0Q1TJDe7fP7rO" int2:id="zC7cZsBe">
      <int2:state int2:type="AugLoop_Text_Critique" int2:value="Rejected"/>
    </int2:textHash>
    <int2:textHash int2:hashCode="rJZXmwgOF+0YrS" int2:id="hYkER7LG">
      <int2:state int2:type="AugLoop_Text_Critique" int2:value="Rejected"/>
    </int2:textHash>
    <int2:textHash int2:hashCode="wda0loeNliUjtb" int2:id="yNp9k9Fr">
      <int2:state int2:type="AugLoop_Text_Critique" int2:value="Rejected"/>
    </int2:textHash>
    <int2:textHash int2:hashCode="c3bShzfLiXK9sX" int2:id="aDoo8yXw">
      <int2:state int2:type="AugLoop_Text_Critique" int2:value="Rejected"/>
    </int2:textHash>
    <int2:textHash int2:hashCode="L1psbA3pFWhbR7" int2:id="dhSIEjE2">
      <int2:state int2:type="AugLoop_Text_Critique" int2:value="Rejected"/>
    </int2:textHash>
    <int2:textHash int2:hashCode="4z0ha6V0DzzpUu" int2:id="iniaH3W1">
      <int2:state int2:type="AugLoop_Text_Critique" int2:value="Rejected"/>
    </int2:textHash>
    <int2:textHash int2:hashCode="37+WqRC16EA0j+" int2:id="TgSI5VHM">
      <int2:state int2:type="AugLoop_Text_Critique" int2:value="Rejected"/>
    </int2:textHash>
    <int2:textHash int2:hashCode="LFJDKAAv3nSN6X" int2:id="HPMOFtIc">
      <int2:state int2:type="AugLoop_Text_Critique" int2:value="Rejected"/>
    </int2:textHash>
    <int2:textHash int2:hashCode="ni8UUdXdlt6RIo" int2:id="COBwRs8B">
      <int2:state int2:type="AugLoop_Text_Critique" int2:value="Rejected"/>
    </int2:textHash>
    <int2:textHash int2:hashCode="ldZ1CmOBUYYUC5" int2:id="lKKDX4zS">
      <int2:state int2:type="AugLoop_Text_Critique" int2:value="Rejected"/>
    </int2:textHash>
    <int2:textHash int2:hashCode="OrtZNwJC/JiGrS" int2:id="YV8elmqn">
      <int2:state int2:type="AugLoop_Text_Critique" int2:value="Rejected"/>
    </int2:textHash>
    <int2:textHash int2:hashCode="ZOAJOScugFT7lP" int2:id="1H99xeh7">
      <int2:state int2:type="AugLoop_Text_Critique" int2:value="Rejected"/>
    </int2:textHash>
    <int2:entireDocument int2:id="CpEIe18P">
      <int2:extLst>
        <oel:ext uri="E302BA01-7950-474C-9AD3-286E660C40A8">
          <int2:similaritySummary int2:version="1" int2:runId="1720010685824" int2:tilesCheckedInThisRun="34" int2:totalNumOfTiles="34" int2:similarityAnnotationCount="0" int2:numWords="1694" int2:numFlaggedWords="0"/>
        </oel:ext>
      </int2:extLst>
    </int2:entireDocument>
  </int2:observations>
  <int2:intelligenceSettings/>
  <int2:onDemandWorkflows>
    <int2:onDemandWorkflow int2:type="SimilarityCheck" int2:paragraphVersions="50891C2B-5E7937B1 0A910E3B-2AB464B4 2F6AAB25-69B4173D 2D074459-43E20B1E 3414B8FF-488A73C8 5C5A4DE0-1C84E6DF 417E7BF1-368D9487 6A39BE72-21E8B769 2147D832-06242A6E 3989B642-0F167E78 1D3B9B0A-797EFFF1 117EF136-363C3A6D 7EB2521D-60F376BD 339A7811-5398A10B 44F2AE9E-430E55A0 2C078E63-478038A0 6E602CC7-72E07887 7EBD05B8-6BD0DC4A 4796C29E-22CD55C2 5532040C-42996B02 4C79C945-3FC884BF 6DC02677-3118C1D9 2431ADE5-5FB4F098 7A5D7AF6-47A8CF44 55B344EB-20F42D3A 55C4DD78-38C685FA 601C2027-64C566F3 108F5E31-2A80BB6D 0E287EC9-15F1501F 2ABA8B0E-18EE313E 6F6B7950-793873B4 358EBBC8-5FF1FADE 7DFE7B39-10F05F57 452FF4E0-06A8B6A6 1A34D616-59CE69E0 7F0C967B-696F3010 3BEDAF8E-6449341E 5CE88B33-2F84C2C4 03299344-6AE0EAF7 723B6904-6005FE0F"/>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011709"/>
    <w:rsid w:val="01CE5C94"/>
    <w:rsid w:val="027C1299"/>
    <w:rsid w:val="03073831"/>
    <w:rsid w:val="030CEF98"/>
    <w:rsid w:val="03820E51"/>
    <w:rsid w:val="04696BCA"/>
    <w:rsid w:val="04801CA4"/>
    <w:rsid w:val="05A94250"/>
    <w:rsid w:val="06F6F1F4"/>
    <w:rsid w:val="09527668"/>
    <w:rsid w:val="09E4990A"/>
    <w:rsid w:val="0A19091F"/>
    <w:rsid w:val="0A6E94E0"/>
    <w:rsid w:val="0BD2647B"/>
    <w:rsid w:val="0C704961"/>
    <w:rsid w:val="0C704961"/>
    <w:rsid w:val="0C8CA37E"/>
    <w:rsid w:val="0CC1CE52"/>
    <w:rsid w:val="0D5EC215"/>
    <w:rsid w:val="0D8859B3"/>
    <w:rsid w:val="0FA4C304"/>
    <w:rsid w:val="11AC40DD"/>
    <w:rsid w:val="132E9921"/>
    <w:rsid w:val="13A8FBAE"/>
    <w:rsid w:val="13C7B422"/>
    <w:rsid w:val="14048694"/>
    <w:rsid w:val="1449C581"/>
    <w:rsid w:val="1490055C"/>
    <w:rsid w:val="14ABD81C"/>
    <w:rsid w:val="16091B42"/>
    <w:rsid w:val="175C657D"/>
    <w:rsid w:val="17673042"/>
    <w:rsid w:val="180702C5"/>
    <w:rsid w:val="1A82A674"/>
    <w:rsid w:val="1C921791"/>
    <w:rsid w:val="1D4FF0BB"/>
    <w:rsid w:val="1DDC6387"/>
    <w:rsid w:val="1F4E1FE5"/>
    <w:rsid w:val="1F8BBBA3"/>
    <w:rsid w:val="20597470"/>
    <w:rsid w:val="20A07711"/>
    <w:rsid w:val="2141A35F"/>
    <w:rsid w:val="2141A35F"/>
    <w:rsid w:val="2266266C"/>
    <w:rsid w:val="2350682B"/>
    <w:rsid w:val="236E725B"/>
    <w:rsid w:val="23F5AA45"/>
    <w:rsid w:val="255D336F"/>
    <w:rsid w:val="2583733B"/>
    <w:rsid w:val="25F06B08"/>
    <w:rsid w:val="26E7CECC"/>
    <w:rsid w:val="272E3764"/>
    <w:rsid w:val="2800625F"/>
    <w:rsid w:val="2897D365"/>
    <w:rsid w:val="295A19D2"/>
    <w:rsid w:val="29748FF1"/>
    <w:rsid w:val="2B6C41FD"/>
    <w:rsid w:val="2E94BEE1"/>
    <w:rsid w:val="2EEFE062"/>
    <w:rsid w:val="2FA8AD8A"/>
    <w:rsid w:val="2FEBAD11"/>
    <w:rsid w:val="305DC72E"/>
    <w:rsid w:val="331131CD"/>
    <w:rsid w:val="338F21CB"/>
    <w:rsid w:val="340F70B6"/>
    <w:rsid w:val="342AA330"/>
    <w:rsid w:val="348869E0"/>
    <w:rsid w:val="355452E8"/>
    <w:rsid w:val="372DD108"/>
    <w:rsid w:val="37B29A75"/>
    <w:rsid w:val="391B662D"/>
    <w:rsid w:val="39DD396E"/>
    <w:rsid w:val="3A011709"/>
    <w:rsid w:val="3C6C8F1C"/>
    <w:rsid w:val="3E39F7D0"/>
    <w:rsid w:val="3EC749B3"/>
    <w:rsid w:val="3EFDB50D"/>
    <w:rsid w:val="4128DB34"/>
    <w:rsid w:val="42B41BBE"/>
    <w:rsid w:val="4308B0AE"/>
    <w:rsid w:val="4443ED71"/>
    <w:rsid w:val="4454A2C4"/>
    <w:rsid w:val="452A6437"/>
    <w:rsid w:val="466C39BB"/>
    <w:rsid w:val="47F35210"/>
    <w:rsid w:val="4CB1B66E"/>
    <w:rsid w:val="4D6FB122"/>
    <w:rsid w:val="4DCB415C"/>
    <w:rsid w:val="4F2E38F0"/>
    <w:rsid w:val="504427FE"/>
    <w:rsid w:val="50A05FFB"/>
    <w:rsid w:val="50F47673"/>
    <w:rsid w:val="51138C9F"/>
    <w:rsid w:val="5493B949"/>
    <w:rsid w:val="59CD527D"/>
    <w:rsid w:val="5A5603C6"/>
    <w:rsid w:val="5A906F77"/>
    <w:rsid w:val="5BE9BCE9"/>
    <w:rsid w:val="5D521198"/>
    <w:rsid w:val="5E2F48E9"/>
    <w:rsid w:val="5F6B946E"/>
    <w:rsid w:val="60CCCFAF"/>
    <w:rsid w:val="6294D33E"/>
    <w:rsid w:val="630B2367"/>
    <w:rsid w:val="63677E7E"/>
    <w:rsid w:val="638E5348"/>
    <w:rsid w:val="63BAF000"/>
    <w:rsid w:val="649A8AC4"/>
    <w:rsid w:val="64E1D0C6"/>
    <w:rsid w:val="66A793DF"/>
    <w:rsid w:val="66C9A959"/>
    <w:rsid w:val="67575D1D"/>
    <w:rsid w:val="67780481"/>
    <w:rsid w:val="67883C29"/>
    <w:rsid w:val="6A17728A"/>
    <w:rsid w:val="6B4847E6"/>
    <w:rsid w:val="6BE22B59"/>
    <w:rsid w:val="6BE22B59"/>
    <w:rsid w:val="6C32068C"/>
    <w:rsid w:val="6DBB24EC"/>
    <w:rsid w:val="716B52DE"/>
    <w:rsid w:val="71EE0369"/>
    <w:rsid w:val="73A7F924"/>
    <w:rsid w:val="7462D730"/>
    <w:rsid w:val="755ECBD8"/>
    <w:rsid w:val="768DF4A6"/>
    <w:rsid w:val="7778DF1C"/>
    <w:rsid w:val="77F9B5CE"/>
    <w:rsid w:val="795C2E3A"/>
    <w:rsid w:val="7B711E3C"/>
    <w:rsid w:val="7BB8E8BF"/>
    <w:rsid w:val="7C582431"/>
    <w:rsid w:val="7CEDE223"/>
    <w:rsid w:val="7DD8296A"/>
    <w:rsid w:val="7E0FBDAC"/>
    <w:rsid w:val="7E7D14E9"/>
    <w:rsid w:val="7F4D16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11709"/>
  <w15:chartTrackingRefBased/>
  <w15:docId w15:val="{29726C6D-BA51-4FD8-9B52-73226CA977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D52119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D52119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D52119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D52119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D52119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D52119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D52119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D52119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D52119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D52119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D52119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D52119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D52119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D521198"/>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5D521198"/>
    <w:pPr>
      <w:spacing/>
      <w:ind w:left="720"/>
      <w:contextualSpacing/>
    </w:pPr>
  </w:style>
  <w:style w:type="paragraph" w:styleId="TOC1">
    <w:uiPriority w:val="39"/>
    <w:name w:val="toc 1"/>
    <w:basedOn w:val="Normal"/>
    <w:next w:val="Normal"/>
    <w:unhideWhenUsed/>
    <w:rsid w:val="5D521198"/>
    <w:pPr>
      <w:spacing w:after="100"/>
    </w:pPr>
  </w:style>
  <w:style w:type="paragraph" w:styleId="TOC2">
    <w:uiPriority w:val="39"/>
    <w:name w:val="toc 2"/>
    <w:basedOn w:val="Normal"/>
    <w:next w:val="Normal"/>
    <w:unhideWhenUsed/>
    <w:rsid w:val="5D521198"/>
    <w:pPr>
      <w:spacing w:after="100"/>
      <w:ind w:left="220"/>
    </w:pPr>
  </w:style>
  <w:style w:type="paragraph" w:styleId="TOC3">
    <w:uiPriority w:val="39"/>
    <w:name w:val="toc 3"/>
    <w:basedOn w:val="Normal"/>
    <w:next w:val="Normal"/>
    <w:unhideWhenUsed/>
    <w:rsid w:val="5D521198"/>
    <w:pPr>
      <w:spacing w:after="100"/>
      <w:ind w:left="440"/>
    </w:pPr>
  </w:style>
  <w:style w:type="paragraph" w:styleId="TOC4">
    <w:uiPriority w:val="39"/>
    <w:name w:val="toc 4"/>
    <w:basedOn w:val="Normal"/>
    <w:next w:val="Normal"/>
    <w:unhideWhenUsed/>
    <w:rsid w:val="5D521198"/>
    <w:pPr>
      <w:spacing w:after="100"/>
      <w:ind w:left="660"/>
    </w:pPr>
  </w:style>
  <w:style w:type="paragraph" w:styleId="TOC5">
    <w:uiPriority w:val="39"/>
    <w:name w:val="toc 5"/>
    <w:basedOn w:val="Normal"/>
    <w:next w:val="Normal"/>
    <w:unhideWhenUsed/>
    <w:rsid w:val="5D521198"/>
    <w:pPr>
      <w:spacing w:after="100"/>
      <w:ind w:left="880"/>
    </w:pPr>
  </w:style>
  <w:style w:type="paragraph" w:styleId="TOC6">
    <w:uiPriority w:val="39"/>
    <w:name w:val="toc 6"/>
    <w:basedOn w:val="Normal"/>
    <w:next w:val="Normal"/>
    <w:unhideWhenUsed/>
    <w:rsid w:val="5D521198"/>
    <w:pPr>
      <w:spacing w:after="100"/>
      <w:ind w:left="1100"/>
    </w:pPr>
  </w:style>
  <w:style w:type="paragraph" w:styleId="TOC7">
    <w:uiPriority w:val="39"/>
    <w:name w:val="toc 7"/>
    <w:basedOn w:val="Normal"/>
    <w:next w:val="Normal"/>
    <w:unhideWhenUsed/>
    <w:rsid w:val="5D521198"/>
    <w:pPr>
      <w:spacing w:after="100"/>
      <w:ind w:left="1320"/>
    </w:pPr>
  </w:style>
  <w:style w:type="paragraph" w:styleId="TOC8">
    <w:uiPriority w:val="39"/>
    <w:name w:val="toc 8"/>
    <w:basedOn w:val="Normal"/>
    <w:next w:val="Normal"/>
    <w:unhideWhenUsed/>
    <w:rsid w:val="5D521198"/>
    <w:pPr>
      <w:spacing w:after="100"/>
      <w:ind w:left="1540"/>
    </w:pPr>
  </w:style>
  <w:style w:type="paragraph" w:styleId="TOC9">
    <w:uiPriority w:val="39"/>
    <w:name w:val="toc 9"/>
    <w:basedOn w:val="Normal"/>
    <w:next w:val="Normal"/>
    <w:unhideWhenUsed/>
    <w:rsid w:val="5D521198"/>
    <w:pPr>
      <w:spacing w:after="100"/>
      <w:ind w:left="1760"/>
    </w:pPr>
  </w:style>
  <w:style w:type="paragraph" w:styleId="EndnoteText">
    <w:uiPriority w:val="99"/>
    <w:name w:val="endnote text"/>
    <w:basedOn w:val="Normal"/>
    <w:semiHidden/>
    <w:unhideWhenUsed/>
    <w:link w:val="EndnoteTextChar"/>
    <w:rsid w:val="5D521198"/>
    <w:rPr>
      <w:sz w:val="20"/>
      <w:szCs w:val="20"/>
    </w:rPr>
    <w:pPr>
      <w:spacing w:after="0" w:line="240" w:lineRule="auto"/>
    </w:pPr>
  </w:style>
  <w:style w:type="paragraph" w:styleId="Footer">
    <w:uiPriority w:val="99"/>
    <w:name w:val="footer"/>
    <w:basedOn w:val="Normal"/>
    <w:unhideWhenUsed/>
    <w:link w:val="FooterChar"/>
    <w:rsid w:val="5D52119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5D521198"/>
    <w:rPr>
      <w:sz w:val="20"/>
      <w:szCs w:val="20"/>
    </w:rPr>
    <w:pPr>
      <w:spacing w:after="0" w:line="240" w:lineRule="auto"/>
    </w:pPr>
  </w:style>
  <w:style w:type="paragraph" w:styleId="Header">
    <w:uiPriority w:val="99"/>
    <w:name w:val="header"/>
    <w:basedOn w:val="Normal"/>
    <w:unhideWhenUsed/>
    <w:link w:val="HeaderChar"/>
    <w:rsid w:val="5D521198"/>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96fee4621b04a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2024-06-28T15:29:27.9171838Z</dcterms:created>
  <dcterms:modified xsi:type="dcterms:W3CDTF">2024-07-03T12:45:39.2210945Z</dcterms:modified>
  <dc:creator>Clare Mwenya (2238202)</dc:creator>
  <lastModifiedBy>Clare Mwenya (2238202)</lastModifiedBy>
</coreProperties>
</file>