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C47B3" w14:textId="77777777" w:rsidR="001003CA" w:rsidRPr="00CD0345" w:rsidRDefault="00490224" w:rsidP="00D6585C">
      <w:pPr>
        <w:spacing w:after="0" w:line="360" w:lineRule="auto"/>
        <w:jc w:val="center"/>
        <w:rPr>
          <w:rFonts w:ascii="Arial" w:hAnsi="Arial" w:cs="Arial"/>
          <w:sz w:val="24"/>
          <w:lang w:val="en-US"/>
        </w:rPr>
      </w:pPr>
      <w:r w:rsidRPr="00CD0345">
        <w:rPr>
          <w:rFonts w:ascii="Arial" w:hAnsi="Arial" w:cs="Arial"/>
          <w:noProof/>
          <w:lang w:val="en-US"/>
        </w:rPr>
        <w:drawing>
          <wp:inline distT="0" distB="0" distL="0" distR="0" wp14:anchorId="29DF35DA" wp14:editId="5F400473">
            <wp:extent cx="2235200" cy="739974"/>
            <wp:effectExtent l="0" t="0" r="0" b="3175"/>
            <wp:docPr id="3" name="Picture 3" descr="SMART Digital Accelerator - ten:15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MART Digital Accelerator - ten:15 market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4700" cy="746430"/>
                    </a:xfrm>
                    <a:prstGeom prst="rect">
                      <a:avLst/>
                    </a:prstGeom>
                    <a:noFill/>
                    <a:ln>
                      <a:noFill/>
                    </a:ln>
                  </pic:spPr>
                </pic:pic>
              </a:graphicData>
            </a:graphic>
          </wp:inline>
        </w:drawing>
      </w:r>
    </w:p>
    <w:p w14:paraId="39E787D4" w14:textId="77777777" w:rsidR="001003CA" w:rsidRPr="00CD0345" w:rsidRDefault="001003CA" w:rsidP="00373916">
      <w:pPr>
        <w:spacing w:after="0" w:line="360" w:lineRule="auto"/>
        <w:jc w:val="both"/>
        <w:rPr>
          <w:rFonts w:ascii="Arial" w:hAnsi="Arial" w:cs="Arial"/>
          <w:sz w:val="24"/>
          <w:lang w:val="en-US"/>
        </w:rPr>
      </w:pPr>
    </w:p>
    <w:p w14:paraId="025295C7" w14:textId="77777777" w:rsidR="00490224" w:rsidRPr="00CD0345" w:rsidRDefault="00490224" w:rsidP="00490224">
      <w:pPr>
        <w:spacing w:after="0" w:line="360" w:lineRule="auto"/>
        <w:jc w:val="center"/>
        <w:rPr>
          <w:rFonts w:ascii="Arial" w:hAnsi="Arial" w:cs="Arial"/>
          <w:sz w:val="24"/>
          <w:lang w:val="en-US"/>
        </w:rPr>
      </w:pPr>
    </w:p>
    <w:p w14:paraId="18F8D01C" w14:textId="77777777" w:rsidR="00D6585C" w:rsidRPr="00D6585C" w:rsidRDefault="00D6585C" w:rsidP="00D6585C">
      <w:pPr>
        <w:spacing w:after="0" w:line="276" w:lineRule="auto"/>
        <w:jc w:val="center"/>
        <w:rPr>
          <w:rFonts w:ascii="Arial" w:hAnsi="Arial" w:cs="Arial"/>
          <w:b/>
          <w:bCs/>
          <w:sz w:val="30"/>
          <w:szCs w:val="28"/>
          <w:lang w:val="en-US"/>
        </w:rPr>
      </w:pPr>
      <w:r w:rsidRPr="00D6585C">
        <w:rPr>
          <w:rFonts w:ascii="Arial" w:hAnsi="Arial" w:cs="Arial"/>
          <w:b/>
          <w:bCs/>
          <w:sz w:val="30"/>
          <w:szCs w:val="28"/>
          <w:lang w:val="en-US"/>
        </w:rPr>
        <w:t>Module Title: International Business Concepts</w:t>
      </w:r>
    </w:p>
    <w:p w14:paraId="1C547414" w14:textId="77777777" w:rsidR="00D6585C" w:rsidRPr="00CD0345" w:rsidRDefault="00D6585C" w:rsidP="00D6585C">
      <w:pPr>
        <w:spacing w:after="0" w:line="276" w:lineRule="auto"/>
        <w:jc w:val="center"/>
        <w:rPr>
          <w:rFonts w:ascii="Arial" w:hAnsi="Arial" w:cs="Arial"/>
          <w:b/>
          <w:bCs/>
          <w:sz w:val="24"/>
          <w:lang w:val="en-US"/>
        </w:rPr>
      </w:pPr>
      <w:r w:rsidRPr="00CD0345">
        <w:rPr>
          <w:rFonts w:ascii="Arial" w:hAnsi="Arial" w:cs="Arial"/>
          <w:b/>
          <w:bCs/>
          <w:sz w:val="24"/>
          <w:lang w:val="en-US"/>
        </w:rPr>
        <w:t>Module Code: LCMB7034</w:t>
      </w:r>
    </w:p>
    <w:p w14:paraId="6EF5D5B1" w14:textId="77777777" w:rsidR="00D6585C" w:rsidRPr="00CD0345" w:rsidRDefault="00D6585C" w:rsidP="00D6585C">
      <w:pPr>
        <w:spacing w:after="0" w:line="276" w:lineRule="auto"/>
        <w:jc w:val="center"/>
        <w:rPr>
          <w:rFonts w:ascii="Arial" w:hAnsi="Arial" w:cs="Arial"/>
          <w:b/>
          <w:bCs/>
          <w:sz w:val="24"/>
          <w:lang w:val="en-US"/>
        </w:rPr>
      </w:pPr>
      <w:proofErr w:type="spellStart"/>
      <w:r w:rsidRPr="00CD0345">
        <w:rPr>
          <w:rFonts w:ascii="Arial" w:hAnsi="Arial" w:cs="Arial"/>
          <w:b/>
          <w:bCs/>
          <w:sz w:val="24"/>
          <w:lang w:val="en-US"/>
        </w:rPr>
        <w:t>Programme</w:t>
      </w:r>
      <w:proofErr w:type="spellEnd"/>
      <w:r w:rsidRPr="00CD0345">
        <w:rPr>
          <w:rFonts w:ascii="Arial" w:hAnsi="Arial" w:cs="Arial"/>
          <w:b/>
          <w:bCs/>
          <w:sz w:val="24"/>
          <w:lang w:val="en-US"/>
        </w:rPr>
        <w:t>: Master of Business Administration (MBA)</w:t>
      </w:r>
    </w:p>
    <w:p w14:paraId="6813CA81" w14:textId="6BE51218" w:rsidR="00D6585C" w:rsidRPr="00CD0345" w:rsidRDefault="00D6585C" w:rsidP="00D6585C">
      <w:pPr>
        <w:spacing w:after="0" w:line="360" w:lineRule="auto"/>
        <w:jc w:val="center"/>
        <w:rPr>
          <w:rFonts w:ascii="Arial" w:hAnsi="Arial" w:cs="Arial"/>
          <w:sz w:val="24"/>
          <w:lang w:val="en-US"/>
        </w:rPr>
      </w:pPr>
    </w:p>
    <w:p w14:paraId="3548AAE4" w14:textId="77777777" w:rsidR="002E0D9E" w:rsidRDefault="002E0D9E" w:rsidP="00490224">
      <w:pPr>
        <w:spacing w:after="0" w:line="360" w:lineRule="auto"/>
        <w:jc w:val="center"/>
        <w:rPr>
          <w:rFonts w:ascii="Arial" w:hAnsi="Arial" w:cs="Arial"/>
          <w:sz w:val="24"/>
          <w:lang w:val="en-US"/>
        </w:rPr>
      </w:pPr>
    </w:p>
    <w:p w14:paraId="35FF96BA" w14:textId="77777777" w:rsidR="00CE3E19" w:rsidRPr="00CD0345" w:rsidRDefault="00CE3E19" w:rsidP="00490224">
      <w:pPr>
        <w:spacing w:after="0" w:line="360" w:lineRule="auto"/>
        <w:jc w:val="center"/>
        <w:rPr>
          <w:rFonts w:ascii="Arial" w:hAnsi="Arial" w:cs="Arial"/>
          <w:sz w:val="24"/>
          <w:lang w:val="en-US"/>
        </w:rPr>
      </w:pPr>
    </w:p>
    <w:p w14:paraId="3FD0BE21" w14:textId="77777777" w:rsidR="00490224" w:rsidRPr="00CD0345" w:rsidRDefault="00490224" w:rsidP="002E0D9E">
      <w:pPr>
        <w:spacing w:after="0" w:line="276" w:lineRule="auto"/>
        <w:jc w:val="center"/>
        <w:rPr>
          <w:rFonts w:ascii="Arial" w:hAnsi="Arial" w:cs="Arial"/>
          <w:sz w:val="24"/>
          <w:lang w:val="en-US"/>
        </w:rPr>
      </w:pPr>
      <w:r w:rsidRPr="00CD0345">
        <w:rPr>
          <w:rFonts w:ascii="Arial" w:hAnsi="Arial" w:cs="Arial"/>
          <w:b/>
          <w:bCs/>
          <w:sz w:val="24"/>
          <w:lang w:val="en-US"/>
        </w:rPr>
        <w:t>Individual Report</w:t>
      </w:r>
    </w:p>
    <w:p w14:paraId="492C7A79" w14:textId="77777777" w:rsidR="00D6585C" w:rsidRDefault="00490224" w:rsidP="00490224">
      <w:pPr>
        <w:spacing w:after="0" w:line="276" w:lineRule="auto"/>
        <w:jc w:val="center"/>
        <w:rPr>
          <w:rFonts w:ascii="Arial" w:hAnsi="Arial" w:cs="Arial"/>
          <w:b/>
          <w:bCs/>
          <w:sz w:val="24"/>
          <w:szCs w:val="14"/>
          <w:lang w:val="en-US"/>
        </w:rPr>
      </w:pPr>
      <w:r w:rsidRPr="00D6585C">
        <w:rPr>
          <w:rFonts w:ascii="Arial" w:hAnsi="Arial" w:cs="Arial"/>
          <w:b/>
          <w:bCs/>
          <w:sz w:val="24"/>
          <w:szCs w:val="14"/>
          <w:lang w:val="en-US"/>
        </w:rPr>
        <w:t xml:space="preserve">International Market Entry Strategy: A Critical Analysis of </w:t>
      </w:r>
    </w:p>
    <w:p w14:paraId="461AC58A" w14:textId="5A4CA395" w:rsidR="00490224" w:rsidRDefault="00490224" w:rsidP="00490224">
      <w:pPr>
        <w:spacing w:after="0" w:line="276" w:lineRule="auto"/>
        <w:jc w:val="center"/>
        <w:rPr>
          <w:rFonts w:ascii="Arial" w:hAnsi="Arial" w:cs="Arial"/>
          <w:b/>
          <w:bCs/>
          <w:sz w:val="24"/>
          <w:szCs w:val="14"/>
          <w:lang w:val="en-US"/>
        </w:rPr>
      </w:pPr>
      <w:r w:rsidRPr="00D6585C">
        <w:rPr>
          <w:rFonts w:ascii="Arial" w:hAnsi="Arial" w:cs="Arial"/>
          <w:b/>
          <w:bCs/>
          <w:sz w:val="24"/>
          <w:szCs w:val="14"/>
          <w:lang w:val="en-US"/>
        </w:rPr>
        <w:t>Primark’s Strategic Expansion into Canada</w:t>
      </w:r>
    </w:p>
    <w:p w14:paraId="6B2BE8D5" w14:textId="77777777" w:rsidR="00CE3E19" w:rsidRDefault="00CE3E19" w:rsidP="00490224">
      <w:pPr>
        <w:spacing w:after="0" w:line="276" w:lineRule="auto"/>
        <w:jc w:val="center"/>
        <w:rPr>
          <w:rFonts w:ascii="Arial" w:hAnsi="Arial" w:cs="Arial"/>
          <w:b/>
          <w:bCs/>
          <w:sz w:val="24"/>
          <w:szCs w:val="14"/>
          <w:lang w:val="en-US"/>
        </w:rPr>
      </w:pPr>
    </w:p>
    <w:p w14:paraId="7B483FE1" w14:textId="77777777" w:rsidR="00CE3E19" w:rsidRDefault="00CE3E19" w:rsidP="00490224">
      <w:pPr>
        <w:spacing w:after="0" w:line="276" w:lineRule="auto"/>
        <w:jc w:val="center"/>
        <w:rPr>
          <w:rFonts w:ascii="Arial" w:hAnsi="Arial" w:cs="Arial"/>
          <w:b/>
          <w:bCs/>
          <w:sz w:val="24"/>
          <w:szCs w:val="14"/>
          <w:lang w:val="en-US"/>
        </w:rPr>
      </w:pPr>
    </w:p>
    <w:p w14:paraId="0CEEE88B" w14:textId="77777777" w:rsidR="00CE3E19" w:rsidRDefault="00CE3E19" w:rsidP="00490224">
      <w:pPr>
        <w:spacing w:after="0" w:line="276" w:lineRule="auto"/>
        <w:jc w:val="center"/>
        <w:rPr>
          <w:rFonts w:ascii="Arial" w:hAnsi="Arial" w:cs="Arial"/>
          <w:b/>
          <w:bCs/>
          <w:sz w:val="24"/>
          <w:szCs w:val="14"/>
          <w:lang w:val="en-US"/>
        </w:rPr>
      </w:pPr>
    </w:p>
    <w:p w14:paraId="125768D9" w14:textId="77777777" w:rsidR="00CE3E19" w:rsidRDefault="00CE3E19" w:rsidP="00490224">
      <w:pPr>
        <w:spacing w:after="0" w:line="276" w:lineRule="auto"/>
        <w:jc w:val="center"/>
        <w:rPr>
          <w:rFonts w:ascii="Arial" w:hAnsi="Arial" w:cs="Arial"/>
          <w:b/>
          <w:bCs/>
          <w:sz w:val="24"/>
          <w:szCs w:val="14"/>
          <w:lang w:val="en-US"/>
        </w:rPr>
      </w:pPr>
    </w:p>
    <w:p w14:paraId="1722522C" w14:textId="3FD4F857" w:rsidR="00490224" w:rsidRPr="00CE3E19" w:rsidRDefault="00CE3E19" w:rsidP="00CE3E19">
      <w:pPr>
        <w:spacing w:after="0" w:line="276" w:lineRule="auto"/>
        <w:jc w:val="center"/>
        <w:rPr>
          <w:rFonts w:ascii="Arial" w:hAnsi="Arial" w:cs="Arial"/>
          <w:b/>
          <w:bCs/>
          <w:sz w:val="24"/>
          <w:szCs w:val="14"/>
          <w:lang w:val="en-US"/>
        </w:rPr>
      </w:pPr>
      <w:r>
        <w:rPr>
          <w:rFonts w:ascii="Arial" w:hAnsi="Arial" w:cs="Arial"/>
          <w:b/>
          <w:bCs/>
          <w:sz w:val="24"/>
          <w:szCs w:val="14"/>
          <w:lang w:val="en-US"/>
        </w:rPr>
        <w:t xml:space="preserve">Lecturer’s Name: </w:t>
      </w:r>
      <w:r w:rsidR="0032759C">
        <w:rPr>
          <w:rFonts w:ascii="Arial" w:hAnsi="Arial" w:cs="Arial"/>
          <w:b/>
          <w:bCs/>
          <w:sz w:val="24"/>
          <w:szCs w:val="14"/>
          <w:lang w:val="en-US"/>
        </w:rPr>
        <w:t xml:space="preserve">Dr. </w:t>
      </w:r>
      <w:r>
        <w:rPr>
          <w:rFonts w:ascii="Arial" w:hAnsi="Arial" w:cs="Arial"/>
          <w:b/>
          <w:bCs/>
          <w:sz w:val="24"/>
          <w:szCs w:val="14"/>
          <w:lang w:val="en-US"/>
        </w:rPr>
        <w:t>Jean Wang</w:t>
      </w:r>
    </w:p>
    <w:p w14:paraId="1AB71E01" w14:textId="77777777" w:rsidR="00490224" w:rsidRDefault="00490224" w:rsidP="00490224">
      <w:pPr>
        <w:spacing w:after="0" w:line="276" w:lineRule="auto"/>
        <w:jc w:val="center"/>
        <w:rPr>
          <w:rFonts w:ascii="Arial" w:hAnsi="Arial" w:cs="Arial"/>
          <w:b/>
          <w:bCs/>
          <w:sz w:val="24"/>
          <w:lang w:val="en-US"/>
        </w:rPr>
      </w:pPr>
    </w:p>
    <w:p w14:paraId="05472EA4" w14:textId="77777777" w:rsidR="00CE3E19" w:rsidRDefault="00CE3E19" w:rsidP="00490224">
      <w:pPr>
        <w:spacing w:after="0" w:line="276" w:lineRule="auto"/>
        <w:jc w:val="center"/>
        <w:rPr>
          <w:rFonts w:ascii="Arial" w:hAnsi="Arial" w:cs="Arial"/>
          <w:b/>
          <w:bCs/>
          <w:sz w:val="24"/>
          <w:lang w:val="en-US"/>
        </w:rPr>
      </w:pPr>
    </w:p>
    <w:p w14:paraId="02F73F88" w14:textId="77777777" w:rsidR="00CE3E19" w:rsidRDefault="00CE3E19" w:rsidP="00490224">
      <w:pPr>
        <w:spacing w:after="0" w:line="276" w:lineRule="auto"/>
        <w:jc w:val="center"/>
        <w:rPr>
          <w:rFonts w:ascii="Arial" w:hAnsi="Arial" w:cs="Arial"/>
          <w:b/>
          <w:bCs/>
          <w:sz w:val="24"/>
          <w:lang w:val="en-US"/>
        </w:rPr>
      </w:pPr>
    </w:p>
    <w:p w14:paraId="3C729A6D" w14:textId="77777777" w:rsidR="00CE3E19" w:rsidRPr="00CD0345" w:rsidRDefault="00CE3E19" w:rsidP="00490224">
      <w:pPr>
        <w:spacing w:after="0" w:line="276" w:lineRule="auto"/>
        <w:jc w:val="center"/>
        <w:rPr>
          <w:rFonts w:ascii="Arial" w:hAnsi="Arial" w:cs="Arial"/>
          <w:b/>
          <w:bCs/>
          <w:sz w:val="24"/>
          <w:lang w:val="en-US"/>
        </w:rPr>
      </w:pPr>
    </w:p>
    <w:p w14:paraId="7E06D2CB" w14:textId="736E6200" w:rsidR="00490224" w:rsidRPr="00CD0345" w:rsidRDefault="00490224" w:rsidP="00D6585C">
      <w:pPr>
        <w:spacing w:after="0" w:line="276" w:lineRule="auto"/>
        <w:ind w:left="1440" w:firstLine="720"/>
        <w:rPr>
          <w:rFonts w:ascii="Arial" w:hAnsi="Arial" w:cs="Arial"/>
          <w:b/>
          <w:bCs/>
          <w:sz w:val="24"/>
          <w:lang w:val="en-US"/>
        </w:rPr>
      </w:pPr>
      <w:r w:rsidRPr="00CD0345">
        <w:rPr>
          <w:rFonts w:ascii="Arial" w:hAnsi="Arial" w:cs="Arial"/>
          <w:b/>
          <w:bCs/>
          <w:sz w:val="24"/>
          <w:lang w:val="en-US"/>
        </w:rPr>
        <w:t>Student Name</w:t>
      </w:r>
      <w:r w:rsidR="00D6585C">
        <w:rPr>
          <w:rFonts w:ascii="Arial" w:hAnsi="Arial" w:cs="Arial"/>
          <w:b/>
          <w:bCs/>
          <w:sz w:val="24"/>
          <w:lang w:val="en-US"/>
        </w:rPr>
        <w:tab/>
      </w:r>
      <w:r w:rsidRPr="00CD0345">
        <w:rPr>
          <w:rFonts w:ascii="Arial" w:hAnsi="Arial" w:cs="Arial"/>
          <w:b/>
          <w:bCs/>
          <w:sz w:val="24"/>
          <w:lang w:val="en-US"/>
        </w:rPr>
        <w:t>:</w:t>
      </w:r>
      <w:r w:rsidR="00CE3E19">
        <w:rPr>
          <w:rFonts w:ascii="Arial" w:hAnsi="Arial" w:cs="Arial"/>
          <w:b/>
          <w:bCs/>
          <w:sz w:val="24"/>
          <w:lang w:val="en-US"/>
        </w:rPr>
        <w:t xml:space="preserve"> Maame </w:t>
      </w:r>
      <w:proofErr w:type="spellStart"/>
      <w:r w:rsidR="00CE3E19">
        <w:rPr>
          <w:rFonts w:ascii="Arial" w:hAnsi="Arial" w:cs="Arial"/>
          <w:b/>
          <w:bCs/>
          <w:sz w:val="24"/>
          <w:lang w:val="en-US"/>
        </w:rPr>
        <w:t>Pinamang</w:t>
      </w:r>
      <w:proofErr w:type="spellEnd"/>
      <w:r w:rsidR="00CE3E19">
        <w:rPr>
          <w:rFonts w:ascii="Arial" w:hAnsi="Arial" w:cs="Arial"/>
          <w:b/>
          <w:bCs/>
          <w:sz w:val="24"/>
          <w:lang w:val="en-US"/>
        </w:rPr>
        <w:t xml:space="preserve"> Bonsu</w:t>
      </w:r>
    </w:p>
    <w:p w14:paraId="731769DB" w14:textId="6E730E92" w:rsidR="00490224" w:rsidRDefault="00490224" w:rsidP="00D6585C">
      <w:pPr>
        <w:spacing w:after="0" w:line="276" w:lineRule="auto"/>
        <w:ind w:left="1440" w:firstLine="720"/>
        <w:rPr>
          <w:rFonts w:ascii="Arial" w:hAnsi="Arial" w:cs="Arial"/>
          <w:b/>
          <w:bCs/>
          <w:sz w:val="24"/>
          <w:lang w:val="en-US"/>
        </w:rPr>
      </w:pPr>
      <w:r w:rsidRPr="00CD0345">
        <w:rPr>
          <w:rFonts w:ascii="Arial" w:hAnsi="Arial" w:cs="Arial"/>
          <w:b/>
          <w:bCs/>
          <w:sz w:val="24"/>
          <w:lang w:val="en-US"/>
        </w:rPr>
        <w:t>Student ID</w:t>
      </w:r>
      <w:r w:rsidR="00D6585C">
        <w:rPr>
          <w:rFonts w:ascii="Arial" w:hAnsi="Arial" w:cs="Arial"/>
          <w:b/>
          <w:bCs/>
          <w:sz w:val="24"/>
          <w:lang w:val="en-US"/>
        </w:rPr>
        <w:tab/>
      </w:r>
      <w:r w:rsidR="00D6585C">
        <w:rPr>
          <w:rFonts w:ascii="Arial" w:hAnsi="Arial" w:cs="Arial"/>
          <w:b/>
          <w:bCs/>
          <w:sz w:val="24"/>
          <w:lang w:val="en-US"/>
        </w:rPr>
        <w:tab/>
      </w:r>
      <w:r w:rsidRPr="00CD0345">
        <w:rPr>
          <w:rFonts w:ascii="Arial" w:hAnsi="Arial" w:cs="Arial"/>
          <w:b/>
          <w:bCs/>
          <w:sz w:val="24"/>
          <w:lang w:val="en-US"/>
        </w:rPr>
        <w:t>:</w:t>
      </w:r>
      <w:r w:rsidR="00CE3E19">
        <w:rPr>
          <w:rFonts w:ascii="Arial" w:hAnsi="Arial" w:cs="Arial"/>
          <w:b/>
          <w:bCs/>
          <w:sz w:val="24"/>
          <w:lang w:val="en-US"/>
        </w:rPr>
        <w:t xml:space="preserve"> 2217127</w:t>
      </w:r>
    </w:p>
    <w:p w14:paraId="3E97A57F" w14:textId="77777777" w:rsidR="00CE3E19" w:rsidRDefault="00CE3E19" w:rsidP="00D6585C">
      <w:pPr>
        <w:spacing w:after="0" w:line="276" w:lineRule="auto"/>
        <w:ind w:left="1440" w:firstLine="720"/>
        <w:rPr>
          <w:rFonts w:ascii="Arial" w:hAnsi="Arial" w:cs="Arial"/>
          <w:b/>
          <w:bCs/>
          <w:sz w:val="24"/>
          <w:lang w:val="en-US"/>
        </w:rPr>
      </w:pPr>
    </w:p>
    <w:p w14:paraId="7E71F7CC" w14:textId="77777777" w:rsidR="00CE3E19" w:rsidRDefault="00CE3E19" w:rsidP="00D6585C">
      <w:pPr>
        <w:spacing w:after="0" w:line="276" w:lineRule="auto"/>
        <w:ind w:left="1440" w:firstLine="720"/>
        <w:rPr>
          <w:rFonts w:ascii="Arial" w:hAnsi="Arial" w:cs="Arial"/>
          <w:b/>
          <w:bCs/>
          <w:sz w:val="24"/>
          <w:lang w:val="en-US"/>
        </w:rPr>
      </w:pPr>
    </w:p>
    <w:p w14:paraId="65FA7365" w14:textId="404BE705" w:rsidR="00CE3E19" w:rsidRPr="00CE3E19" w:rsidRDefault="00CE3E19" w:rsidP="00CE3E19">
      <w:pPr>
        <w:spacing w:after="0" w:line="276" w:lineRule="auto"/>
        <w:ind w:left="1440" w:firstLine="720"/>
        <w:rPr>
          <w:rFonts w:ascii="Arial" w:hAnsi="Arial" w:cs="Arial"/>
          <w:sz w:val="24"/>
          <w:lang w:val="en-US"/>
        </w:rPr>
      </w:pPr>
      <w:r>
        <w:rPr>
          <w:rFonts w:ascii="Arial" w:hAnsi="Arial" w:cs="Arial"/>
          <w:b/>
          <w:bCs/>
          <w:sz w:val="24"/>
          <w:lang w:val="en-US"/>
        </w:rPr>
        <w:t>Date of Submission: 14</w:t>
      </w:r>
      <w:r w:rsidRPr="00CE3E19">
        <w:rPr>
          <w:rFonts w:ascii="Arial" w:hAnsi="Arial" w:cs="Arial"/>
          <w:b/>
          <w:bCs/>
          <w:sz w:val="24"/>
          <w:vertAlign w:val="superscript"/>
          <w:lang w:val="en-US"/>
        </w:rPr>
        <w:t>th</w:t>
      </w:r>
      <w:r>
        <w:rPr>
          <w:rFonts w:ascii="Arial" w:hAnsi="Arial" w:cs="Arial"/>
          <w:b/>
          <w:bCs/>
          <w:sz w:val="24"/>
          <w:lang w:val="en-US"/>
        </w:rPr>
        <w:t xml:space="preserve"> August 2026</w:t>
      </w:r>
    </w:p>
    <w:p w14:paraId="5066246C" w14:textId="3216F261" w:rsidR="00CE3E19" w:rsidRDefault="00CE3E19" w:rsidP="00D6585C">
      <w:pPr>
        <w:spacing w:after="0" w:line="276" w:lineRule="auto"/>
        <w:ind w:left="1440" w:firstLine="720"/>
        <w:rPr>
          <w:rFonts w:ascii="Arial" w:hAnsi="Arial" w:cs="Arial"/>
          <w:sz w:val="24"/>
          <w:lang w:val="en-US"/>
        </w:rPr>
      </w:pPr>
    </w:p>
    <w:p w14:paraId="2706271B" w14:textId="5833D07F" w:rsidR="00CE3E19" w:rsidRPr="006C0E13" w:rsidRDefault="00CE3E19" w:rsidP="006C0E13">
      <w:pPr>
        <w:rPr>
          <w:rFonts w:ascii="Arial" w:hAnsi="Arial" w:cs="Arial"/>
          <w:sz w:val="24"/>
          <w:lang w:val="en-US"/>
        </w:rPr>
      </w:pPr>
    </w:p>
    <w:p w14:paraId="18054663" w14:textId="77777777" w:rsidR="00E07603" w:rsidRDefault="00E07603" w:rsidP="00956CE2">
      <w:pPr>
        <w:spacing w:after="0" w:line="276" w:lineRule="auto"/>
        <w:ind w:left="1440" w:firstLine="720"/>
        <w:rPr>
          <w:rFonts w:ascii="Arial" w:hAnsi="Arial" w:cs="Arial"/>
          <w:b/>
          <w:bCs/>
          <w:sz w:val="24"/>
          <w:lang w:val="en-US"/>
        </w:rPr>
      </w:pPr>
    </w:p>
    <w:p w14:paraId="0527F9AB" w14:textId="77777777" w:rsidR="00E07603" w:rsidRDefault="00E07603" w:rsidP="00956CE2">
      <w:pPr>
        <w:spacing w:after="0" w:line="276" w:lineRule="auto"/>
        <w:ind w:left="1440" w:firstLine="720"/>
        <w:rPr>
          <w:rFonts w:ascii="Arial" w:hAnsi="Arial" w:cs="Arial"/>
          <w:b/>
          <w:bCs/>
          <w:sz w:val="24"/>
          <w:lang w:val="en-US"/>
        </w:rPr>
      </w:pPr>
    </w:p>
    <w:p w14:paraId="7D1278D7" w14:textId="77777777" w:rsidR="00E07603" w:rsidRDefault="00E07603" w:rsidP="00956CE2">
      <w:pPr>
        <w:spacing w:after="0" w:line="276" w:lineRule="auto"/>
        <w:ind w:left="1440" w:firstLine="720"/>
        <w:rPr>
          <w:rFonts w:ascii="Arial" w:hAnsi="Arial" w:cs="Arial"/>
          <w:b/>
          <w:bCs/>
          <w:sz w:val="24"/>
          <w:lang w:val="en-US"/>
        </w:rPr>
      </w:pPr>
    </w:p>
    <w:p w14:paraId="0C9E1317" w14:textId="77777777" w:rsidR="00E07603" w:rsidRDefault="00E07603" w:rsidP="00956CE2">
      <w:pPr>
        <w:spacing w:after="0" w:line="276" w:lineRule="auto"/>
        <w:ind w:left="1440" w:firstLine="720"/>
        <w:rPr>
          <w:rFonts w:ascii="Arial" w:hAnsi="Arial" w:cs="Arial"/>
          <w:b/>
          <w:bCs/>
          <w:sz w:val="24"/>
          <w:lang w:val="en-US"/>
        </w:rPr>
      </w:pPr>
    </w:p>
    <w:p w14:paraId="584B4E8B" w14:textId="77777777" w:rsidR="006C0E13" w:rsidRDefault="006C0E13" w:rsidP="00956CE2">
      <w:pPr>
        <w:spacing w:after="0" w:line="276" w:lineRule="auto"/>
        <w:ind w:left="1440" w:firstLine="720"/>
        <w:rPr>
          <w:rFonts w:ascii="Arial" w:hAnsi="Arial" w:cs="Arial"/>
          <w:b/>
          <w:bCs/>
          <w:sz w:val="24"/>
          <w:lang w:val="en-US"/>
        </w:rPr>
      </w:pPr>
    </w:p>
    <w:p w14:paraId="1405873C" w14:textId="77777777" w:rsidR="006C0E13" w:rsidRDefault="006C0E13" w:rsidP="00956CE2">
      <w:pPr>
        <w:spacing w:after="0" w:line="276" w:lineRule="auto"/>
        <w:ind w:left="1440" w:firstLine="720"/>
        <w:rPr>
          <w:rFonts w:ascii="Arial" w:hAnsi="Arial" w:cs="Arial"/>
          <w:b/>
          <w:bCs/>
          <w:sz w:val="24"/>
          <w:lang w:val="en-US"/>
        </w:rPr>
      </w:pPr>
    </w:p>
    <w:p w14:paraId="33A793EB" w14:textId="77777777" w:rsidR="006C0E13" w:rsidRDefault="006C0E13" w:rsidP="00956CE2">
      <w:pPr>
        <w:spacing w:after="0" w:line="276" w:lineRule="auto"/>
        <w:ind w:left="1440" w:firstLine="720"/>
        <w:rPr>
          <w:rFonts w:ascii="Arial" w:hAnsi="Arial" w:cs="Arial"/>
          <w:b/>
          <w:bCs/>
          <w:sz w:val="24"/>
          <w:lang w:val="en-US"/>
        </w:rPr>
      </w:pPr>
    </w:p>
    <w:p w14:paraId="0DF18669" w14:textId="273FCE93" w:rsidR="006C0E13" w:rsidRDefault="006C0E13" w:rsidP="006C0E13">
      <w:pPr>
        <w:spacing w:after="0" w:line="276" w:lineRule="auto"/>
        <w:ind w:left="1440" w:firstLine="720"/>
        <w:rPr>
          <w:rFonts w:ascii="Arial" w:hAnsi="Arial" w:cs="Arial"/>
          <w:b/>
          <w:bCs/>
          <w:sz w:val="24"/>
          <w:lang w:val="en-US"/>
        </w:rPr>
      </w:pPr>
      <w:r>
        <w:rPr>
          <w:rFonts w:ascii="Arial" w:hAnsi="Arial" w:cs="Arial"/>
          <w:b/>
          <w:bCs/>
          <w:sz w:val="24"/>
          <w:lang w:val="en-US"/>
        </w:rPr>
        <w:lastRenderedPageBreak/>
        <w:t xml:space="preserve">            </w:t>
      </w:r>
    </w:p>
    <w:p w14:paraId="423418BF" w14:textId="77777777" w:rsidR="00036F69" w:rsidRDefault="00036F69" w:rsidP="006C0E13">
      <w:pPr>
        <w:spacing w:after="0" w:line="276" w:lineRule="auto"/>
        <w:ind w:left="1440" w:firstLine="720"/>
        <w:rPr>
          <w:rFonts w:ascii="Arial" w:hAnsi="Arial" w:cs="Arial"/>
          <w:b/>
          <w:bCs/>
          <w:sz w:val="24"/>
          <w:lang w:val="en-US"/>
        </w:rPr>
      </w:pPr>
    </w:p>
    <w:p w14:paraId="7B537D60" w14:textId="0A23AD24" w:rsidR="00036F69" w:rsidRDefault="00036F69" w:rsidP="006C0E13">
      <w:pPr>
        <w:spacing w:after="0" w:line="276" w:lineRule="auto"/>
        <w:ind w:left="1440" w:firstLine="720"/>
        <w:rPr>
          <w:rFonts w:ascii="Arial" w:hAnsi="Arial" w:cs="Arial"/>
          <w:b/>
          <w:bCs/>
          <w:sz w:val="24"/>
          <w:lang w:val="en-US"/>
        </w:rPr>
      </w:pPr>
      <w:r>
        <w:rPr>
          <w:rFonts w:ascii="Arial" w:hAnsi="Arial" w:cs="Arial"/>
          <w:b/>
          <w:bCs/>
          <w:sz w:val="24"/>
          <w:lang w:val="en-US"/>
        </w:rPr>
        <w:t>AI ACKNOWLEDGEMENT</w:t>
      </w:r>
    </w:p>
    <w:p w14:paraId="3E03FE9A" w14:textId="77777777" w:rsidR="00036F69" w:rsidRDefault="00036F69" w:rsidP="006C0E13">
      <w:pPr>
        <w:spacing w:after="0" w:line="276" w:lineRule="auto"/>
        <w:ind w:left="1440" w:firstLine="720"/>
        <w:rPr>
          <w:rFonts w:ascii="Arial" w:hAnsi="Arial" w:cs="Arial"/>
          <w:b/>
          <w:bCs/>
          <w:sz w:val="24"/>
          <w:lang w:val="en-US"/>
        </w:rPr>
      </w:pPr>
    </w:p>
    <w:p w14:paraId="3BD5FA62" w14:textId="70036FFF" w:rsidR="00036F69" w:rsidRDefault="00036F69" w:rsidP="00036F69">
      <w:pPr>
        <w:spacing w:after="0" w:line="276" w:lineRule="auto"/>
        <w:rPr>
          <w:rFonts w:ascii="Arial" w:hAnsi="Arial" w:cs="Arial"/>
          <w:b/>
          <w:bCs/>
          <w:sz w:val="24"/>
          <w:lang w:val="en-US"/>
        </w:rPr>
      </w:pPr>
      <w:r>
        <w:rPr>
          <w:rFonts w:ascii="Arial" w:hAnsi="Arial" w:cs="Arial"/>
          <w:b/>
          <w:bCs/>
          <w:noProof/>
          <w:sz w:val="24"/>
          <w:lang w:val="en-US"/>
        </w:rPr>
        <w:drawing>
          <wp:inline distT="0" distB="0" distL="0" distR="0" wp14:anchorId="4EEC74C9" wp14:editId="7C2EFD63">
            <wp:extent cx="6026150" cy="6789420"/>
            <wp:effectExtent l="0" t="0" r="0" b="0"/>
            <wp:docPr id="15216873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87348" name="Picture 1521687348"/>
                    <pic:cNvPicPr/>
                  </pic:nvPicPr>
                  <pic:blipFill>
                    <a:blip r:embed="rId8">
                      <a:extLst>
                        <a:ext uri="{28A0092B-C50C-407E-A947-70E740481C1C}">
                          <a14:useLocalDpi xmlns:a14="http://schemas.microsoft.com/office/drawing/2010/main" val="0"/>
                        </a:ext>
                      </a:extLst>
                    </a:blip>
                    <a:stretch>
                      <a:fillRect/>
                    </a:stretch>
                  </pic:blipFill>
                  <pic:spPr>
                    <a:xfrm>
                      <a:off x="0" y="0"/>
                      <a:ext cx="6059021" cy="6826454"/>
                    </a:xfrm>
                    <a:prstGeom prst="rect">
                      <a:avLst/>
                    </a:prstGeom>
                  </pic:spPr>
                </pic:pic>
              </a:graphicData>
            </a:graphic>
          </wp:inline>
        </w:drawing>
      </w:r>
    </w:p>
    <w:p w14:paraId="0EB2959F" w14:textId="77777777" w:rsidR="00036F69" w:rsidRDefault="00036F69" w:rsidP="006C0E13">
      <w:pPr>
        <w:spacing w:after="0" w:line="276" w:lineRule="auto"/>
        <w:ind w:left="1440" w:firstLine="720"/>
        <w:rPr>
          <w:rFonts w:ascii="Arial" w:hAnsi="Arial" w:cs="Arial"/>
          <w:b/>
          <w:bCs/>
          <w:sz w:val="24"/>
          <w:lang w:val="en-US"/>
        </w:rPr>
      </w:pPr>
    </w:p>
    <w:p w14:paraId="7262CCC4" w14:textId="77777777" w:rsidR="00036F69" w:rsidRDefault="00036F69" w:rsidP="006C0E13">
      <w:pPr>
        <w:spacing w:after="0" w:line="276" w:lineRule="auto"/>
        <w:ind w:left="1440" w:firstLine="720"/>
        <w:rPr>
          <w:rFonts w:ascii="Arial" w:hAnsi="Arial" w:cs="Arial"/>
          <w:b/>
          <w:bCs/>
          <w:sz w:val="24"/>
          <w:lang w:val="en-US"/>
        </w:rPr>
      </w:pPr>
    </w:p>
    <w:p w14:paraId="35CC4D7F" w14:textId="77777777" w:rsidR="00036F69" w:rsidRDefault="00036F69" w:rsidP="006C0E13">
      <w:pPr>
        <w:spacing w:after="0" w:line="276" w:lineRule="auto"/>
        <w:ind w:left="1440" w:firstLine="720"/>
        <w:rPr>
          <w:rFonts w:ascii="Arial" w:hAnsi="Arial" w:cs="Arial"/>
          <w:b/>
          <w:bCs/>
          <w:sz w:val="24"/>
          <w:lang w:val="en-US"/>
        </w:rPr>
      </w:pPr>
    </w:p>
    <w:p w14:paraId="0009D6E9" w14:textId="560A60CB" w:rsidR="006C0E13" w:rsidRDefault="00036F69" w:rsidP="00036F69">
      <w:pPr>
        <w:spacing w:after="0" w:line="276" w:lineRule="auto"/>
        <w:rPr>
          <w:rFonts w:ascii="Arial" w:hAnsi="Arial" w:cs="Arial"/>
          <w:sz w:val="24"/>
          <w:lang w:val="en-US"/>
        </w:rPr>
      </w:pPr>
      <w:r w:rsidRPr="003334CE">
        <w:rPr>
          <w:rFonts w:ascii="Arial" w:hAnsi="Arial" w:cs="Arial"/>
          <w:sz w:val="24"/>
          <w:lang w:val="en-US"/>
        </w:rPr>
        <w:t>I acknowledge the use of Grammarly (</w:t>
      </w:r>
      <w:hyperlink r:id="rId9" w:history="1">
        <w:r w:rsidRPr="003334CE">
          <w:rPr>
            <w:rStyle w:val="Hyperlink"/>
            <w:rFonts w:ascii="Arial" w:hAnsi="Arial" w:cs="Arial"/>
            <w:sz w:val="24"/>
            <w:lang w:val="en-US"/>
          </w:rPr>
          <w:t>https://www.grammarly.com/</w:t>
        </w:r>
      </w:hyperlink>
      <w:r w:rsidRPr="003334CE">
        <w:rPr>
          <w:rFonts w:ascii="Arial" w:hAnsi="Arial" w:cs="Arial"/>
          <w:sz w:val="24"/>
          <w:lang w:val="en-US"/>
        </w:rPr>
        <w:t>) on 4</w:t>
      </w:r>
      <w:r w:rsidRPr="003334CE">
        <w:rPr>
          <w:rFonts w:ascii="Arial" w:hAnsi="Arial" w:cs="Arial"/>
          <w:sz w:val="24"/>
          <w:vertAlign w:val="superscript"/>
          <w:lang w:val="en-US"/>
        </w:rPr>
        <w:t>th</w:t>
      </w:r>
      <w:r w:rsidRPr="003334CE">
        <w:rPr>
          <w:rFonts w:ascii="Arial" w:hAnsi="Arial" w:cs="Arial"/>
          <w:sz w:val="24"/>
          <w:lang w:val="en-US"/>
        </w:rPr>
        <w:t xml:space="preserve"> August 2026 to</w:t>
      </w:r>
      <w:r w:rsidR="00A61BCC">
        <w:rPr>
          <w:rFonts w:ascii="Arial" w:hAnsi="Arial" w:cs="Arial"/>
          <w:sz w:val="24"/>
          <w:lang w:val="en-US"/>
        </w:rPr>
        <w:t xml:space="preserve"> check</w:t>
      </w:r>
      <w:r w:rsidRPr="003334CE">
        <w:rPr>
          <w:rFonts w:ascii="Arial" w:hAnsi="Arial" w:cs="Arial"/>
          <w:sz w:val="24"/>
          <w:lang w:val="en-US"/>
        </w:rPr>
        <w:t xml:space="preserve"> my work using the prompt(s):</w:t>
      </w:r>
    </w:p>
    <w:p w14:paraId="18520CF2" w14:textId="77777777" w:rsidR="00CC38FF" w:rsidRDefault="00CC38FF" w:rsidP="00036F69">
      <w:pPr>
        <w:spacing w:after="0" w:line="276" w:lineRule="auto"/>
        <w:rPr>
          <w:rFonts w:ascii="Arial" w:hAnsi="Arial" w:cs="Arial"/>
          <w:sz w:val="24"/>
          <w:lang w:val="en-US"/>
        </w:rPr>
      </w:pPr>
    </w:p>
    <w:p w14:paraId="5FE5545A" w14:textId="244CE241" w:rsidR="00CC38FF" w:rsidRPr="003334CE" w:rsidRDefault="00CC38FF" w:rsidP="00036F69">
      <w:pPr>
        <w:spacing w:after="0" w:line="276" w:lineRule="auto"/>
        <w:rPr>
          <w:rFonts w:ascii="Arial" w:hAnsi="Arial" w:cs="Arial"/>
          <w:sz w:val="24"/>
          <w:lang w:val="en-US"/>
        </w:rPr>
      </w:pPr>
      <w:r>
        <w:rPr>
          <w:rFonts w:ascii="Arial" w:hAnsi="Arial" w:cs="Arial"/>
          <w:sz w:val="24"/>
          <w:lang w:val="en-US"/>
        </w:rPr>
        <w:t>I used prompt(s)</w:t>
      </w:r>
    </w:p>
    <w:p w14:paraId="2664D8F0" w14:textId="77777777" w:rsidR="00036F69" w:rsidRPr="003334CE" w:rsidRDefault="00036F69" w:rsidP="00036F69">
      <w:pPr>
        <w:spacing w:after="0" w:line="276" w:lineRule="auto"/>
        <w:rPr>
          <w:rFonts w:ascii="Arial" w:hAnsi="Arial" w:cs="Arial"/>
          <w:sz w:val="24"/>
          <w:lang w:val="en-US"/>
        </w:rPr>
      </w:pPr>
    </w:p>
    <w:p w14:paraId="75D26422" w14:textId="5E9EE03A" w:rsidR="00036F69" w:rsidRDefault="00036F69" w:rsidP="00036F69">
      <w:pPr>
        <w:spacing w:after="0" w:line="276" w:lineRule="auto"/>
        <w:rPr>
          <w:rFonts w:ascii="Arial" w:hAnsi="Arial" w:cs="Arial"/>
          <w:sz w:val="24"/>
          <w:lang w:val="en-US"/>
        </w:rPr>
      </w:pPr>
      <w:r w:rsidRPr="003334CE">
        <w:rPr>
          <w:rFonts w:ascii="Arial" w:hAnsi="Arial" w:cs="Arial"/>
          <w:sz w:val="24"/>
          <w:lang w:val="en-US"/>
        </w:rPr>
        <w:t>1.Check the following text for readability, grammar and syntax.</w:t>
      </w:r>
    </w:p>
    <w:p w14:paraId="2A768909" w14:textId="6BA5DBE3" w:rsidR="00CC38FF" w:rsidRDefault="00CC38FF" w:rsidP="00036F69">
      <w:pPr>
        <w:spacing w:after="0" w:line="276" w:lineRule="auto"/>
        <w:rPr>
          <w:rFonts w:ascii="Arial" w:hAnsi="Arial" w:cs="Arial"/>
          <w:sz w:val="24"/>
          <w:lang w:val="en-US"/>
        </w:rPr>
      </w:pPr>
      <w:r>
        <w:rPr>
          <w:rFonts w:ascii="Arial" w:hAnsi="Arial" w:cs="Arial"/>
          <w:sz w:val="24"/>
          <w:lang w:val="en-US"/>
        </w:rPr>
        <w:t>2. Review citations formatting and referencing consistency (Harvard style).</w:t>
      </w:r>
    </w:p>
    <w:p w14:paraId="513F69F0" w14:textId="77777777" w:rsidR="00CC38FF" w:rsidRPr="003334CE" w:rsidRDefault="00CC38FF" w:rsidP="00036F69">
      <w:pPr>
        <w:spacing w:after="0" w:line="276" w:lineRule="auto"/>
        <w:rPr>
          <w:rFonts w:ascii="Arial" w:hAnsi="Arial" w:cs="Arial"/>
          <w:sz w:val="24"/>
          <w:lang w:val="en-US"/>
        </w:rPr>
      </w:pPr>
    </w:p>
    <w:p w14:paraId="5EAD4F80" w14:textId="77777777" w:rsidR="00036F69" w:rsidRPr="003334CE" w:rsidRDefault="00036F69" w:rsidP="00036F69">
      <w:pPr>
        <w:spacing w:after="0" w:line="276" w:lineRule="auto"/>
        <w:rPr>
          <w:rFonts w:ascii="Arial" w:hAnsi="Arial" w:cs="Arial"/>
          <w:sz w:val="24"/>
          <w:lang w:val="en-US"/>
        </w:rPr>
      </w:pPr>
    </w:p>
    <w:p w14:paraId="71E8438D" w14:textId="72B67DD6" w:rsidR="00036F69" w:rsidRPr="003334CE" w:rsidRDefault="00036F69" w:rsidP="00036F69">
      <w:pPr>
        <w:spacing w:after="0" w:line="276" w:lineRule="auto"/>
        <w:rPr>
          <w:rFonts w:ascii="Arial" w:hAnsi="Arial" w:cs="Arial"/>
          <w:sz w:val="24"/>
          <w:lang w:val="en-US"/>
        </w:rPr>
      </w:pPr>
      <w:r w:rsidRPr="003334CE">
        <w:rPr>
          <w:rFonts w:ascii="Arial" w:hAnsi="Arial" w:cs="Arial"/>
          <w:sz w:val="24"/>
          <w:lang w:val="en-US"/>
        </w:rPr>
        <w:t>I confirm that I have not presented any Ai genera</w:t>
      </w:r>
      <w:r w:rsidR="005001D3" w:rsidRPr="003334CE">
        <w:rPr>
          <w:rFonts w:ascii="Arial" w:hAnsi="Arial" w:cs="Arial"/>
          <w:sz w:val="24"/>
          <w:lang w:val="en-US"/>
        </w:rPr>
        <w:t>ted text as my own work. I confirm I have copies of my drafts, notes, and other resources I used before, and after the use of AI tools which I may be asked to provide in evidence.</w:t>
      </w:r>
    </w:p>
    <w:p w14:paraId="385FB668" w14:textId="77777777" w:rsidR="005001D3" w:rsidRPr="003334CE" w:rsidRDefault="005001D3" w:rsidP="00036F69">
      <w:pPr>
        <w:spacing w:after="0" w:line="276" w:lineRule="auto"/>
        <w:rPr>
          <w:rFonts w:ascii="Arial" w:hAnsi="Arial" w:cs="Arial"/>
          <w:sz w:val="24"/>
          <w:lang w:val="en-US"/>
        </w:rPr>
      </w:pPr>
    </w:p>
    <w:p w14:paraId="601B651A" w14:textId="77777777" w:rsidR="005001D3" w:rsidRPr="003334CE" w:rsidRDefault="005001D3" w:rsidP="00036F69">
      <w:pPr>
        <w:spacing w:after="0" w:line="276" w:lineRule="auto"/>
        <w:rPr>
          <w:rFonts w:ascii="Arial" w:hAnsi="Arial" w:cs="Arial"/>
          <w:sz w:val="24"/>
          <w:lang w:val="en-US"/>
        </w:rPr>
      </w:pPr>
    </w:p>
    <w:p w14:paraId="77388B13" w14:textId="548BCEB4" w:rsidR="005001D3" w:rsidRPr="003334CE" w:rsidRDefault="005001D3" w:rsidP="00036F69">
      <w:pPr>
        <w:spacing w:after="0" w:line="276" w:lineRule="auto"/>
        <w:rPr>
          <w:rFonts w:ascii="Arial" w:hAnsi="Arial" w:cs="Arial"/>
          <w:sz w:val="24"/>
          <w:lang w:val="en-US"/>
        </w:rPr>
      </w:pPr>
      <w:r w:rsidRPr="003334CE">
        <w:rPr>
          <w:rFonts w:ascii="Arial" w:hAnsi="Arial" w:cs="Arial"/>
          <w:sz w:val="24"/>
          <w:lang w:val="en-US"/>
        </w:rPr>
        <w:t>I acknowledge the use of Microsoft 365 Copilot (</w:t>
      </w:r>
      <w:hyperlink r:id="rId10" w:history="1">
        <w:r w:rsidRPr="003334CE">
          <w:rPr>
            <w:rStyle w:val="Hyperlink"/>
            <w:rFonts w:ascii="Arial" w:hAnsi="Arial" w:cs="Arial"/>
            <w:sz w:val="24"/>
            <w:lang w:val="en-US"/>
          </w:rPr>
          <w:t>https://www.microsoft.com</w:t>
        </w:r>
      </w:hyperlink>
      <w:r w:rsidRPr="003334CE">
        <w:rPr>
          <w:rFonts w:ascii="Arial" w:hAnsi="Arial" w:cs="Arial"/>
          <w:sz w:val="24"/>
          <w:lang w:val="en-US"/>
        </w:rPr>
        <w:t>) on 4</w:t>
      </w:r>
      <w:r w:rsidRPr="003334CE">
        <w:rPr>
          <w:rFonts w:ascii="Arial" w:hAnsi="Arial" w:cs="Arial"/>
          <w:sz w:val="24"/>
          <w:vertAlign w:val="superscript"/>
          <w:lang w:val="en-US"/>
        </w:rPr>
        <w:t>th</w:t>
      </w:r>
      <w:r w:rsidRPr="003334CE">
        <w:rPr>
          <w:rFonts w:ascii="Arial" w:hAnsi="Arial" w:cs="Arial"/>
          <w:sz w:val="24"/>
          <w:lang w:val="en-US"/>
        </w:rPr>
        <w:t xml:space="preserve"> August 2026 to support my research using the prompt(s):</w:t>
      </w:r>
    </w:p>
    <w:p w14:paraId="1428F59A" w14:textId="77777777" w:rsidR="005001D3" w:rsidRDefault="005001D3" w:rsidP="00036F69">
      <w:pPr>
        <w:spacing w:after="0" w:line="276" w:lineRule="auto"/>
        <w:rPr>
          <w:rFonts w:ascii="Arial" w:hAnsi="Arial" w:cs="Arial"/>
          <w:sz w:val="24"/>
          <w:lang w:val="en-US"/>
        </w:rPr>
      </w:pPr>
    </w:p>
    <w:p w14:paraId="2F20C511" w14:textId="50FD400D" w:rsidR="00CC38FF" w:rsidRDefault="00CC38FF" w:rsidP="00036F69">
      <w:pPr>
        <w:spacing w:after="0" w:line="276" w:lineRule="auto"/>
        <w:rPr>
          <w:rFonts w:ascii="Arial" w:hAnsi="Arial" w:cs="Arial"/>
          <w:sz w:val="24"/>
          <w:lang w:val="en-US"/>
        </w:rPr>
      </w:pPr>
      <w:r>
        <w:rPr>
          <w:rFonts w:ascii="Arial" w:hAnsi="Arial" w:cs="Arial"/>
          <w:sz w:val="24"/>
          <w:lang w:val="en-US"/>
        </w:rPr>
        <w:t>I used the prompt(s)</w:t>
      </w:r>
    </w:p>
    <w:p w14:paraId="7201350D" w14:textId="77777777" w:rsidR="00CC38FF" w:rsidRPr="003334CE" w:rsidRDefault="00CC38FF" w:rsidP="00036F69">
      <w:pPr>
        <w:spacing w:after="0" w:line="276" w:lineRule="auto"/>
        <w:rPr>
          <w:rFonts w:ascii="Arial" w:hAnsi="Arial" w:cs="Arial"/>
          <w:sz w:val="24"/>
          <w:lang w:val="en-US"/>
        </w:rPr>
      </w:pPr>
    </w:p>
    <w:p w14:paraId="219315B6" w14:textId="5516D8B7" w:rsidR="005001D3" w:rsidRPr="003334CE" w:rsidRDefault="005001D3" w:rsidP="00036F69">
      <w:pPr>
        <w:spacing w:after="0" w:line="276" w:lineRule="auto"/>
        <w:rPr>
          <w:rFonts w:ascii="Arial" w:hAnsi="Arial" w:cs="Arial"/>
          <w:sz w:val="24"/>
          <w:lang w:val="en-US"/>
        </w:rPr>
      </w:pPr>
      <w:r w:rsidRPr="003334CE">
        <w:rPr>
          <w:rFonts w:ascii="Arial" w:hAnsi="Arial" w:cs="Arial"/>
          <w:sz w:val="24"/>
          <w:lang w:val="en-US"/>
        </w:rPr>
        <w:t>1.Provide me with materials and data on Canada.</w:t>
      </w:r>
    </w:p>
    <w:p w14:paraId="46722DE0" w14:textId="77777777" w:rsidR="005001D3" w:rsidRDefault="005001D3" w:rsidP="00036F69">
      <w:pPr>
        <w:spacing w:after="0" w:line="276" w:lineRule="auto"/>
        <w:rPr>
          <w:rFonts w:ascii="Arial" w:hAnsi="Arial" w:cs="Arial"/>
          <w:sz w:val="24"/>
          <w:lang w:val="en-US"/>
        </w:rPr>
      </w:pPr>
    </w:p>
    <w:p w14:paraId="15484EC4" w14:textId="77777777" w:rsidR="00CC38FF" w:rsidRPr="003334CE" w:rsidRDefault="00CC38FF" w:rsidP="00036F69">
      <w:pPr>
        <w:spacing w:after="0" w:line="276" w:lineRule="auto"/>
        <w:rPr>
          <w:rFonts w:ascii="Arial" w:hAnsi="Arial" w:cs="Arial"/>
          <w:sz w:val="24"/>
          <w:lang w:val="en-US"/>
        </w:rPr>
      </w:pPr>
    </w:p>
    <w:p w14:paraId="0E6CEFBD" w14:textId="7E9F66F5" w:rsidR="005001D3" w:rsidRPr="003334CE" w:rsidRDefault="005001D3" w:rsidP="00036F69">
      <w:pPr>
        <w:spacing w:after="0" w:line="276" w:lineRule="auto"/>
        <w:rPr>
          <w:rFonts w:ascii="Arial" w:hAnsi="Arial" w:cs="Arial"/>
          <w:sz w:val="24"/>
          <w:lang w:val="en-US"/>
        </w:rPr>
      </w:pPr>
      <w:r w:rsidRPr="003334CE">
        <w:rPr>
          <w:rFonts w:ascii="Arial" w:hAnsi="Arial" w:cs="Arial"/>
          <w:sz w:val="24"/>
          <w:lang w:val="en-US"/>
        </w:rPr>
        <w:t>I confirm that I have not presented</w:t>
      </w:r>
      <w:r w:rsidR="003334CE" w:rsidRPr="003334CE">
        <w:rPr>
          <w:rFonts w:ascii="Arial" w:hAnsi="Arial" w:cs="Arial"/>
          <w:sz w:val="24"/>
          <w:lang w:val="en-US"/>
        </w:rPr>
        <w:t xml:space="preserve"> any AI generated text as my own work. I confirm I have copies of my drafts, notes, and other resources I used before, and after the use of AI tool which I may be asked to provide in evidence.</w:t>
      </w:r>
    </w:p>
    <w:p w14:paraId="02EADBDF" w14:textId="130EBA05" w:rsidR="00036F69" w:rsidRPr="003334CE" w:rsidRDefault="00036F69" w:rsidP="00036F69">
      <w:pPr>
        <w:spacing w:after="0" w:line="276" w:lineRule="auto"/>
        <w:rPr>
          <w:rFonts w:ascii="Arial" w:hAnsi="Arial" w:cs="Arial"/>
          <w:sz w:val="24"/>
          <w:lang w:val="en-US"/>
        </w:rPr>
      </w:pPr>
    </w:p>
    <w:p w14:paraId="02D48D85" w14:textId="6A25D6F3" w:rsidR="00E07603" w:rsidRDefault="00E07603" w:rsidP="00E07603">
      <w:pPr>
        <w:spacing w:after="0" w:line="276" w:lineRule="auto"/>
        <w:ind w:left="1440" w:firstLine="720"/>
        <w:jc w:val="center"/>
        <w:rPr>
          <w:rFonts w:ascii="Arial" w:hAnsi="Arial" w:cs="Arial"/>
          <w:sz w:val="24"/>
          <w:lang w:val="en-US"/>
        </w:rPr>
      </w:pPr>
    </w:p>
    <w:p w14:paraId="00DAD8C5" w14:textId="77777777" w:rsidR="003334CE" w:rsidRDefault="003334CE" w:rsidP="00E07603">
      <w:pPr>
        <w:spacing w:after="0" w:line="276" w:lineRule="auto"/>
        <w:ind w:left="1440" w:firstLine="720"/>
        <w:jc w:val="center"/>
        <w:rPr>
          <w:rFonts w:ascii="Arial" w:hAnsi="Arial" w:cs="Arial"/>
          <w:sz w:val="24"/>
          <w:lang w:val="en-US"/>
        </w:rPr>
      </w:pPr>
    </w:p>
    <w:p w14:paraId="23E75C02" w14:textId="77777777" w:rsidR="003334CE" w:rsidRDefault="003334CE" w:rsidP="00E07603">
      <w:pPr>
        <w:spacing w:after="0" w:line="276" w:lineRule="auto"/>
        <w:ind w:left="1440" w:firstLine="720"/>
        <w:jc w:val="center"/>
        <w:rPr>
          <w:rFonts w:ascii="Arial" w:hAnsi="Arial" w:cs="Arial"/>
          <w:sz w:val="24"/>
          <w:lang w:val="en-US"/>
        </w:rPr>
      </w:pPr>
    </w:p>
    <w:p w14:paraId="00E5129E" w14:textId="77777777" w:rsidR="003334CE" w:rsidRDefault="003334CE" w:rsidP="00E07603">
      <w:pPr>
        <w:spacing w:after="0" w:line="276" w:lineRule="auto"/>
        <w:ind w:left="1440" w:firstLine="720"/>
        <w:jc w:val="center"/>
        <w:rPr>
          <w:rFonts w:ascii="Arial" w:hAnsi="Arial" w:cs="Arial"/>
          <w:sz w:val="24"/>
          <w:lang w:val="en-US"/>
        </w:rPr>
      </w:pPr>
    </w:p>
    <w:p w14:paraId="1E0F61F2" w14:textId="77777777" w:rsidR="003334CE" w:rsidRDefault="003334CE" w:rsidP="00E07603">
      <w:pPr>
        <w:spacing w:after="0" w:line="276" w:lineRule="auto"/>
        <w:ind w:left="1440" w:firstLine="720"/>
        <w:jc w:val="center"/>
        <w:rPr>
          <w:rFonts w:ascii="Arial" w:hAnsi="Arial" w:cs="Arial"/>
          <w:sz w:val="24"/>
          <w:lang w:val="en-US"/>
        </w:rPr>
      </w:pPr>
    </w:p>
    <w:p w14:paraId="185602EE" w14:textId="77777777" w:rsidR="003334CE" w:rsidRDefault="003334CE" w:rsidP="00E07603">
      <w:pPr>
        <w:spacing w:after="0" w:line="276" w:lineRule="auto"/>
        <w:ind w:left="1440" w:firstLine="720"/>
        <w:jc w:val="center"/>
        <w:rPr>
          <w:rFonts w:ascii="Arial" w:hAnsi="Arial" w:cs="Arial"/>
          <w:sz w:val="24"/>
          <w:lang w:val="en-US"/>
        </w:rPr>
      </w:pPr>
    </w:p>
    <w:p w14:paraId="41EB6B5C" w14:textId="77777777" w:rsidR="003334CE" w:rsidRDefault="003334CE" w:rsidP="00E07603">
      <w:pPr>
        <w:spacing w:after="0" w:line="276" w:lineRule="auto"/>
        <w:ind w:left="1440" w:firstLine="720"/>
        <w:jc w:val="center"/>
        <w:rPr>
          <w:rFonts w:ascii="Arial" w:hAnsi="Arial" w:cs="Arial"/>
          <w:sz w:val="24"/>
          <w:lang w:val="en-US"/>
        </w:rPr>
      </w:pPr>
    </w:p>
    <w:p w14:paraId="4E0E0787" w14:textId="77777777" w:rsidR="003334CE" w:rsidRDefault="003334CE" w:rsidP="00E07603">
      <w:pPr>
        <w:spacing w:after="0" w:line="276" w:lineRule="auto"/>
        <w:ind w:left="1440" w:firstLine="720"/>
        <w:jc w:val="center"/>
        <w:rPr>
          <w:rFonts w:ascii="Arial" w:hAnsi="Arial" w:cs="Arial"/>
          <w:sz w:val="24"/>
          <w:lang w:val="en-US"/>
        </w:rPr>
      </w:pPr>
    </w:p>
    <w:p w14:paraId="3C1FF55C" w14:textId="77777777" w:rsidR="003334CE" w:rsidRDefault="003334CE" w:rsidP="00E07603">
      <w:pPr>
        <w:spacing w:after="0" w:line="276" w:lineRule="auto"/>
        <w:ind w:left="1440" w:firstLine="720"/>
        <w:jc w:val="center"/>
        <w:rPr>
          <w:rFonts w:ascii="Arial" w:hAnsi="Arial" w:cs="Arial"/>
          <w:sz w:val="24"/>
          <w:lang w:val="en-US"/>
        </w:rPr>
      </w:pPr>
    </w:p>
    <w:p w14:paraId="00B7A6F7" w14:textId="77777777" w:rsidR="003334CE" w:rsidRDefault="003334CE" w:rsidP="00E07603">
      <w:pPr>
        <w:spacing w:after="0" w:line="276" w:lineRule="auto"/>
        <w:ind w:left="1440" w:firstLine="720"/>
        <w:jc w:val="center"/>
        <w:rPr>
          <w:rFonts w:ascii="Arial" w:hAnsi="Arial" w:cs="Arial"/>
          <w:sz w:val="24"/>
          <w:lang w:val="en-US"/>
        </w:rPr>
      </w:pPr>
    </w:p>
    <w:p w14:paraId="59FFB71A" w14:textId="77777777" w:rsidR="003334CE" w:rsidRDefault="003334CE" w:rsidP="00E07603">
      <w:pPr>
        <w:spacing w:after="0" w:line="276" w:lineRule="auto"/>
        <w:ind w:left="1440" w:firstLine="720"/>
        <w:jc w:val="center"/>
        <w:rPr>
          <w:rFonts w:ascii="Arial" w:hAnsi="Arial" w:cs="Arial"/>
          <w:sz w:val="24"/>
          <w:lang w:val="en-US"/>
        </w:rPr>
      </w:pPr>
    </w:p>
    <w:p w14:paraId="6C52C2AB" w14:textId="77777777" w:rsidR="003334CE" w:rsidRDefault="003334CE" w:rsidP="00E07603">
      <w:pPr>
        <w:spacing w:after="0" w:line="276" w:lineRule="auto"/>
        <w:ind w:left="1440" w:firstLine="720"/>
        <w:jc w:val="center"/>
        <w:rPr>
          <w:rFonts w:ascii="Arial" w:hAnsi="Arial" w:cs="Arial"/>
          <w:sz w:val="24"/>
          <w:lang w:val="en-US"/>
        </w:rPr>
      </w:pPr>
    </w:p>
    <w:p w14:paraId="1380E8AB" w14:textId="77777777" w:rsidR="003334CE" w:rsidRDefault="003334CE" w:rsidP="00E07603">
      <w:pPr>
        <w:spacing w:after="0" w:line="276" w:lineRule="auto"/>
        <w:ind w:left="1440" w:firstLine="720"/>
        <w:jc w:val="center"/>
        <w:rPr>
          <w:rFonts w:ascii="Arial" w:hAnsi="Arial" w:cs="Arial"/>
          <w:sz w:val="24"/>
          <w:lang w:val="en-US"/>
        </w:rPr>
      </w:pPr>
    </w:p>
    <w:p w14:paraId="3BDD2E62" w14:textId="77777777" w:rsidR="003334CE" w:rsidRDefault="003334CE" w:rsidP="00E07603">
      <w:pPr>
        <w:spacing w:after="0" w:line="276" w:lineRule="auto"/>
        <w:ind w:left="1440" w:firstLine="720"/>
        <w:jc w:val="center"/>
        <w:rPr>
          <w:rFonts w:ascii="Arial" w:hAnsi="Arial" w:cs="Arial"/>
          <w:sz w:val="24"/>
          <w:lang w:val="en-US"/>
        </w:rPr>
      </w:pPr>
    </w:p>
    <w:p w14:paraId="28A07D63" w14:textId="77777777" w:rsidR="003334CE" w:rsidRDefault="003334CE" w:rsidP="00E07603">
      <w:pPr>
        <w:spacing w:after="0" w:line="276" w:lineRule="auto"/>
        <w:ind w:left="1440" w:firstLine="720"/>
        <w:jc w:val="center"/>
        <w:rPr>
          <w:rFonts w:ascii="Arial" w:hAnsi="Arial" w:cs="Arial"/>
          <w:sz w:val="24"/>
          <w:lang w:val="en-US"/>
        </w:rPr>
      </w:pPr>
    </w:p>
    <w:p w14:paraId="33EA1ABE" w14:textId="77777777" w:rsidR="003334CE" w:rsidRDefault="003334CE" w:rsidP="00E07603">
      <w:pPr>
        <w:spacing w:after="0" w:line="276" w:lineRule="auto"/>
        <w:ind w:left="1440" w:firstLine="720"/>
        <w:jc w:val="center"/>
        <w:rPr>
          <w:rFonts w:ascii="Arial" w:hAnsi="Arial" w:cs="Arial"/>
          <w:sz w:val="24"/>
          <w:lang w:val="en-US"/>
        </w:rPr>
      </w:pPr>
    </w:p>
    <w:p w14:paraId="1A237B09" w14:textId="77777777" w:rsidR="003334CE" w:rsidRDefault="003334CE" w:rsidP="00E07603">
      <w:pPr>
        <w:spacing w:after="0" w:line="276" w:lineRule="auto"/>
        <w:ind w:left="1440" w:firstLine="720"/>
        <w:jc w:val="center"/>
        <w:rPr>
          <w:rFonts w:ascii="Arial" w:hAnsi="Arial" w:cs="Arial"/>
          <w:sz w:val="24"/>
          <w:lang w:val="en-US"/>
        </w:rPr>
      </w:pPr>
    </w:p>
    <w:p w14:paraId="050659E9" w14:textId="77777777" w:rsidR="003334CE" w:rsidRDefault="003334CE" w:rsidP="00E07603">
      <w:pPr>
        <w:spacing w:after="0" w:line="276" w:lineRule="auto"/>
        <w:ind w:left="1440" w:firstLine="720"/>
        <w:jc w:val="center"/>
        <w:rPr>
          <w:rFonts w:ascii="Arial" w:hAnsi="Arial" w:cs="Arial"/>
          <w:sz w:val="24"/>
          <w:lang w:val="en-US"/>
        </w:rPr>
      </w:pPr>
    </w:p>
    <w:p w14:paraId="173A8A26" w14:textId="77777777" w:rsidR="003334CE" w:rsidRDefault="003334CE" w:rsidP="00E07603">
      <w:pPr>
        <w:spacing w:after="0" w:line="276" w:lineRule="auto"/>
        <w:ind w:left="1440" w:firstLine="720"/>
        <w:jc w:val="center"/>
        <w:rPr>
          <w:rFonts w:ascii="Arial" w:hAnsi="Arial" w:cs="Arial"/>
          <w:sz w:val="24"/>
          <w:lang w:val="en-US"/>
        </w:rPr>
      </w:pPr>
    </w:p>
    <w:p w14:paraId="5D289EA9" w14:textId="55F97F0C" w:rsidR="006C0E13" w:rsidRPr="006C0E13" w:rsidRDefault="006C0E13" w:rsidP="00295ED7">
      <w:pPr>
        <w:spacing w:after="0" w:line="276" w:lineRule="auto"/>
        <w:rPr>
          <w:rFonts w:ascii="Arial" w:hAnsi="Arial" w:cs="Arial"/>
          <w:sz w:val="24"/>
          <w:lang w:val="en-US"/>
        </w:rPr>
      </w:pPr>
    </w:p>
    <w:p w14:paraId="2965315B" w14:textId="2B6FD4F7" w:rsidR="006C0E13" w:rsidRPr="00295ED7" w:rsidRDefault="006C0E13" w:rsidP="006C0E13">
      <w:pPr>
        <w:spacing w:after="0" w:line="276" w:lineRule="auto"/>
        <w:ind w:left="1440" w:firstLine="720"/>
        <w:jc w:val="center"/>
        <w:rPr>
          <w:rFonts w:ascii="Arial" w:hAnsi="Arial" w:cs="Arial"/>
          <w:b/>
          <w:bCs/>
          <w:sz w:val="24"/>
          <w:lang w:val="en-US"/>
        </w:rPr>
      </w:pPr>
    </w:p>
    <w:p w14:paraId="5196A916" w14:textId="27DDD78A" w:rsidR="00450CAE" w:rsidRPr="00CD0345" w:rsidRDefault="00450CAE">
      <w:pPr>
        <w:rPr>
          <w:rFonts w:ascii="Arial" w:hAnsi="Arial" w:cs="Arial"/>
          <w:sz w:val="24"/>
          <w:lang w:val="en-US"/>
        </w:rPr>
      </w:pPr>
    </w:p>
    <w:sdt>
      <w:sdtPr>
        <w:rPr>
          <w:rFonts w:ascii="Arial" w:eastAsiaTheme="minorHAnsi" w:hAnsi="Arial" w:cs="Arial"/>
          <w:b/>
          <w:color w:val="000000" w:themeColor="text1"/>
          <w:sz w:val="22"/>
          <w:szCs w:val="22"/>
          <w:lang w:val="en-GB"/>
        </w:rPr>
        <w:id w:val="-665243451"/>
        <w:docPartObj>
          <w:docPartGallery w:val="Table of Contents"/>
          <w:docPartUnique/>
        </w:docPartObj>
      </w:sdtPr>
      <w:sdtEndPr>
        <w:rPr>
          <w:bCs/>
          <w:noProof/>
          <w:color w:val="auto"/>
        </w:rPr>
      </w:sdtEndPr>
      <w:sdtContent>
        <w:p w14:paraId="1BE198FF" w14:textId="3B6CBB4C" w:rsidR="00E63983" w:rsidRPr="00D47A89" w:rsidRDefault="00B45783" w:rsidP="00E63983">
          <w:pPr>
            <w:pStyle w:val="TOCHeading"/>
            <w:spacing w:before="0" w:line="360" w:lineRule="auto"/>
            <w:jc w:val="center"/>
            <w:rPr>
              <w:rFonts w:ascii="Arial" w:hAnsi="Arial" w:cs="Arial"/>
              <w:b/>
              <w:color w:val="000000" w:themeColor="text1"/>
            </w:rPr>
          </w:pPr>
          <w:r w:rsidRPr="00D47A89">
            <w:rPr>
              <w:rFonts w:ascii="Arial" w:hAnsi="Arial" w:cs="Arial"/>
              <w:b/>
              <w:color w:val="000000" w:themeColor="text1"/>
            </w:rPr>
            <w:t>TABLE OF CONTENTS</w:t>
          </w:r>
        </w:p>
        <w:p w14:paraId="38B7269C" w14:textId="747EC8AD" w:rsidR="00D47A89" w:rsidRPr="00D47A89" w:rsidRDefault="00E63983">
          <w:pPr>
            <w:pStyle w:val="TOC1"/>
            <w:tabs>
              <w:tab w:val="right" w:leader="dot" w:pos="9350"/>
            </w:tabs>
            <w:rPr>
              <w:rFonts w:ascii="Arial" w:eastAsiaTheme="minorEastAsia" w:hAnsi="Arial" w:cs="Arial"/>
              <w:noProof/>
              <w:lang w:val="en-US"/>
            </w:rPr>
          </w:pPr>
          <w:r w:rsidRPr="00D47A89">
            <w:rPr>
              <w:rFonts w:ascii="Arial" w:hAnsi="Arial" w:cs="Arial"/>
            </w:rPr>
            <w:fldChar w:fldCharType="begin"/>
          </w:r>
          <w:r w:rsidRPr="00D47A89">
            <w:rPr>
              <w:rFonts w:ascii="Arial" w:hAnsi="Arial" w:cs="Arial"/>
            </w:rPr>
            <w:instrText xml:space="preserve"> TOC \o "1-3" \h \z \u </w:instrText>
          </w:r>
          <w:r w:rsidRPr="00D47A89">
            <w:rPr>
              <w:rFonts w:ascii="Arial" w:hAnsi="Arial" w:cs="Arial"/>
            </w:rPr>
            <w:fldChar w:fldCharType="separate"/>
          </w:r>
          <w:hyperlink w:anchor="_Toc235800510" w:history="1">
            <w:r w:rsidR="00D47A89" w:rsidRPr="00D47A89">
              <w:rPr>
                <w:rStyle w:val="Hyperlink"/>
                <w:rFonts w:ascii="Arial" w:hAnsi="Arial" w:cs="Arial"/>
                <w:noProof/>
                <w:lang w:val="en-US"/>
              </w:rPr>
              <w:t>INTRODUCTION</w:t>
            </w:r>
            <w:r w:rsidR="00D47A89" w:rsidRPr="00D47A89">
              <w:rPr>
                <w:rFonts w:ascii="Arial" w:hAnsi="Arial" w:cs="Arial"/>
                <w:noProof/>
                <w:webHidden/>
              </w:rPr>
              <w:tab/>
            </w:r>
            <w:r w:rsidR="00D47A89" w:rsidRPr="00D47A89">
              <w:rPr>
                <w:rFonts w:ascii="Arial" w:hAnsi="Arial" w:cs="Arial"/>
                <w:noProof/>
                <w:webHidden/>
              </w:rPr>
              <w:fldChar w:fldCharType="begin"/>
            </w:r>
            <w:r w:rsidR="00D47A89" w:rsidRPr="00D47A89">
              <w:rPr>
                <w:rFonts w:ascii="Arial" w:hAnsi="Arial" w:cs="Arial"/>
                <w:noProof/>
                <w:webHidden/>
              </w:rPr>
              <w:instrText xml:space="preserve"> PAGEREF _Toc235800510 \h </w:instrText>
            </w:r>
            <w:r w:rsidR="00D47A89" w:rsidRPr="00D47A89">
              <w:rPr>
                <w:rFonts w:ascii="Arial" w:hAnsi="Arial" w:cs="Arial"/>
                <w:noProof/>
                <w:webHidden/>
              </w:rPr>
            </w:r>
            <w:r w:rsidR="00D47A89" w:rsidRPr="00D47A89">
              <w:rPr>
                <w:rFonts w:ascii="Arial" w:hAnsi="Arial" w:cs="Arial"/>
                <w:noProof/>
                <w:webHidden/>
              </w:rPr>
              <w:fldChar w:fldCharType="separate"/>
            </w:r>
            <w:r w:rsidR="00295ED7">
              <w:rPr>
                <w:rFonts w:ascii="Arial" w:hAnsi="Arial" w:cs="Arial"/>
                <w:noProof/>
                <w:webHidden/>
              </w:rPr>
              <w:t>5</w:t>
            </w:r>
            <w:r w:rsidR="00D47A89" w:rsidRPr="00D47A89">
              <w:rPr>
                <w:rFonts w:ascii="Arial" w:hAnsi="Arial" w:cs="Arial"/>
                <w:noProof/>
                <w:webHidden/>
              </w:rPr>
              <w:fldChar w:fldCharType="end"/>
            </w:r>
          </w:hyperlink>
        </w:p>
        <w:p w14:paraId="6550FC72" w14:textId="21A7795F" w:rsidR="00D47A89" w:rsidRPr="00D47A89" w:rsidRDefault="00D47A89">
          <w:pPr>
            <w:pStyle w:val="TOC1"/>
            <w:tabs>
              <w:tab w:val="right" w:leader="dot" w:pos="9350"/>
            </w:tabs>
            <w:rPr>
              <w:rFonts w:ascii="Arial" w:eastAsiaTheme="minorEastAsia" w:hAnsi="Arial" w:cs="Arial"/>
              <w:noProof/>
              <w:lang w:val="en-US"/>
            </w:rPr>
          </w:pPr>
          <w:hyperlink w:anchor="_Toc235800511" w:history="1">
            <w:r w:rsidRPr="00D47A89">
              <w:rPr>
                <w:rStyle w:val="Hyperlink"/>
                <w:rFonts w:ascii="Arial" w:hAnsi="Arial" w:cs="Arial"/>
                <w:noProof/>
                <w:lang w:val="en-US"/>
              </w:rPr>
              <w:t xml:space="preserve">SECTION 1: STRATEGIC EVALUATION AND MARKET </w:t>
            </w:r>
            <w:r w:rsidRPr="00D47A89">
              <w:rPr>
                <w:rStyle w:val="Hyperlink"/>
                <w:rFonts w:ascii="Arial" w:hAnsi="Arial" w:cs="Arial"/>
                <w:noProof/>
              </w:rPr>
              <w:t>ENTRY</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_Toc235800511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6</w:t>
            </w:r>
            <w:r w:rsidRPr="00D47A89">
              <w:rPr>
                <w:rFonts w:ascii="Arial" w:hAnsi="Arial" w:cs="Arial"/>
                <w:noProof/>
                <w:webHidden/>
              </w:rPr>
              <w:fldChar w:fldCharType="end"/>
            </w:r>
          </w:hyperlink>
        </w:p>
        <w:p w14:paraId="6EF19015" w14:textId="278D34EE" w:rsidR="00D47A89" w:rsidRPr="00D47A89" w:rsidRDefault="00D47A89">
          <w:pPr>
            <w:pStyle w:val="TOC1"/>
            <w:tabs>
              <w:tab w:val="right" w:leader="dot" w:pos="9350"/>
            </w:tabs>
            <w:rPr>
              <w:rFonts w:ascii="Arial" w:eastAsiaTheme="minorEastAsia" w:hAnsi="Arial" w:cs="Arial"/>
              <w:noProof/>
              <w:lang w:val="en-US"/>
            </w:rPr>
          </w:pPr>
          <w:hyperlink w:anchor="_Toc235800512" w:history="1">
            <w:r w:rsidRPr="00D47A89">
              <w:rPr>
                <w:rStyle w:val="Hyperlink"/>
                <w:rFonts w:ascii="Arial" w:hAnsi="Arial" w:cs="Arial"/>
                <w:noProof/>
                <w:lang w:val="en-US"/>
              </w:rPr>
              <w:t>1. Organisational Classification and Global Strategy</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_Toc235800512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6</w:t>
            </w:r>
            <w:r w:rsidRPr="00D47A89">
              <w:rPr>
                <w:rFonts w:ascii="Arial" w:hAnsi="Arial" w:cs="Arial"/>
                <w:noProof/>
                <w:webHidden/>
              </w:rPr>
              <w:fldChar w:fldCharType="end"/>
            </w:r>
          </w:hyperlink>
        </w:p>
        <w:p w14:paraId="44315A55" w14:textId="5B72EAE2" w:rsidR="00D47A89" w:rsidRPr="00D47A89" w:rsidRDefault="00D47A89">
          <w:pPr>
            <w:pStyle w:val="TOC2"/>
            <w:tabs>
              <w:tab w:val="right" w:leader="dot" w:pos="9350"/>
            </w:tabs>
            <w:rPr>
              <w:rFonts w:ascii="Arial" w:eastAsiaTheme="minorEastAsia" w:hAnsi="Arial" w:cs="Arial"/>
              <w:noProof/>
              <w:lang w:val="en-US"/>
            </w:rPr>
          </w:pPr>
          <w:hyperlink w:anchor="_Toc235800513" w:history="1">
            <w:r w:rsidRPr="00D47A89">
              <w:rPr>
                <w:rStyle w:val="Hyperlink"/>
                <w:rFonts w:ascii="Arial" w:hAnsi="Arial" w:cs="Arial"/>
                <w:noProof/>
                <w:lang w:val="en-US"/>
              </w:rPr>
              <w:t>1.1 Introduction and Strategic Categorisation</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_Toc235800513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6</w:t>
            </w:r>
            <w:r w:rsidRPr="00D47A89">
              <w:rPr>
                <w:rFonts w:ascii="Arial" w:hAnsi="Arial" w:cs="Arial"/>
                <w:noProof/>
                <w:webHidden/>
              </w:rPr>
              <w:fldChar w:fldCharType="end"/>
            </w:r>
          </w:hyperlink>
        </w:p>
        <w:p w14:paraId="34634D84" w14:textId="7A427E69" w:rsidR="00D47A89" w:rsidRPr="00D47A89" w:rsidRDefault="00D47A89">
          <w:pPr>
            <w:pStyle w:val="TOC2"/>
            <w:tabs>
              <w:tab w:val="right" w:leader="dot" w:pos="9350"/>
            </w:tabs>
            <w:rPr>
              <w:rFonts w:ascii="Arial" w:eastAsiaTheme="minorEastAsia" w:hAnsi="Arial" w:cs="Arial"/>
              <w:noProof/>
              <w:lang w:val="en-US"/>
            </w:rPr>
          </w:pPr>
          <w:hyperlink w:anchor="_Toc235800514" w:history="1">
            <w:r w:rsidRPr="00D47A89">
              <w:rPr>
                <w:rStyle w:val="Hyperlink"/>
                <w:rFonts w:ascii="Arial" w:hAnsi="Arial" w:cs="Arial"/>
                <w:noProof/>
                <w:lang w:val="en-US"/>
              </w:rPr>
              <w:t>1.2 Global Configuration and Value Creation</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_Toc235800514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6</w:t>
            </w:r>
            <w:r w:rsidRPr="00D47A89">
              <w:rPr>
                <w:rFonts w:ascii="Arial" w:hAnsi="Arial" w:cs="Arial"/>
                <w:noProof/>
                <w:webHidden/>
              </w:rPr>
              <w:fldChar w:fldCharType="end"/>
            </w:r>
          </w:hyperlink>
        </w:p>
        <w:p w14:paraId="60A1843D" w14:textId="59EF3FAE" w:rsidR="00D47A89" w:rsidRPr="00D47A89" w:rsidRDefault="00D47A89">
          <w:pPr>
            <w:pStyle w:val="TOC1"/>
            <w:tabs>
              <w:tab w:val="right" w:leader="dot" w:pos="9350"/>
            </w:tabs>
            <w:rPr>
              <w:rFonts w:ascii="Arial" w:eastAsiaTheme="minorEastAsia" w:hAnsi="Arial" w:cs="Arial"/>
              <w:noProof/>
              <w:lang w:val="en-US"/>
            </w:rPr>
          </w:pPr>
          <w:hyperlink w:anchor="_Toc235800515" w:history="1">
            <w:r w:rsidRPr="00D47A89">
              <w:rPr>
                <w:rStyle w:val="Hyperlink"/>
                <w:rFonts w:ascii="Arial" w:hAnsi="Arial" w:cs="Arial"/>
                <w:noProof/>
                <w:lang w:val="en-US"/>
              </w:rPr>
              <w:t>2. Macro-Environmental Appraisal and Market Attractiveness</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_Toc235800515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8</w:t>
            </w:r>
            <w:r w:rsidRPr="00D47A89">
              <w:rPr>
                <w:rFonts w:ascii="Arial" w:hAnsi="Arial" w:cs="Arial"/>
                <w:noProof/>
                <w:webHidden/>
              </w:rPr>
              <w:fldChar w:fldCharType="end"/>
            </w:r>
          </w:hyperlink>
        </w:p>
        <w:p w14:paraId="2F5AF659" w14:textId="72DAF60E" w:rsidR="00D47A89" w:rsidRPr="00D47A89" w:rsidRDefault="00D47A89">
          <w:pPr>
            <w:pStyle w:val="TOC2"/>
            <w:tabs>
              <w:tab w:val="right" w:leader="dot" w:pos="9350"/>
            </w:tabs>
            <w:rPr>
              <w:rFonts w:ascii="Arial" w:eastAsiaTheme="minorEastAsia" w:hAnsi="Arial" w:cs="Arial"/>
              <w:noProof/>
              <w:lang w:val="en-US"/>
            </w:rPr>
          </w:pPr>
          <w:hyperlink w:anchor="_Toc235800516" w:history="1">
            <w:r w:rsidRPr="00D47A89">
              <w:rPr>
                <w:rStyle w:val="Hyperlink"/>
                <w:rFonts w:ascii="Arial" w:hAnsi="Arial" w:cs="Arial"/>
                <w:noProof/>
                <w:lang w:val="en-US"/>
              </w:rPr>
              <w:t>2.1 Host Country Analysis: Canada</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_Toc235800516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8</w:t>
            </w:r>
            <w:r w:rsidRPr="00D47A89">
              <w:rPr>
                <w:rFonts w:ascii="Arial" w:hAnsi="Arial" w:cs="Arial"/>
                <w:noProof/>
                <w:webHidden/>
              </w:rPr>
              <w:fldChar w:fldCharType="end"/>
            </w:r>
          </w:hyperlink>
        </w:p>
        <w:p w14:paraId="4FA9742C" w14:textId="6304A2D0" w:rsidR="00D47A89" w:rsidRPr="00D47A89" w:rsidRDefault="00D47A89">
          <w:pPr>
            <w:pStyle w:val="TOC2"/>
            <w:tabs>
              <w:tab w:val="right" w:leader="dot" w:pos="9350"/>
            </w:tabs>
            <w:rPr>
              <w:rFonts w:ascii="Arial" w:eastAsiaTheme="minorEastAsia" w:hAnsi="Arial" w:cs="Arial"/>
              <w:noProof/>
              <w:lang w:val="en-US"/>
            </w:rPr>
          </w:pPr>
          <w:hyperlink w:anchor="_Toc235800517" w:history="1">
            <w:r w:rsidRPr="00D47A89">
              <w:rPr>
                <w:rStyle w:val="Hyperlink"/>
                <w:rFonts w:ascii="Arial" w:hAnsi="Arial" w:cs="Arial"/>
                <w:noProof/>
                <w:lang w:val="en-US"/>
              </w:rPr>
              <w:t>2.2 Market Entry Synthesis: Dunning's OLI Paradigm</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_Toc235800517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12</w:t>
            </w:r>
            <w:r w:rsidRPr="00D47A89">
              <w:rPr>
                <w:rFonts w:ascii="Arial" w:hAnsi="Arial" w:cs="Arial"/>
                <w:noProof/>
                <w:webHidden/>
              </w:rPr>
              <w:fldChar w:fldCharType="end"/>
            </w:r>
          </w:hyperlink>
        </w:p>
        <w:p w14:paraId="32DA8C89" w14:textId="3D673C5F" w:rsidR="00D47A89" w:rsidRPr="00D47A89" w:rsidRDefault="00D47A89">
          <w:pPr>
            <w:pStyle w:val="TOC1"/>
            <w:tabs>
              <w:tab w:val="right" w:leader="dot" w:pos="9350"/>
            </w:tabs>
            <w:rPr>
              <w:rFonts w:ascii="Arial" w:eastAsiaTheme="minorEastAsia" w:hAnsi="Arial" w:cs="Arial"/>
              <w:noProof/>
              <w:lang w:val="en-US"/>
            </w:rPr>
          </w:pPr>
          <w:hyperlink w:anchor="_Toc235800518" w:history="1">
            <w:r w:rsidRPr="00D47A89">
              <w:rPr>
                <w:rStyle w:val="Hyperlink"/>
                <w:rFonts w:ascii="Arial" w:hAnsi="Arial" w:cs="Arial"/>
                <w:noProof/>
                <w:lang w:val="en-US"/>
              </w:rPr>
              <w:t>3. Entry Mode Strategy and Strategic Synthesis</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_Toc235800518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16</w:t>
            </w:r>
            <w:r w:rsidRPr="00D47A89">
              <w:rPr>
                <w:rFonts w:ascii="Arial" w:hAnsi="Arial" w:cs="Arial"/>
                <w:noProof/>
                <w:webHidden/>
              </w:rPr>
              <w:fldChar w:fldCharType="end"/>
            </w:r>
          </w:hyperlink>
        </w:p>
        <w:p w14:paraId="054E215D" w14:textId="5EDE7765" w:rsidR="00D47A89" w:rsidRPr="00D47A89" w:rsidRDefault="00D47A89">
          <w:pPr>
            <w:pStyle w:val="TOC2"/>
            <w:tabs>
              <w:tab w:val="right" w:leader="dot" w:pos="9350"/>
            </w:tabs>
            <w:rPr>
              <w:rFonts w:ascii="Arial" w:eastAsiaTheme="minorEastAsia" w:hAnsi="Arial" w:cs="Arial"/>
              <w:noProof/>
              <w:lang w:val="en-US"/>
            </w:rPr>
          </w:pPr>
          <w:hyperlink w:anchor="_Toc235800519" w:history="1">
            <w:r w:rsidRPr="00D47A89">
              <w:rPr>
                <w:rStyle w:val="Hyperlink"/>
                <w:rFonts w:ascii="Arial" w:hAnsi="Arial" w:cs="Arial"/>
                <w:noProof/>
                <w:lang w:val="en-US"/>
              </w:rPr>
              <w:t>3.1 Historical Pattern Recognition</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_Toc235800519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16</w:t>
            </w:r>
            <w:r w:rsidRPr="00D47A89">
              <w:rPr>
                <w:rFonts w:ascii="Arial" w:hAnsi="Arial" w:cs="Arial"/>
                <w:noProof/>
                <w:webHidden/>
              </w:rPr>
              <w:fldChar w:fldCharType="end"/>
            </w:r>
          </w:hyperlink>
        </w:p>
        <w:p w14:paraId="2162AC1A" w14:textId="6E483EA3" w:rsidR="00D47A89" w:rsidRPr="00D47A89" w:rsidRDefault="00D47A89">
          <w:pPr>
            <w:pStyle w:val="TOC2"/>
            <w:tabs>
              <w:tab w:val="right" w:leader="dot" w:pos="9350"/>
            </w:tabs>
            <w:rPr>
              <w:rFonts w:ascii="Arial" w:eastAsiaTheme="minorEastAsia" w:hAnsi="Arial" w:cs="Arial"/>
              <w:noProof/>
              <w:lang w:val="en-US"/>
            </w:rPr>
          </w:pPr>
          <w:hyperlink w:anchor="_Toc235800520" w:history="1">
            <w:r w:rsidRPr="00D47A89">
              <w:rPr>
                <w:rStyle w:val="Hyperlink"/>
                <w:rFonts w:ascii="Arial" w:hAnsi="Arial" w:cs="Arial"/>
                <w:noProof/>
                <w:lang w:val="en-US"/>
              </w:rPr>
              <w:t>3.2 Strategic Fit and Justification</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_Toc235800520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17</w:t>
            </w:r>
            <w:r w:rsidRPr="00D47A89">
              <w:rPr>
                <w:rFonts w:ascii="Arial" w:hAnsi="Arial" w:cs="Arial"/>
                <w:noProof/>
                <w:webHidden/>
              </w:rPr>
              <w:fldChar w:fldCharType="end"/>
            </w:r>
          </w:hyperlink>
        </w:p>
        <w:p w14:paraId="61712794" w14:textId="47CBB261" w:rsidR="00D47A89" w:rsidRPr="00D47A89" w:rsidRDefault="00D47A89">
          <w:pPr>
            <w:pStyle w:val="TOC2"/>
            <w:tabs>
              <w:tab w:val="right" w:leader="dot" w:pos="9350"/>
            </w:tabs>
            <w:rPr>
              <w:rFonts w:ascii="Arial" w:eastAsiaTheme="minorEastAsia" w:hAnsi="Arial" w:cs="Arial"/>
              <w:noProof/>
              <w:lang w:val="en-US"/>
            </w:rPr>
          </w:pPr>
          <w:hyperlink w:anchor="_Toc235800521" w:history="1">
            <w:r w:rsidRPr="00D47A89">
              <w:rPr>
                <w:rStyle w:val="Hyperlink"/>
                <w:rFonts w:ascii="Arial" w:hAnsi="Arial" w:cs="Arial"/>
                <w:noProof/>
                <w:lang w:val="en-US"/>
              </w:rPr>
              <w:t>3.3 Conclusion and Recommendations</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_Toc235800521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19</w:t>
            </w:r>
            <w:r w:rsidRPr="00D47A89">
              <w:rPr>
                <w:rFonts w:ascii="Arial" w:hAnsi="Arial" w:cs="Arial"/>
                <w:noProof/>
                <w:webHidden/>
              </w:rPr>
              <w:fldChar w:fldCharType="end"/>
            </w:r>
          </w:hyperlink>
        </w:p>
        <w:p w14:paraId="4D083334" w14:textId="66C388F8" w:rsidR="00D47A89" w:rsidRPr="00D47A89" w:rsidRDefault="00D47A89">
          <w:pPr>
            <w:pStyle w:val="TOC1"/>
            <w:tabs>
              <w:tab w:val="right" w:leader="dot" w:pos="9350"/>
            </w:tabs>
            <w:rPr>
              <w:rFonts w:ascii="Arial" w:eastAsiaTheme="minorEastAsia" w:hAnsi="Arial" w:cs="Arial"/>
              <w:noProof/>
              <w:lang w:val="en-US"/>
            </w:rPr>
          </w:pPr>
          <w:hyperlink w:anchor="_Toc235800522" w:history="1">
            <w:r w:rsidRPr="00D47A89">
              <w:rPr>
                <w:rStyle w:val="Hyperlink"/>
                <w:rFonts w:ascii="Arial" w:hAnsi="Arial" w:cs="Arial"/>
                <w:noProof/>
                <w:lang w:val="en-US"/>
              </w:rPr>
              <w:t>SECTION 2: REFLECTIVE ACCOUNT (GIBBS’ REFLECTIVE CYCLE)</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_Toc235800522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20</w:t>
            </w:r>
            <w:r w:rsidRPr="00D47A89">
              <w:rPr>
                <w:rFonts w:ascii="Arial" w:hAnsi="Arial" w:cs="Arial"/>
                <w:noProof/>
                <w:webHidden/>
              </w:rPr>
              <w:fldChar w:fldCharType="end"/>
            </w:r>
          </w:hyperlink>
        </w:p>
        <w:p w14:paraId="4EA134F2" w14:textId="0EA2DF62" w:rsidR="00D47A89" w:rsidRPr="00D47A89" w:rsidRDefault="00D47A89">
          <w:pPr>
            <w:pStyle w:val="TOC1"/>
            <w:tabs>
              <w:tab w:val="right" w:leader="dot" w:pos="9350"/>
            </w:tabs>
            <w:rPr>
              <w:rFonts w:ascii="Arial" w:eastAsiaTheme="minorEastAsia" w:hAnsi="Arial" w:cs="Arial"/>
              <w:noProof/>
              <w:lang w:val="en-US"/>
            </w:rPr>
          </w:pPr>
          <w:hyperlink w:anchor="_Toc235800523" w:history="1">
            <w:r w:rsidRPr="00D47A89">
              <w:rPr>
                <w:rStyle w:val="Hyperlink"/>
                <w:rFonts w:ascii="Arial" w:hAnsi="Arial" w:cs="Arial"/>
                <w:noProof/>
                <w:lang w:val="en-US"/>
              </w:rPr>
              <w:t>CONCLUSION</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_Toc235800523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23</w:t>
            </w:r>
            <w:r w:rsidRPr="00D47A89">
              <w:rPr>
                <w:rFonts w:ascii="Arial" w:hAnsi="Arial" w:cs="Arial"/>
                <w:noProof/>
                <w:webHidden/>
              </w:rPr>
              <w:fldChar w:fldCharType="end"/>
            </w:r>
          </w:hyperlink>
        </w:p>
        <w:p w14:paraId="197906B3" w14:textId="5A26A3BE" w:rsidR="00D47A89" w:rsidRPr="00D47A89" w:rsidRDefault="00D47A89">
          <w:pPr>
            <w:pStyle w:val="TOC1"/>
            <w:tabs>
              <w:tab w:val="right" w:leader="dot" w:pos="9350"/>
            </w:tabs>
            <w:rPr>
              <w:rFonts w:ascii="Arial" w:eastAsiaTheme="minorEastAsia" w:hAnsi="Arial" w:cs="Arial"/>
              <w:noProof/>
              <w:lang w:val="en-US"/>
            </w:rPr>
          </w:pPr>
          <w:hyperlink w:anchor="_Toc235800524" w:history="1">
            <w:r w:rsidRPr="00D47A89">
              <w:rPr>
                <w:rStyle w:val="Hyperlink"/>
                <w:rFonts w:ascii="Arial" w:hAnsi="Arial" w:cs="Arial"/>
                <w:noProof/>
                <w:lang w:val="en-US"/>
              </w:rPr>
              <w:t>REFERENCES</w:t>
            </w:r>
            <w:r w:rsidRPr="00D47A89">
              <w:rPr>
                <w:rFonts w:ascii="Arial" w:hAnsi="Arial" w:cs="Arial"/>
                <w:noProof/>
                <w:webHidden/>
              </w:rPr>
              <w:tab/>
            </w:r>
            <w:r w:rsidRPr="00D47A89">
              <w:rPr>
                <w:rFonts w:ascii="Arial" w:hAnsi="Arial" w:cs="Arial"/>
                <w:noProof/>
                <w:webHidden/>
              </w:rPr>
              <w:fldChar w:fldCharType="begin"/>
            </w:r>
            <w:r w:rsidRPr="00D47A89">
              <w:rPr>
                <w:rFonts w:ascii="Arial" w:hAnsi="Arial" w:cs="Arial"/>
                <w:noProof/>
                <w:webHidden/>
              </w:rPr>
              <w:instrText xml:space="preserve"> PAGEREF _Toc235800524 \h </w:instrText>
            </w:r>
            <w:r w:rsidRPr="00D47A89">
              <w:rPr>
                <w:rFonts w:ascii="Arial" w:hAnsi="Arial" w:cs="Arial"/>
                <w:noProof/>
                <w:webHidden/>
              </w:rPr>
            </w:r>
            <w:r w:rsidRPr="00D47A89">
              <w:rPr>
                <w:rFonts w:ascii="Arial" w:hAnsi="Arial" w:cs="Arial"/>
                <w:noProof/>
                <w:webHidden/>
              </w:rPr>
              <w:fldChar w:fldCharType="separate"/>
            </w:r>
            <w:r w:rsidR="00295ED7">
              <w:rPr>
                <w:rFonts w:ascii="Arial" w:hAnsi="Arial" w:cs="Arial"/>
                <w:noProof/>
                <w:webHidden/>
              </w:rPr>
              <w:t>24</w:t>
            </w:r>
            <w:r w:rsidRPr="00D47A89">
              <w:rPr>
                <w:rFonts w:ascii="Arial" w:hAnsi="Arial" w:cs="Arial"/>
                <w:noProof/>
                <w:webHidden/>
              </w:rPr>
              <w:fldChar w:fldCharType="end"/>
            </w:r>
          </w:hyperlink>
        </w:p>
        <w:p w14:paraId="5302D240" w14:textId="77777777" w:rsidR="00E63983" w:rsidRPr="00D47A89" w:rsidRDefault="00E63983">
          <w:pPr>
            <w:rPr>
              <w:rFonts w:ascii="Arial" w:hAnsi="Arial" w:cs="Arial"/>
              <w:b/>
              <w:bCs/>
              <w:noProof/>
            </w:rPr>
          </w:pPr>
          <w:r w:rsidRPr="00D47A89">
            <w:rPr>
              <w:rFonts w:ascii="Arial" w:hAnsi="Arial" w:cs="Arial"/>
              <w:b/>
              <w:bCs/>
              <w:noProof/>
            </w:rPr>
            <w:fldChar w:fldCharType="end"/>
          </w:r>
        </w:p>
      </w:sdtContent>
    </w:sdt>
    <w:p w14:paraId="2E48B732" w14:textId="77777777" w:rsidR="00450CAE" w:rsidRPr="00296432" w:rsidRDefault="00450CAE">
      <w:pPr>
        <w:rPr>
          <w:rFonts w:ascii="Arial" w:hAnsi="Arial" w:cs="Arial"/>
        </w:rPr>
      </w:pPr>
      <w:r w:rsidRPr="00D47A89">
        <w:rPr>
          <w:rFonts w:ascii="Arial" w:hAnsi="Arial" w:cs="Arial"/>
          <w:sz w:val="24"/>
          <w:lang w:val="en-US"/>
        </w:rPr>
        <w:br w:type="page"/>
      </w:r>
    </w:p>
    <w:p w14:paraId="36A8B9C1" w14:textId="77777777" w:rsidR="00450CAE" w:rsidRPr="00CD0345" w:rsidRDefault="00C861BA" w:rsidP="00490224">
      <w:pPr>
        <w:pStyle w:val="Heading1"/>
        <w:rPr>
          <w:rFonts w:cs="Arial"/>
          <w:lang w:val="en-US"/>
        </w:rPr>
      </w:pPr>
      <w:bookmarkStart w:id="0" w:name="_Toc235800510"/>
      <w:r w:rsidRPr="00CD0345">
        <w:rPr>
          <w:rFonts w:cs="Arial"/>
          <w:lang w:val="en-US"/>
        </w:rPr>
        <w:t>INTRODUCTION</w:t>
      </w:r>
      <w:bookmarkEnd w:id="0"/>
    </w:p>
    <w:p w14:paraId="01EAEA9F" w14:textId="6C5BF2C2" w:rsidR="00490224" w:rsidRDefault="00A850A9" w:rsidP="00450CAE">
      <w:pPr>
        <w:spacing w:after="0" w:line="360" w:lineRule="auto"/>
        <w:jc w:val="both"/>
        <w:rPr>
          <w:rFonts w:ascii="Arial" w:hAnsi="Arial" w:cs="Arial"/>
          <w:sz w:val="24"/>
          <w:lang w:val="en-US"/>
        </w:rPr>
      </w:pPr>
      <w:r w:rsidRPr="00A850A9">
        <w:rPr>
          <w:rFonts w:ascii="Arial" w:hAnsi="Arial" w:cs="Arial"/>
          <w:sz w:val="24"/>
          <w:lang w:val="en-US"/>
        </w:rPr>
        <w:t xml:space="preserve">Expansion on an international level gives </w:t>
      </w:r>
      <w:r w:rsidR="00295ED7" w:rsidRPr="00A850A9">
        <w:rPr>
          <w:rFonts w:ascii="Arial" w:hAnsi="Arial" w:cs="Arial"/>
          <w:sz w:val="24"/>
          <w:lang w:val="en-US"/>
        </w:rPr>
        <w:t>multinational</w:t>
      </w:r>
      <w:r>
        <w:rPr>
          <w:rFonts w:ascii="Arial" w:hAnsi="Arial" w:cs="Arial"/>
          <w:sz w:val="24"/>
          <w:lang w:val="en-US"/>
        </w:rPr>
        <w:t xml:space="preserve"> retailers a chance to </w:t>
      </w:r>
      <w:r w:rsidR="00ED4D1E">
        <w:rPr>
          <w:rFonts w:ascii="Arial" w:hAnsi="Arial" w:cs="Arial"/>
          <w:sz w:val="24"/>
          <w:lang w:val="en-US"/>
        </w:rPr>
        <w:t>realiz</w:t>
      </w:r>
      <w:r w:rsidR="00ED4D1E" w:rsidRPr="00A850A9">
        <w:rPr>
          <w:rFonts w:ascii="Arial" w:hAnsi="Arial" w:cs="Arial"/>
          <w:sz w:val="24"/>
          <w:lang w:val="en-US"/>
        </w:rPr>
        <w:t>e</w:t>
      </w:r>
      <w:r w:rsidRPr="00A850A9">
        <w:rPr>
          <w:rFonts w:ascii="Arial" w:hAnsi="Arial" w:cs="Arial"/>
          <w:sz w:val="24"/>
          <w:lang w:val="en-US"/>
        </w:rPr>
        <w:t xml:space="preserve"> growth, enhance com</w:t>
      </w:r>
      <w:r>
        <w:rPr>
          <w:rFonts w:ascii="Arial" w:hAnsi="Arial" w:cs="Arial"/>
          <w:sz w:val="24"/>
          <w:lang w:val="en-US"/>
        </w:rPr>
        <w:t xml:space="preserve">petitiveness as well as </w:t>
      </w:r>
      <w:r w:rsidR="00ED4D1E">
        <w:rPr>
          <w:rFonts w:ascii="Arial" w:hAnsi="Arial" w:cs="Arial"/>
          <w:sz w:val="24"/>
          <w:lang w:val="en-US"/>
        </w:rPr>
        <w:t>minimizi</w:t>
      </w:r>
      <w:r w:rsidR="00ED4D1E" w:rsidRPr="00A850A9">
        <w:rPr>
          <w:rFonts w:ascii="Arial" w:hAnsi="Arial" w:cs="Arial"/>
          <w:sz w:val="24"/>
          <w:lang w:val="en-US"/>
        </w:rPr>
        <w:t>ng</w:t>
      </w:r>
      <w:r w:rsidRPr="00A850A9">
        <w:rPr>
          <w:rFonts w:ascii="Arial" w:hAnsi="Arial" w:cs="Arial"/>
          <w:sz w:val="24"/>
          <w:lang w:val="en-US"/>
        </w:rPr>
        <w:t xml:space="preserve"> market risk. The success of entry depends on a fit between the firm strategy, the external environment and entry mode. This report critically evaluates the proposal by </w:t>
      </w:r>
      <w:r w:rsidRPr="00A850A9">
        <w:rPr>
          <w:rFonts w:ascii="Arial" w:hAnsi="Arial" w:cs="Arial"/>
          <w:i/>
          <w:sz w:val="24"/>
          <w:lang w:val="en-US"/>
        </w:rPr>
        <w:t>Primark</w:t>
      </w:r>
      <w:r w:rsidRPr="00A850A9">
        <w:rPr>
          <w:rFonts w:ascii="Arial" w:hAnsi="Arial" w:cs="Arial"/>
          <w:sz w:val="24"/>
          <w:lang w:val="en-US"/>
        </w:rPr>
        <w:t xml:space="preserve"> to enter into </w:t>
      </w:r>
      <w:r w:rsidRPr="00A850A9">
        <w:rPr>
          <w:rFonts w:ascii="Arial" w:hAnsi="Arial" w:cs="Arial"/>
          <w:i/>
          <w:sz w:val="24"/>
          <w:lang w:val="en-US"/>
        </w:rPr>
        <w:t>Canada</w:t>
      </w:r>
      <w:r w:rsidRPr="00A850A9">
        <w:rPr>
          <w:rFonts w:ascii="Arial" w:hAnsi="Arial" w:cs="Arial"/>
          <w:sz w:val="24"/>
          <w:lang w:val="en-US"/>
        </w:rPr>
        <w:t xml:space="preserve"> by evaluating its global strategy, structure of international market and its attraction. Bartlett and Ghoshal, macro-environmental analysis and Dunning, OLI framework are applied to determine whether Canada is the right place where Primark will be able to go international in the future (Collinson, Narula and Rugman, 2020; Zlatev, 2025).</w:t>
      </w:r>
    </w:p>
    <w:p w14:paraId="2C379082" w14:textId="77777777" w:rsidR="00A850A9" w:rsidRDefault="00A850A9" w:rsidP="00450CAE">
      <w:pPr>
        <w:spacing w:after="0" w:line="360" w:lineRule="auto"/>
        <w:jc w:val="both"/>
        <w:rPr>
          <w:rFonts w:ascii="Arial" w:hAnsi="Arial" w:cs="Arial"/>
          <w:sz w:val="24"/>
          <w:lang w:val="en-US"/>
        </w:rPr>
      </w:pPr>
    </w:p>
    <w:p w14:paraId="6AAF8E4A" w14:textId="77777777" w:rsidR="00A850A9" w:rsidRDefault="00A850A9" w:rsidP="00A850A9">
      <w:pPr>
        <w:spacing w:after="0" w:line="360" w:lineRule="auto"/>
        <w:jc w:val="center"/>
        <w:rPr>
          <w:rFonts w:ascii="Arial" w:hAnsi="Arial" w:cs="Arial"/>
          <w:sz w:val="24"/>
          <w:lang w:val="en-US"/>
        </w:rPr>
      </w:pPr>
      <w:r>
        <w:rPr>
          <w:noProof/>
          <w:lang w:val="en-US"/>
        </w:rPr>
        <w:drawing>
          <wp:inline distT="0" distB="0" distL="0" distR="0" wp14:anchorId="7A7C50F5" wp14:editId="3AC9558A">
            <wp:extent cx="5892800" cy="752969"/>
            <wp:effectExtent l="0" t="0" r="0" b="9525"/>
            <wp:docPr id="4" name="Picture 4" descr="File:Primark Stores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Primark Stores Logo.svg - Wikimedia Comm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00412" cy="753942"/>
                    </a:xfrm>
                    <a:prstGeom prst="rect">
                      <a:avLst/>
                    </a:prstGeom>
                    <a:noFill/>
                    <a:ln>
                      <a:noFill/>
                    </a:ln>
                  </pic:spPr>
                </pic:pic>
              </a:graphicData>
            </a:graphic>
          </wp:inline>
        </w:drawing>
      </w:r>
    </w:p>
    <w:p w14:paraId="6BF28D2A" w14:textId="77777777" w:rsidR="00A850A9" w:rsidRPr="00CD0345" w:rsidRDefault="00A850A9" w:rsidP="00450CAE">
      <w:pPr>
        <w:spacing w:after="0" w:line="360" w:lineRule="auto"/>
        <w:jc w:val="both"/>
        <w:rPr>
          <w:rFonts w:ascii="Arial" w:hAnsi="Arial" w:cs="Arial"/>
          <w:sz w:val="24"/>
          <w:lang w:val="en-US"/>
        </w:rPr>
      </w:pPr>
    </w:p>
    <w:p w14:paraId="531E6DC2" w14:textId="77777777" w:rsidR="00A850A9" w:rsidRDefault="00A850A9">
      <w:pPr>
        <w:rPr>
          <w:rFonts w:ascii="Arial" w:hAnsi="Arial" w:cs="Arial"/>
          <w:b/>
          <w:bCs/>
          <w:sz w:val="24"/>
          <w:lang w:val="en-US"/>
        </w:rPr>
      </w:pPr>
      <w:r>
        <w:rPr>
          <w:rFonts w:ascii="Arial" w:hAnsi="Arial" w:cs="Arial"/>
          <w:b/>
          <w:bCs/>
          <w:sz w:val="24"/>
          <w:lang w:val="en-US"/>
        </w:rPr>
        <w:br w:type="page"/>
      </w:r>
    </w:p>
    <w:p w14:paraId="51657BB9" w14:textId="77777777" w:rsidR="00450CAE" w:rsidRPr="00CD0345" w:rsidRDefault="00A152B2" w:rsidP="003C157B">
      <w:pPr>
        <w:pStyle w:val="Heading1"/>
        <w:rPr>
          <w:lang w:val="en-US"/>
        </w:rPr>
      </w:pPr>
      <w:bookmarkStart w:id="1" w:name="_Toc235800511"/>
      <w:r w:rsidRPr="00CD0345">
        <w:rPr>
          <w:lang w:val="en-US"/>
        </w:rPr>
        <w:t xml:space="preserve">SECTION 1: STRATEGIC EVALUATION AND MARKET </w:t>
      </w:r>
      <w:r w:rsidRPr="003C157B">
        <w:t>ENTRY</w:t>
      </w:r>
      <w:bookmarkEnd w:id="1"/>
    </w:p>
    <w:p w14:paraId="3D4856A7" w14:textId="2966F8DD" w:rsidR="00450CAE" w:rsidRPr="00CD0345" w:rsidRDefault="00CD0345" w:rsidP="00A850A9">
      <w:pPr>
        <w:pStyle w:val="Heading1"/>
        <w:rPr>
          <w:lang w:val="en-US"/>
        </w:rPr>
      </w:pPr>
      <w:bookmarkStart w:id="2" w:name="_Toc235800512"/>
      <w:r w:rsidRPr="00CD0345">
        <w:rPr>
          <w:lang w:val="en-US"/>
        </w:rPr>
        <w:t xml:space="preserve">1. </w:t>
      </w:r>
      <w:r w:rsidR="00ED4D1E" w:rsidRPr="00CD0345">
        <w:rPr>
          <w:lang w:val="en-US"/>
        </w:rPr>
        <w:t>Organizational</w:t>
      </w:r>
      <w:r w:rsidR="00450CAE" w:rsidRPr="00CD0345">
        <w:rPr>
          <w:lang w:val="en-US"/>
        </w:rPr>
        <w:t xml:space="preserve"> Classification and Global Strategy</w:t>
      </w:r>
      <w:bookmarkEnd w:id="2"/>
    </w:p>
    <w:p w14:paraId="1B311478" w14:textId="61366B31" w:rsidR="00450CAE" w:rsidRDefault="002E0D9E" w:rsidP="00A850A9">
      <w:pPr>
        <w:pStyle w:val="Heading2"/>
        <w:rPr>
          <w:lang w:val="en-US"/>
        </w:rPr>
      </w:pPr>
      <w:bookmarkStart w:id="3" w:name="_Toc235800513"/>
      <w:r w:rsidRPr="00CD0345">
        <w:rPr>
          <w:lang w:val="en-US"/>
        </w:rPr>
        <w:t xml:space="preserve">1.1 </w:t>
      </w:r>
      <w:r w:rsidR="00450CAE" w:rsidRPr="00CD0345">
        <w:rPr>
          <w:lang w:val="en-US"/>
        </w:rPr>
        <w:t xml:space="preserve">Introduction and Strategic </w:t>
      </w:r>
      <w:bookmarkEnd w:id="3"/>
      <w:r w:rsidR="00ED4D1E" w:rsidRPr="00CD0345">
        <w:rPr>
          <w:lang w:val="en-US"/>
        </w:rPr>
        <w:t>Categorization</w:t>
      </w:r>
    </w:p>
    <w:p w14:paraId="54ADB7D2" w14:textId="77777777" w:rsidR="009B6229" w:rsidRDefault="002E3E49" w:rsidP="002E3E49">
      <w:pPr>
        <w:rPr>
          <w:rFonts w:ascii="Arial" w:hAnsi="Arial" w:cs="Arial"/>
          <w:sz w:val="24"/>
          <w:szCs w:val="24"/>
          <w:lang w:val="en-US"/>
        </w:rPr>
      </w:pPr>
      <w:r>
        <w:rPr>
          <w:rFonts w:ascii="Arial" w:hAnsi="Arial" w:cs="Arial"/>
          <w:sz w:val="24"/>
          <w:szCs w:val="24"/>
          <w:lang w:val="en-US"/>
        </w:rPr>
        <w:t xml:space="preserve">Primark was founded in </w:t>
      </w:r>
      <w:r w:rsidR="00492037">
        <w:rPr>
          <w:rFonts w:ascii="Arial" w:hAnsi="Arial" w:cs="Arial"/>
          <w:sz w:val="24"/>
          <w:szCs w:val="24"/>
          <w:lang w:val="en-US"/>
        </w:rPr>
        <w:t xml:space="preserve">Dublin, </w:t>
      </w:r>
      <w:r>
        <w:rPr>
          <w:rFonts w:ascii="Arial" w:hAnsi="Arial" w:cs="Arial"/>
          <w:sz w:val="24"/>
          <w:szCs w:val="24"/>
          <w:lang w:val="en-US"/>
        </w:rPr>
        <w:t>Ireland in 1969</w:t>
      </w:r>
      <w:r w:rsidR="00492037">
        <w:rPr>
          <w:rFonts w:ascii="Arial" w:hAnsi="Arial" w:cs="Arial"/>
          <w:sz w:val="24"/>
          <w:szCs w:val="24"/>
          <w:lang w:val="en-US"/>
        </w:rPr>
        <w:t xml:space="preserve"> by</w:t>
      </w:r>
      <w:r>
        <w:rPr>
          <w:rFonts w:ascii="Arial" w:hAnsi="Arial" w:cs="Arial"/>
          <w:sz w:val="24"/>
          <w:szCs w:val="24"/>
          <w:lang w:val="en-US"/>
        </w:rPr>
        <w:t xml:space="preserve"> Arthur </w:t>
      </w:r>
      <w:r w:rsidR="009B6229">
        <w:rPr>
          <w:rFonts w:ascii="Arial" w:hAnsi="Arial" w:cs="Arial"/>
          <w:sz w:val="24"/>
          <w:szCs w:val="24"/>
          <w:lang w:val="en-US"/>
        </w:rPr>
        <w:t>Ryan as</w:t>
      </w:r>
      <w:r w:rsidR="00492037">
        <w:rPr>
          <w:rFonts w:ascii="Arial" w:hAnsi="Arial" w:cs="Arial"/>
          <w:sz w:val="24"/>
          <w:szCs w:val="24"/>
          <w:lang w:val="en-US"/>
        </w:rPr>
        <w:t xml:space="preserve"> ‘</w:t>
      </w:r>
      <w:proofErr w:type="spellStart"/>
      <w:r w:rsidR="00492037" w:rsidRPr="00492037">
        <w:rPr>
          <w:rFonts w:ascii="Arial" w:hAnsi="Arial" w:cs="Arial"/>
          <w:b/>
          <w:bCs/>
          <w:sz w:val="24"/>
          <w:szCs w:val="24"/>
          <w:lang w:val="en-US"/>
        </w:rPr>
        <w:t>Penneys</w:t>
      </w:r>
      <w:proofErr w:type="spellEnd"/>
      <w:r w:rsidR="00492037" w:rsidRPr="00492037">
        <w:rPr>
          <w:rFonts w:ascii="Arial" w:hAnsi="Arial" w:cs="Arial"/>
          <w:b/>
          <w:bCs/>
          <w:sz w:val="24"/>
          <w:szCs w:val="24"/>
          <w:lang w:val="en-US"/>
        </w:rPr>
        <w:t>’</w:t>
      </w:r>
      <w:r w:rsidR="009B6229">
        <w:rPr>
          <w:rFonts w:ascii="Arial" w:hAnsi="Arial" w:cs="Arial"/>
          <w:sz w:val="24"/>
          <w:szCs w:val="24"/>
          <w:lang w:val="en-US"/>
        </w:rPr>
        <w:t xml:space="preserve">. It grew </w:t>
      </w:r>
    </w:p>
    <w:p w14:paraId="606F422C" w14:textId="1D07F0CD" w:rsidR="00492037" w:rsidRPr="009B6229" w:rsidRDefault="009B6229" w:rsidP="002E3E49">
      <w:pPr>
        <w:rPr>
          <w:rFonts w:ascii="Arial" w:hAnsi="Arial" w:cs="Arial"/>
          <w:sz w:val="24"/>
          <w:szCs w:val="24"/>
          <w:lang w:val="en-US"/>
        </w:rPr>
      </w:pPr>
      <w:r>
        <w:rPr>
          <w:rFonts w:ascii="Arial" w:hAnsi="Arial" w:cs="Arial"/>
          <w:sz w:val="24"/>
          <w:szCs w:val="24"/>
          <w:lang w:val="en-US"/>
        </w:rPr>
        <w:t xml:space="preserve">rapidly across Ireland and the UK and later adopted the name </w:t>
      </w:r>
      <w:r w:rsidRPr="009B6229">
        <w:rPr>
          <w:rFonts w:ascii="Arial" w:hAnsi="Arial" w:cs="Arial"/>
          <w:b/>
          <w:bCs/>
          <w:sz w:val="24"/>
          <w:szCs w:val="24"/>
          <w:lang w:val="en-US"/>
        </w:rPr>
        <w:t>Primark</w:t>
      </w:r>
      <w:r>
        <w:rPr>
          <w:rFonts w:ascii="Arial" w:hAnsi="Arial" w:cs="Arial"/>
          <w:b/>
          <w:bCs/>
          <w:sz w:val="24"/>
          <w:szCs w:val="24"/>
          <w:lang w:val="en-US"/>
        </w:rPr>
        <w:t xml:space="preserve"> </w:t>
      </w:r>
      <w:r w:rsidRPr="009B6229">
        <w:rPr>
          <w:rFonts w:ascii="Arial" w:hAnsi="Arial" w:cs="Arial"/>
          <w:sz w:val="24"/>
          <w:szCs w:val="24"/>
          <w:lang w:val="en-US"/>
        </w:rPr>
        <w:t>for</w:t>
      </w:r>
      <w:r>
        <w:rPr>
          <w:rFonts w:ascii="Arial" w:hAnsi="Arial" w:cs="Arial"/>
          <w:sz w:val="24"/>
          <w:szCs w:val="24"/>
          <w:lang w:val="en-US"/>
        </w:rPr>
        <w:t xml:space="preserve"> international</w:t>
      </w:r>
    </w:p>
    <w:p w14:paraId="51BB9432" w14:textId="77777777" w:rsidR="009B6229" w:rsidRDefault="00492037" w:rsidP="002E3E49">
      <w:pPr>
        <w:rPr>
          <w:rFonts w:ascii="Arial" w:hAnsi="Arial" w:cs="Arial"/>
          <w:sz w:val="24"/>
          <w:szCs w:val="24"/>
          <w:lang w:val="en-US"/>
        </w:rPr>
      </w:pPr>
      <w:r>
        <w:rPr>
          <w:rFonts w:ascii="Arial" w:hAnsi="Arial" w:cs="Arial"/>
          <w:sz w:val="24"/>
          <w:szCs w:val="24"/>
          <w:lang w:val="en-US"/>
        </w:rPr>
        <w:t xml:space="preserve"> markets due to</w:t>
      </w:r>
      <w:r w:rsidR="00912E3E">
        <w:rPr>
          <w:rFonts w:ascii="Arial" w:hAnsi="Arial" w:cs="Arial"/>
          <w:sz w:val="24"/>
          <w:szCs w:val="24"/>
          <w:lang w:val="en-US"/>
        </w:rPr>
        <w:t xml:space="preserve"> trademark</w:t>
      </w:r>
      <w:r w:rsidR="009B6229">
        <w:rPr>
          <w:rFonts w:ascii="Arial" w:hAnsi="Arial" w:cs="Arial"/>
          <w:sz w:val="24"/>
          <w:szCs w:val="24"/>
          <w:lang w:val="en-US"/>
        </w:rPr>
        <w:t xml:space="preserve"> conflicts. Its background is defined by value-fashion retail, </w:t>
      </w:r>
    </w:p>
    <w:p w14:paraId="43F4779E" w14:textId="77777777" w:rsidR="00CE69C3" w:rsidRDefault="009B6229" w:rsidP="002E3E49">
      <w:pPr>
        <w:rPr>
          <w:rFonts w:ascii="Arial" w:hAnsi="Arial" w:cs="Arial"/>
          <w:sz w:val="24"/>
          <w:szCs w:val="24"/>
          <w:lang w:val="en-US"/>
        </w:rPr>
      </w:pPr>
      <w:r>
        <w:rPr>
          <w:rFonts w:ascii="Arial" w:hAnsi="Arial" w:cs="Arial"/>
          <w:sz w:val="24"/>
          <w:szCs w:val="24"/>
          <w:lang w:val="en-US"/>
        </w:rPr>
        <w:t>large- format stores</w:t>
      </w:r>
      <w:r w:rsidR="00CE69C3">
        <w:rPr>
          <w:rFonts w:ascii="Arial" w:hAnsi="Arial" w:cs="Arial"/>
          <w:sz w:val="24"/>
          <w:szCs w:val="24"/>
          <w:lang w:val="en-US"/>
        </w:rPr>
        <w:t xml:space="preserve">, minimal advertising, and fast expansion across Europe and the </w:t>
      </w:r>
    </w:p>
    <w:p w14:paraId="7A4DBE94" w14:textId="77777777" w:rsidR="00B360F1" w:rsidRDefault="00CE69C3" w:rsidP="002E3E49">
      <w:pPr>
        <w:rPr>
          <w:rFonts w:ascii="Arial" w:hAnsi="Arial" w:cs="Arial"/>
          <w:sz w:val="24"/>
          <w:szCs w:val="24"/>
          <w:lang w:val="en-US"/>
        </w:rPr>
      </w:pPr>
      <w:r>
        <w:rPr>
          <w:rFonts w:ascii="Arial" w:hAnsi="Arial" w:cs="Arial"/>
          <w:sz w:val="24"/>
          <w:szCs w:val="24"/>
          <w:lang w:val="en-US"/>
        </w:rPr>
        <w:t>US</w:t>
      </w:r>
      <w:r w:rsidR="00B360F1">
        <w:rPr>
          <w:rFonts w:ascii="Arial" w:hAnsi="Arial" w:cs="Arial"/>
          <w:sz w:val="24"/>
          <w:szCs w:val="24"/>
          <w:lang w:val="en-US"/>
        </w:rPr>
        <w:t>. It is</w:t>
      </w:r>
      <w:r>
        <w:rPr>
          <w:rFonts w:ascii="Arial" w:hAnsi="Arial" w:cs="Arial"/>
          <w:sz w:val="24"/>
          <w:szCs w:val="24"/>
          <w:lang w:val="en-US"/>
        </w:rPr>
        <w:t xml:space="preserve"> supported</w:t>
      </w:r>
      <w:r w:rsidR="00492037">
        <w:rPr>
          <w:rFonts w:ascii="Arial" w:hAnsi="Arial" w:cs="Arial"/>
          <w:sz w:val="24"/>
          <w:szCs w:val="24"/>
          <w:lang w:val="en-US"/>
        </w:rPr>
        <w:t xml:space="preserve"> by </w:t>
      </w:r>
      <w:r>
        <w:rPr>
          <w:rFonts w:ascii="Arial" w:hAnsi="Arial" w:cs="Arial"/>
          <w:sz w:val="24"/>
          <w:szCs w:val="24"/>
          <w:lang w:val="en-US"/>
        </w:rPr>
        <w:t>its parent company</w:t>
      </w:r>
      <w:r w:rsidR="00B360F1">
        <w:rPr>
          <w:rFonts w:ascii="Arial" w:hAnsi="Arial" w:cs="Arial"/>
          <w:sz w:val="24"/>
          <w:szCs w:val="24"/>
          <w:lang w:val="en-US"/>
        </w:rPr>
        <w:t xml:space="preserve"> of the Weston family</w:t>
      </w:r>
      <w:r>
        <w:rPr>
          <w:rFonts w:ascii="Arial" w:hAnsi="Arial" w:cs="Arial"/>
          <w:sz w:val="24"/>
          <w:szCs w:val="24"/>
          <w:lang w:val="en-US"/>
        </w:rPr>
        <w:t>,</w:t>
      </w:r>
      <w:r w:rsidR="00B360F1">
        <w:rPr>
          <w:rFonts w:ascii="Arial" w:hAnsi="Arial" w:cs="Arial"/>
          <w:sz w:val="24"/>
          <w:szCs w:val="24"/>
          <w:lang w:val="en-US"/>
        </w:rPr>
        <w:t xml:space="preserve"> who are the owners of</w:t>
      </w:r>
      <w:r>
        <w:rPr>
          <w:rFonts w:ascii="Arial" w:hAnsi="Arial" w:cs="Arial"/>
          <w:sz w:val="24"/>
          <w:szCs w:val="24"/>
          <w:lang w:val="en-US"/>
        </w:rPr>
        <w:t xml:space="preserve"> </w:t>
      </w:r>
    </w:p>
    <w:p w14:paraId="1BAFF085" w14:textId="77777777" w:rsidR="003F63F4" w:rsidRDefault="00492037" w:rsidP="003F63F4">
      <w:pPr>
        <w:rPr>
          <w:rFonts w:ascii="Arial" w:hAnsi="Arial" w:cs="Arial"/>
          <w:sz w:val="24"/>
          <w:szCs w:val="24"/>
          <w:lang w:val="en-US"/>
        </w:rPr>
      </w:pPr>
      <w:r>
        <w:rPr>
          <w:rFonts w:ascii="Arial" w:hAnsi="Arial" w:cs="Arial"/>
          <w:sz w:val="24"/>
          <w:szCs w:val="24"/>
          <w:lang w:val="en-US"/>
        </w:rPr>
        <w:t xml:space="preserve">Associated British </w:t>
      </w:r>
      <w:r w:rsidR="00B360F1">
        <w:rPr>
          <w:rFonts w:ascii="Arial" w:hAnsi="Arial" w:cs="Arial"/>
          <w:sz w:val="24"/>
          <w:szCs w:val="24"/>
          <w:lang w:val="en-US"/>
        </w:rPr>
        <w:t>Foods (ABF).</w:t>
      </w:r>
      <w:r w:rsidR="003F63F4" w:rsidRPr="003F63F4">
        <w:rPr>
          <w:rFonts w:ascii="Arial" w:hAnsi="Arial" w:cs="Arial"/>
          <w:sz w:val="24"/>
          <w:szCs w:val="24"/>
          <w:lang w:val="en-US"/>
        </w:rPr>
        <w:t xml:space="preserve"> </w:t>
      </w:r>
      <w:r w:rsidR="003F63F4">
        <w:rPr>
          <w:rFonts w:ascii="Arial" w:hAnsi="Arial" w:cs="Arial"/>
          <w:sz w:val="24"/>
          <w:szCs w:val="24"/>
          <w:lang w:val="en-US"/>
        </w:rPr>
        <w:t xml:space="preserve">Primark is now international fashion retailer which runs </w:t>
      </w:r>
    </w:p>
    <w:p w14:paraId="616408ED" w14:textId="77777777" w:rsidR="009C0FE8" w:rsidRDefault="003F63F4" w:rsidP="003F63F4">
      <w:pPr>
        <w:rPr>
          <w:rFonts w:ascii="Arial" w:hAnsi="Arial" w:cs="Arial"/>
          <w:sz w:val="24"/>
          <w:szCs w:val="24"/>
          <w:lang w:val="en-US"/>
        </w:rPr>
      </w:pPr>
      <w:r>
        <w:rPr>
          <w:rFonts w:ascii="Arial" w:hAnsi="Arial" w:cs="Arial"/>
          <w:sz w:val="24"/>
          <w:szCs w:val="24"/>
          <w:lang w:val="en-US"/>
        </w:rPr>
        <w:t xml:space="preserve">over 480 stores globally </w:t>
      </w:r>
      <w:r>
        <w:rPr>
          <w:rFonts w:ascii="Arial" w:hAnsi="Arial" w:cs="Arial"/>
          <w:sz w:val="24"/>
          <w:szCs w:val="24"/>
          <w:lang w:val="en-US"/>
        </w:rPr>
        <w:t>(Primark, 2026).</w:t>
      </w:r>
      <w:r w:rsidR="001F62B9">
        <w:rPr>
          <w:rFonts w:ascii="Arial" w:hAnsi="Arial" w:cs="Arial"/>
          <w:sz w:val="24"/>
          <w:lang w:val="en-US"/>
        </w:rPr>
        <w:t xml:space="preserve"> The company is not </w:t>
      </w:r>
      <w:r w:rsidR="00F77EFF" w:rsidRPr="00F77EFF">
        <w:rPr>
          <w:rFonts w:ascii="Arial" w:hAnsi="Arial" w:cs="Arial"/>
          <w:sz w:val="24"/>
          <w:lang w:val="en-US"/>
        </w:rPr>
        <w:t xml:space="preserve">competing with </w:t>
      </w:r>
      <w:proofErr w:type="gramStart"/>
      <w:r w:rsidR="009C0FE8" w:rsidRPr="00F77EFF">
        <w:rPr>
          <w:rFonts w:ascii="Arial" w:hAnsi="Arial" w:cs="Arial"/>
          <w:sz w:val="24"/>
          <w:lang w:val="en-US"/>
        </w:rPr>
        <w:t>premium</w:t>
      </w:r>
      <w:proofErr w:type="gramEnd"/>
    </w:p>
    <w:p w14:paraId="52A40853" w14:textId="60BD8354" w:rsidR="002A2319" w:rsidRPr="009C0FE8" w:rsidRDefault="003F63F4" w:rsidP="003F63F4">
      <w:pPr>
        <w:rPr>
          <w:rFonts w:ascii="Arial" w:hAnsi="Arial" w:cs="Arial"/>
          <w:sz w:val="24"/>
          <w:szCs w:val="24"/>
          <w:lang w:val="en-US"/>
        </w:rPr>
      </w:pPr>
      <w:r>
        <w:rPr>
          <w:rFonts w:ascii="Arial" w:hAnsi="Arial" w:cs="Arial"/>
          <w:sz w:val="24"/>
          <w:lang w:val="en-US"/>
        </w:rPr>
        <w:t xml:space="preserve"> branding and/or online retailing but </w:t>
      </w:r>
      <w:r w:rsidR="001F62B9">
        <w:rPr>
          <w:rFonts w:ascii="Arial" w:hAnsi="Arial" w:cs="Arial"/>
          <w:sz w:val="24"/>
          <w:lang w:val="en-US"/>
        </w:rPr>
        <w:t xml:space="preserve">with low price fashion, big </w:t>
      </w:r>
      <w:r w:rsidR="00F77EFF" w:rsidRPr="00F77EFF">
        <w:rPr>
          <w:rFonts w:ascii="Arial" w:hAnsi="Arial" w:cs="Arial"/>
          <w:sz w:val="24"/>
          <w:lang w:val="en-US"/>
        </w:rPr>
        <w:t xml:space="preserve">box stores and high sales </w:t>
      </w:r>
    </w:p>
    <w:p w14:paraId="44EB043A" w14:textId="5E921F3E" w:rsidR="00F77EFF" w:rsidRPr="002A2319" w:rsidRDefault="003F63F4" w:rsidP="003F63F4">
      <w:pPr>
        <w:rPr>
          <w:rFonts w:ascii="Arial" w:hAnsi="Arial" w:cs="Arial"/>
          <w:sz w:val="24"/>
          <w:lang w:val="en-US"/>
        </w:rPr>
      </w:pPr>
      <w:r>
        <w:rPr>
          <w:rFonts w:ascii="Arial" w:hAnsi="Arial" w:cs="Arial"/>
          <w:sz w:val="24"/>
          <w:lang w:val="en-US"/>
        </w:rPr>
        <w:t xml:space="preserve">volume following </w:t>
      </w:r>
      <w:r w:rsidR="00575377">
        <w:rPr>
          <w:rFonts w:ascii="Arial" w:hAnsi="Arial" w:cs="Arial"/>
          <w:sz w:val="24"/>
          <w:lang w:val="en-US"/>
        </w:rPr>
        <w:t xml:space="preserve">the low-cost </w:t>
      </w:r>
      <w:r w:rsidR="001F62B9">
        <w:rPr>
          <w:rFonts w:ascii="Arial" w:hAnsi="Arial" w:cs="Arial"/>
          <w:sz w:val="24"/>
          <w:lang w:val="en-US"/>
        </w:rPr>
        <w:t>business model</w:t>
      </w:r>
      <w:r w:rsidR="003D21F4">
        <w:rPr>
          <w:rFonts w:ascii="Arial" w:hAnsi="Arial" w:cs="Arial"/>
          <w:sz w:val="24"/>
          <w:lang w:val="en-US"/>
        </w:rPr>
        <w:t xml:space="preserve"> after a successful establishment in the  </w:t>
      </w:r>
    </w:p>
    <w:p w14:paraId="070E0D99" w14:textId="3E0CB340" w:rsidR="00F77EFF" w:rsidRPr="00F77EFF" w:rsidRDefault="003F63F4" w:rsidP="003F63F4">
      <w:pPr>
        <w:spacing w:after="0" w:line="360" w:lineRule="auto"/>
        <w:rPr>
          <w:rFonts w:ascii="Arial" w:hAnsi="Arial" w:cs="Arial"/>
          <w:sz w:val="24"/>
          <w:lang w:val="en-US"/>
        </w:rPr>
      </w:pPr>
      <w:r>
        <w:rPr>
          <w:rFonts w:ascii="Arial" w:hAnsi="Arial" w:cs="Arial"/>
          <w:sz w:val="24"/>
          <w:lang w:val="en-US"/>
        </w:rPr>
        <w:t xml:space="preserve">abovementioned </w:t>
      </w:r>
      <w:r w:rsidR="003D21F4">
        <w:rPr>
          <w:rFonts w:ascii="Arial" w:hAnsi="Arial" w:cs="Arial"/>
          <w:sz w:val="24"/>
          <w:lang w:val="en-US"/>
        </w:rPr>
        <w:t xml:space="preserve">countries </w:t>
      </w:r>
      <w:r w:rsidR="001F62B9">
        <w:rPr>
          <w:rFonts w:ascii="Arial" w:hAnsi="Arial" w:cs="Arial"/>
          <w:sz w:val="24"/>
          <w:lang w:val="en-US"/>
        </w:rPr>
        <w:t xml:space="preserve">(Collinson, Narula and Rugman, 2020). </w:t>
      </w:r>
      <w:r w:rsidR="00F77EFF" w:rsidRPr="00F77EFF">
        <w:rPr>
          <w:rFonts w:ascii="Arial" w:hAnsi="Arial" w:cs="Arial"/>
          <w:sz w:val="24"/>
          <w:lang w:val="en-US"/>
        </w:rPr>
        <w:t xml:space="preserve">The Bartlett and Ghoshal framework divides the multinational strategies according to the pressure that needs to be taken to slash expenses or respond to the local demands. Primark fits </w:t>
      </w:r>
      <w:r w:rsidR="00575377">
        <w:rPr>
          <w:rFonts w:ascii="Arial" w:hAnsi="Arial" w:cs="Arial"/>
          <w:sz w:val="24"/>
          <w:lang w:val="en-US"/>
        </w:rPr>
        <w:t>the international</w:t>
      </w:r>
      <w:r w:rsidR="00F77EFF" w:rsidRPr="00F77EFF">
        <w:rPr>
          <w:rFonts w:ascii="Arial" w:hAnsi="Arial" w:cs="Arial"/>
          <w:sz w:val="24"/>
          <w:lang w:val="en-US"/>
        </w:rPr>
        <w:t xml:space="preserve"> Strategy the most due to its priorities of the cost-efficiency and relatively small local adjustment (Ghoshal, 2023).</w:t>
      </w:r>
    </w:p>
    <w:p w14:paraId="412C68F8"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All markets have their purchasing, sourcing, product design and pricing centrally located in the firm. Most product lines are uniformed and this makes it possible to achieve the economies of scale, less expensive procurement prices and typical low prices (Carr and Leknes, 2020).</w:t>
      </w:r>
    </w:p>
    <w:p w14:paraId="5FC3C962"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Minor local variations towards Primark include smaller format stores in the USA, varying products in seasons and increased digital engagement without full e-commerce. These operational changes make it more efficient but without improving its general strategy on a global level (Martin Alonso, 2026).</w:t>
      </w:r>
    </w:p>
    <w:p w14:paraId="7511A5E4" w14:textId="6F18AFCA"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Although there are signs of only some transnational qualities, even these adaptations remain subordinate to the very </w:t>
      </w:r>
      <w:r w:rsidR="00ED4D1E" w:rsidRPr="00F77EFF">
        <w:rPr>
          <w:rFonts w:ascii="Arial" w:hAnsi="Arial" w:cs="Arial"/>
          <w:sz w:val="24"/>
          <w:lang w:val="en-US"/>
        </w:rPr>
        <w:t>centralized</w:t>
      </w:r>
      <w:r w:rsidRPr="00F77EFF">
        <w:rPr>
          <w:rFonts w:ascii="Arial" w:hAnsi="Arial" w:cs="Arial"/>
          <w:sz w:val="24"/>
          <w:lang w:val="en-US"/>
        </w:rPr>
        <w:t xml:space="preserve"> processes of Primark</w:t>
      </w:r>
      <w:r w:rsidR="002D541C">
        <w:rPr>
          <w:rFonts w:ascii="Arial" w:hAnsi="Arial" w:cs="Arial"/>
          <w:sz w:val="24"/>
          <w:lang w:val="en-US"/>
        </w:rPr>
        <w:t>. Entering in Canada, would require Primark to shift toward a Transnational Strategy, balancing cost efficiency with moderate adaptation to Canadian consumer</w:t>
      </w:r>
      <w:r w:rsidRPr="00F77EFF">
        <w:rPr>
          <w:rFonts w:ascii="Arial" w:hAnsi="Arial" w:cs="Arial"/>
          <w:sz w:val="24"/>
          <w:lang w:val="en-US"/>
        </w:rPr>
        <w:t xml:space="preserve"> </w:t>
      </w:r>
      <w:r w:rsidR="002D541C">
        <w:rPr>
          <w:rFonts w:ascii="Arial" w:hAnsi="Arial" w:cs="Arial"/>
          <w:sz w:val="24"/>
          <w:lang w:val="en-US"/>
        </w:rPr>
        <w:t xml:space="preserve">expectations, regulatory standards, and retail </w:t>
      </w:r>
      <w:r w:rsidR="000A05B1">
        <w:rPr>
          <w:rFonts w:ascii="Arial" w:hAnsi="Arial" w:cs="Arial"/>
          <w:sz w:val="24"/>
          <w:lang w:val="en-US"/>
        </w:rPr>
        <w:t xml:space="preserve">geography. </w:t>
      </w:r>
      <w:r w:rsidRPr="00F77EFF">
        <w:rPr>
          <w:rFonts w:ascii="Arial" w:hAnsi="Arial" w:cs="Arial"/>
          <w:sz w:val="24"/>
          <w:lang w:val="en-US"/>
        </w:rPr>
        <w:t xml:space="preserve">In this way, </w:t>
      </w:r>
      <w:r w:rsidR="000A05B1">
        <w:rPr>
          <w:rFonts w:ascii="Arial" w:hAnsi="Arial" w:cs="Arial"/>
          <w:sz w:val="24"/>
          <w:lang w:val="en-US"/>
        </w:rPr>
        <w:t xml:space="preserve">Transnational </w:t>
      </w:r>
      <w:r w:rsidRPr="00F77EFF">
        <w:rPr>
          <w:rFonts w:ascii="Arial" w:hAnsi="Arial" w:cs="Arial"/>
          <w:sz w:val="24"/>
          <w:lang w:val="en-US"/>
        </w:rPr>
        <w:t>Strategy is the best fitting category as its decision-making process is impacted by the cost leadership at the international scale (Narula and Lee, 2020; Beamish and Chakravarty, 2021).</w:t>
      </w:r>
    </w:p>
    <w:p w14:paraId="41160E3E" w14:textId="77777777" w:rsidR="00F77EFF" w:rsidRPr="00CD0345" w:rsidRDefault="00F77EFF" w:rsidP="00F77EFF">
      <w:pPr>
        <w:pStyle w:val="Heading2"/>
        <w:rPr>
          <w:lang w:val="en-US"/>
        </w:rPr>
      </w:pPr>
      <w:bookmarkStart w:id="4" w:name="_Toc235800514"/>
      <w:r w:rsidRPr="00CD0345">
        <w:rPr>
          <w:lang w:val="en-US"/>
        </w:rPr>
        <w:t>1.2 Global Configuration and Value Creation</w:t>
      </w:r>
      <w:bookmarkEnd w:id="4"/>
    </w:p>
    <w:p w14:paraId="062D4874" w14:textId="77777777" w:rsidR="00450CAE" w:rsidRPr="00CD0345" w:rsidRDefault="00F77EFF" w:rsidP="00F77EFF">
      <w:pPr>
        <w:spacing w:after="0" w:line="360" w:lineRule="auto"/>
        <w:jc w:val="both"/>
        <w:rPr>
          <w:rFonts w:ascii="Arial" w:hAnsi="Arial" w:cs="Arial"/>
          <w:sz w:val="24"/>
          <w:lang w:val="en-US"/>
        </w:rPr>
      </w:pPr>
      <w:r w:rsidRPr="00F77EFF">
        <w:rPr>
          <w:rFonts w:ascii="Arial" w:hAnsi="Arial" w:cs="Arial"/>
          <w:sz w:val="24"/>
          <w:lang w:val="en-US"/>
        </w:rPr>
        <w:t>Primark has its operation mainly located in Europe that has been backed up by the additional expansion of the operation in the United States. However, the company does not operate physically in Canada, which creates a possibility to establish its network in North America (Carr and Leknes, 2020).</w:t>
      </w:r>
    </w:p>
    <w:p w14:paraId="12413B26"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b/>
          <w:bCs/>
          <w:sz w:val="24"/>
          <w:lang w:val="en-US"/>
        </w:rPr>
        <w:t>Table 1: Primark's Current Global Configuration</w:t>
      </w:r>
    </w:p>
    <w:tbl>
      <w:tblPr>
        <w:tblW w:w="934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3135"/>
        <w:gridCol w:w="2790"/>
        <w:gridCol w:w="3420"/>
      </w:tblGrid>
      <w:tr w:rsidR="00D0674B" w:rsidRPr="00D0674B" w14:paraId="3F666B83" w14:textId="77777777" w:rsidTr="00D0674B">
        <w:trPr>
          <w:trHeight w:val="315"/>
        </w:trPr>
        <w:tc>
          <w:tcPr>
            <w:tcW w:w="3135" w:type="dxa"/>
            <w:shd w:val="clear" w:color="auto" w:fill="20462C"/>
            <w:tcMar>
              <w:top w:w="30" w:type="dxa"/>
              <w:left w:w="45" w:type="dxa"/>
              <w:bottom w:w="30" w:type="dxa"/>
              <w:right w:w="45" w:type="dxa"/>
            </w:tcMar>
            <w:vAlign w:val="bottom"/>
            <w:hideMark/>
          </w:tcPr>
          <w:p w14:paraId="6B86CC56"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Region</w:t>
            </w:r>
          </w:p>
        </w:tc>
        <w:tc>
          <w:tcPr>
            <w:tcW w:w="2790" w:type="dxa"/>
            <w:shd w:val="clear" w:color="auto" w:fill="20462C"/>
            <w:tcMar>
              <w:top w:w="30" w:type="dxa"/>
              <w:left w:w="45" w:type="dxa"/>
              <w:bottom w:w="30" w:type="dxa"/>
              <w:right w:w="45" w:type="dxa"/>
            </w:tcMar>
            <w:vAlign w:val="bottom"/>
            <w:hideMark/>
          </w:tcPr>
          <w:p w14:paraId="2D59ED8A"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Current Position</w:t>
            </w:r>
          </w:p>
        </w:tc>
        <w:tc>
          <w:tcPr>
            <w:tcW w:w="3420" w:type="dxa"/>
            <w:shd w:val="clear" w:color="auto" w:fill="20462C"/>
            <w:tcMar>
              <w:top w:w="30" w:type="dxa"/>
              <w:left w:w="0" w:type="dxa"/>
              <w:bottom w:w="30" w:type="dxa"/>
              <w:right w:w="0" w:type="dxa"/>
            </w:tcMar>
            <w:vAlign w:val="bottom"/>
            <w:hideMark/>
          </w:tcPr>
          <w:p w14:paraId="6DFA88FE"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Strategic Contribution</w:t>
            </w:r>
          </w:p>
        </w:tc>
      </w:tr>
      <w:tr w:rsidR="00D0674B" w:rsidRPr="00D0674B" w14:paraId="659CD5DE" w14:textId="77777777" w:rsidTr="00D0674B">
        <w:trPr>
          <w:trHeight w:val="315"/>
        </w:trPr>
        <w:tc>
          <w:tcPr>
            <w:tcW w:w="3135" w:type="dxa"/>
            <w:tcMar>
              <w:top w:w="30" w:type="dxa"/>
              <w:left w:w="45" w:type="dxa"/>
              <w:bottom w:w="30" w:type="dxa"/>
              <w:right w:w="45" w:type="dxa"/>
            </w:tcMar>
            <w:vAlign w:val="bottom"/>
            <w:hideMark/>
          </w:tcPr>
          <w:p w14:paraId="57376884"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United Kingdom</w:t>
            </w:r>
          </w:p>
        </w:tc>
        <w:tc>
          <w:tcPr>
            <w:tcW w:w="2790" w:type="dxa"/>
            <w:tcMar>
              <w:top w:w="30" w:type="dxa"/>
              <w:left w:w="45" w:type="dxa"/>
              <w:bottom w:w="30" w:type="dxa"/>
              <w:right w:w="45" w:type="dxa"/>
            </w:tcMar>
            <w:vAlign w:val="bottom"/>
            <w:hideMark/>
          </w:tcPr>
          <w:p w14:paraId="03B16753"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Largest market</w:t>
            </w:r>
          </w:p>
        </w:tc>
        <w:tc>
          <w:tcPr>
            <w:tcW w:w="3420" w:type="dxa"/>
            <w:tcMar>
              <w:top w:w="30" w:type="dxa"/>
              <w:left w:w="0" w:type="dxa"/>
              <w:bottom w:w="30" w:type="dxa"/>
              <w:right w:w="0" w:type="dxa"/>
            </w:tcMar>
            <w:vAlign w:val="bottom"/>
            <w:hideMark/>
          </w:tcPr>
          <w:p w14:paraId="47D586A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Revenue and brand leadership</w:t>
            </w:r>
          </w:p>
        </w:tc>
      </w:tr>
      <w:tr w:rsidR="00D0674B" w:rsidRPr="00D0674B" w14:paraId="0AE587FA" w14:textId="77777777" w:rsidTr="00D0674B">
        <w:trPr>
          <w:trHeight w:val="315"/>
        </w:trPr>
        <w:tc>
          <w:tcPr>
            <w:tcW w:w="3135" w:type="dxa"/>
            <w:tcMar>
              <w:top w:w="30" w:type="dxa"/>
              <w:left w:w="45" w:type="dxa"/>
              <w:bottom w:w="30" w:type="dxa"/>
              <w:right w:w="45" w:type="dxa"/>
            </w:tcMar>
            <w:vAlign w:val="bottom"/>
            <w:hideMark/>
          </w:tcPr>
          <w:p w14:paraId="4CC58DE0"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Western Europe</w:t>
            </w:r>
          </w:p>
        </w:tc>
        <w:tc>
          <w:tcPr>
            <w:tcW w:w="2790" w:type="dxa"/>
            <w:tcMar>
              <w:top w:w="30" w:type="dxa"/>
              <w:left w:w="45" w:type="dxa"/>
              <w:bottom w:w="30" w:type="dxa"/>
              <w:right w:w="45" w:type="dxa"/>
            </w:tcMar>
            <w:vAlign w:val="bottom"/>
            <w:hideMark/>
          </w:tcPr>
          <w:p w14:paraId="51E09740"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Extensive store network</w:t>
            </w:r>
          </w:p>
        </w:tc>
        <w:tc>
          <w:tcPr>
            <w:tcW w:w="3420" w:type="dxa"/>
            <w:tcMar>
              <w:top w:w="30" w:type="dxa"/>
              <w:left w:w="0" w:type="dxa"/>
              <w:bottom w:w="30" w:type="dxa"/>
              <w:right w:w="0" w:type="dxa"/>
            </w:tcMar>
            <w:vAlign w:val="bottom"/>
            <w:hideMark/>
          </w:tcPr>
          <w:p w14:paraId="30175A07"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Economies of scale</w:t>
            </w:r>
          </w:p>
        </w:tc>
      </w:tr>
      <w:tr w:rsidR="00D0674B" w:rsidRPr="00D0674B" w14:paraId="27BCE6E6" w14:textId="77777777" w:rsidTr="00D0674B">
        <w:trPr>
          <w:trHeight w:val="315"/>
        </w:trPr>
        <w:tc>
          <w:tcPr>
            <w:tcW w:w="3135" w:type="dxa"/>
            <w:tcMar>
              <w:top w:w="30" w:type="dxa"/>
              <w:left w:w="45" w:type="dxa"/>
              <w:bottom w:w="30" w:type="dxa"/>
              <w:right w:w="45" w:type="dxa"/>
            </w:tcMar>
            <w:vAlign w:val="bottom"/>
            <w:hideMark/>
          </w:tcPr>
          <w:p w14:paraId="229E359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Central and Eastern Europe</w:t>
            </w:r>
          </w:p>
        </w:tc>
        <w:tc>
          <w:tcPr>
            <w:tcW w:w="2790" w:type="dxa"/>
            <w:tcMar>
              <w:top w:w="30" w:type="dxa"/>
              <w:left w:w="45" w:type="dxa"/>
              <w:bottom w:w="30" w:type="dxa"/>
              <w:right w:w="45" w:type="dxa"/>
            </w:tcMar>
            <w:vAlign w:val="bottom"/>
            <w:hideMark/>
          </w:tcPr>
          <w:p w14:paraId="2A7AF5C4"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Growing presence</w:t>
            </w:r>
          </w:p>
        </w:tc>
        <w:tc>
          <w:tcPr>
            <w:tcW w:w="3420" w:type="dxa"/>
            <w:tcMar>
              <w:top w:w="30" w:type="dxa"/>
              <w:left w:w="0" w:type="dxa"/>
              <w:bottom w:w="30" w:type="dxa"/>
              <w:right w:w="0" w:type="dxa"/>
            </w:tcMar>
            <w:vAlign w:val="bottom"/>
            <w:hideMark/>
          </w:tcPr>
          <w:p w14:paraId="4A33291C"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Market diversification</w:t>
            </w:r>
          </w:p>
        </w:tc>
      </w:tr>
      <w:tr w:rsidR="00D0674B" w:rsidRPr="00D0674B" w14:paraId="019BB456" w14:textId="77777777" w:rsidTr="00D0674B">
        <w:trPr>
          <w:trHeight w:val="315"/>
        </w:trPr>
        <w:tc>
          <w:tcPr>
            <w:tcW w:w="3135" w:type="dxa"/>
            <w:tcMar>
              <w:top w:w="30" w:type="dxa"/>
              <w:left w:w="45" w:type="dxa"/>
              <w:bottom w:w="30" w:type="dxa"/>
              <w:right w:w="45" w:type="dxa"/>
            </w:tcMar>
            <w:vAlign w:val="bottom"/>
            <w:hideMark/>
          </w:tcPr>
          <w:p w14:paraId="14F2C33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United States</w:t>
            </w:r>
          </w:p>
        </w:tc>
        <w:tc>
          <w:tcPr>
            <w:tcW w:w="2790" w:type="dxa"/>
            <w:tcMar>
              <w:top w:w="30" w:type="dxa"/>
              <w:left w:w="45" w:type="dxa"/>
              <w:bottom w:w="30" w:type="dxa"/>
              <w:right w:w="45" w:type="dxa"/>
            </w:tcMar>
            <w:vAlign w:val="bottom"/>
            <w:hideMark/>
          </w:tcPr>
          <w:p w14:paraId="403827FD"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Expanding operations</w:t>
            </w:r>
          </w:p>
        </w:tc>
        <w:tc>
          <w:tcPr>
            <w:tcW w:w="3420" w:type="dxa"/>
            <w:tcMar>
              <w:top w:w="30" w:type="dxa"/>
              <w:left w:w="0" w:type="dxa"/>
              <w:bottom w:w="30" w:type="dxa"/>
              <w:right w:w="0" w:type="dxa"/>
            </w:tcMar>
            <w:vAlign w:val="bottom"/>
            <w:hideMark/>
          </w:tcPr>
          <w:p w14:paraId="4562FD4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North American growth</w:t>
            </w:r>
          </w:p>
        </w:tc>
      </w:tr>
      <w:tr w:rsidR="00D0674B" w:rsidRPr="00D0674B" w14:paraId="26FE7CD2" w14:textId="77777777" w:rsidTr="00D0674B">
        <w:trPr>
          <w:trHeight w:val="315"/>
        </w:trPr>
        <w:tc>
          <w:tcPr>
            <w:tcW w:w="3135" w:type="dxa"/>
            <w:tcMar>
              <w:top w:w="30" w:type="dxa"/>
              <w:left w:w="45" w:type="dxa"/>
              <w:bottom w:w="30" w:type="dxa"/>
              <w:right w:w="45" w:type="dxa"/>
            </w:tcMar>
            <w:vAlign w:val="bottom"/>
            <w:hideMark/>
          </w:tcPr>
          <w:p w14:paraId="4D62006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Canada</w:t>
            </w:r>
          </w:p>
        </w:tc>
        <w:tc>
          <w:tcPr>
            <w:tcW w:w="2790" w:type="dxa"/>
            <w:tcMar>
              <w:top w:w="30" w:type="dxa"/>
              <w:left w:w="45" w:type="dxa"/>
              <w:bottom w:w="30" w:type="dxa"/>
              <w:right w:w="45" w:type="dxa"/>
            </w:tcMar>
            <w:vAlign w:val="bottom"/>
            <w:hideMark/>
          </w:tcPr>
          <w:p w14:paraId="43B6ACB0"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No stores</w:t>
            </w:r>
          </w:p>
        </w:tc>
        <w:tc>
          <w:tcPr>
            <w:tcW w:w="3420" w:type="dxa"/>
            <w:tcMar>
              <w:top w:w="30" w:type="dxa"/>
              <w:left w:w="0" w:type="dxa"/>
              <w:bottom w:w="30" w:type="dxa"/>
              <w:right w:w="0" w:type="dxa"/>
            </w:tcMar>
            <w:vAlign w:val="bottom"/>
            <w:hideMark/>
          </w:tcPr>
          <w:p w14:paraId="520BBA7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Future expansion opportunity</w:t>
            </w:r>
          </w:p>
        </w:tc>
      </w:tr>
    </w:tbl>
    <w:p w14:paraId="0C07403C"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i/>
          <w:iCs/>
          <w:sz w:val="24"/>
          <w:lang w:val="en-US"/>
        </w:rPr>
        <w:t>Source: Carr and Leknes (2020); Collinson, Narula and Rugman (2020).</w:t>
      </w:r>
    </w:p>
    <w:p w14:paraId="0D37FD44" w14:textId="5AE82F39"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Primark has a competitive advantage of having a </w:t>
      </w:r>
      <w:r w:rsidR="00ED4D1E" w:rsidRPr="00F77EFF">
        <w:rPr>
          <w:rFonts w:ascii="Arial" w:hAnsi="Arial" w:cs="Arial"/>
          <w:sz w:val="24"/>
          <w:lang w:val="en-US"/>
        </w:rPr>
        <w:t>centralized</w:t>
      </w:r>
      <w:r w:rsidRPr="00F77EFF">
        <w:rPr>
          <w:rFonts w:ascii="Arial" w:hAnsi="Arial" w:cs="Arial"/>
          <w:sz w:val="24"/>
          <w:lang w:val="en-US"/>
        </w:rPr>
        <w:t xml:space="preserve"> global structure. The Asian suppliers and manufacturers are mainly low-cost, which creates the purchasing power and low costs of production. Supply chain management also involves </w:t>
      </w:r>
      <w:r w:rsidR="00ED4D1E" w:rsidRPr="00F77EFF">
        <w:rPr>
          <w:rFonts w:ascii="Arial" w:hAnsi="Arial" w:cs="Arial"/>
          <w:sz w:val="24"/>
          <w:lang w:val="en-US"/>
        </w:rPr>
        <w:t>standardization</w:t>
      </w:r>
      <w:r w:rsidRPr="00F77EFF">
        <w:rPr>
          <w:rFonts w:ascii="Arial" w:hAnsi="Arial" w:cs="Arial"/>
          <w:sz w:val="24"/>
          <w:lang w:val="en-US"/>
        </w:rPr>
        <w:t xml:space="preserve"> which leads to efficiency and assists in ensuring quality (Carr and Leknes, 2020; Herz and Thomson, 2021).</w:t>
      </w:r>
    </w:p>
    <w:p w14:paraId="37FBC769"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In comparison to most of its competitors, Primark does not spend a lot of money on advertising, nor does it possess a large e-commerce platform. It preferred rather physical stores that reduce the operating expenses and enable it maintain its round price leadership. The savings boosts its value contribution in the price-sensitive markets (</w:t>
      </w:r>
      <w:proofErr w:type="spellStart"/>
      <w:r w:rsidRPr="00F77EFF">
        <w:rPr>
          <w:rFonts w:ascii="Arial" w:hAnsi="Arial" w:cs="Arial"/>
          <w:sz w:val="24"/>
          <w:lang w:val="en-US"/>
        </w:rPr>
        <w:t>Rahmanifar</w:t>
      </w:r>
      <w:proofErr w:type="spellEnd"/>
      <w:r w:rsidRPr="00F77EFF">
        <w:rPr>
          <w:rFonts w:ascii="Arial" w:hAnsi="Arial" w:cs="Arial"/>
          <w:sz w:val="24"/>
          <w:lang w:val="en-US"/>
        </w:rPr>
        <w:t>, 2024).</w:t>
      </w:r>
    </w:p>
    <w:p w14:paraId="511DD957"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However, reliance on Asian sources puts them at risk of geopolitical factors, transportation and general logistics developments and increased prices. Diversification of suppliers can also help to strengthen the resilience in a supply chain without any reduction in the costs (</w:t>
      </w:r>
      <w:proofErr w:type="spellStart"/>
      <w:r w:rsidRPr="00F77EFF">
        <w:rPr>
          <w:rFonts w:ascii="Arial" w:hAnsi="Arial" w:cs="Arial"/>
          <w:sz w:val="24"/>
          <w:lang w:val="en-US"/>
        </w:rPr>
        <w:t>Moradlou</w:t>
      </w:r>
      <w:proofErr w:type="spellEnd"/>
      <w:r w:rsidRPr="00F77EFF">
        <w:rPr>
          <w:rFonts w:ascii="Arial" w:hAnsi="Arial" w:cs="Arial"/>
          <w:sz w:val="24"/>
          <w:lang w:val="en-US"/>
        </w:rPr>
        <w:t xml:space="preserve"> et al., 2025).</w:t>
      </w:r>
    </w:p>
    <w:p w14:paraId="0127C26A" w14:textId="77777777" w:rsidR="00373916" w:rsidRPr="00CD0345" w:rsidRDefault="00F77EFF" w:rsidP="00F77EFF">
      <w:pPr>
        <w:spacing w:after="0" w:line="360" w:lineRule="auto"/>
        <w:jc w:val="both"/>
        <w:rPr>
          <w:rFonts w:ascii="Arial" w:hAnsi="Arial" w:cs="Arial"/>
          <w:sz w:val="24"/>
          <w:lang w:val="en-US"/>
        </w:rPr>
      </w:pPr>
      <w:r w:rsidRPr="00F77EFF">
        <w:rPr>
          <w:rFonts w:ascii="Arial" w:hAnsi="Arial" w:cs="Arial"/>
          <w:sz w:val="24"/>
          <w:lang w:val="en-US"/>
        </w:rPr>
        <w:t>The logical next step of Primark expansion in North America is Canada. Its proximity to the United States helps in the sharing of logistic, economies of scale in distribution and low cost of operation. The move into Canada would generate a new source of income and capitalize on the established global Primark network that would aid in developing a competitive edge in the long-term (Mabitsela, 2021; Zhou, Gomes and Vendrell-Herrero, 2025).</w:t>
      </w:r>
    </w:p>
    <w:p w14:paraId="6D5A0DE2" w14:textId="77777777" w:rsidR="00450CAE" w:rsidRPr="00CD0345" w:rsidRDefault="00450CAE" w:rsidP="00F77EFF">
      <w:pPr>
        <w:pStyle w:val="Heading1"/>
        <w:rPr>
          <w:lang w:val="en-US"/>
        </w:rPr>
      </w:pPr>
      <w:bookmarkStart w:id="5" w:name="_Toc235800515"/>
      <w:r w:rsidRPr="00CD0345">
        <w:rPr>
          <w:lang w:val="en-US"/>
        </w:rPr>
        <w:t>2. Macro-Environmental Appraisal and Market Attractiveness</w:t>
      </w:r>
      <w:bookmarkEnd w:id="5"/>
    </w:p>
    <w:p w14:paraId="32D38BD8" w14:textId="77777777" w:rsidR="00450CAE" w:rsidRPr="00CD0345" w:rsidRDefault="00F71C8C" w:rsidP="00F77EFF">
      <w:pPr>
        <w:pStyle w:val="Heading2"/>
        <w:rPr>
          <w:lang w:val="en-US"/>
        </w:rPr>
      </w:pPr>
      <w:bookmarkStart w:id="6" w:name="_Toc235800516"/>
      <w:r w:rsidRPr="00CD0345">
        <w:rPr>
          <w:lang w:val="en-US"/>
        </w:rPr>
        <w:t xml:space="preserve">2.1 </w:t>
      </w:r>
      <w:r w:rsidR="00450CAE" w:rsidRPr="00CD0345">
        <w:rPr>
          <w:lang w:val="en-US"/>
        </w:rPr>
        <w:t>Host Country Analysis: Canada</w:t>
      </w:r>
      <w:bookmarkEnd w:id="6"/>
    </w:p>
    <w:p w14:paraId="78A89C55" w14:textId="77777777" w:rsidR="00450CAE" w:rsidRPr="00CD0345" w:rsidRDefault="00450CAE" w:rsidP="00450CAE">
      <w:pPr>
        <w:spacing w:after="0" w:line="360" w:lineRule="auto"/>
        <w:jc w:val="both"/>
        <w:rPr>
          <w:rFonts w:ascii="Arial" w:hAnsi="Arial" w:cs="Arial"/>
          <w:b/>
          <w:bCs/>
          <w:sz w:val="24"/>
          <w:lang w:val="en-US"/>
        </w:rPr>
      </w:pPr>
      <w:r w:rsidRPr="00CD0345">
        <w:rPr>
          <w:rFonts w:ascii="Arial" w:hAnsi="Arial" w:cs="Arial"/>
          <w:b/>
          <w:bCs/>
          <w:sz w:val="24"/>
          <w:lang w:val="en-US"/>
        </w:rPr>
        <w:t>Political and Legal Factors</w:t>
      </w:r>
    </w:p>
    <w:p w14:paraId="778251ED" w14:textId="7C687463"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Canada offers a very stable and clear business environment which is politically secure and is thus the ideal destination to multinational retailers. Consistent government, reliable policies and high levels of legal security </w:t>
      </w:r>
      <w:r w:rsidR="00ED4D1E" w:rsidRPr="00F77EFF">
        <w:rPr>
          <w:rFonts w:ascii="Arial" w:hAnsi="Arial" w:cs="Arial"/>
          <w:sz w:val="24"/>
          <w:lang w:val="en-US"/>
        </w:rPr>
        <w:t>minimize</w:t>
      </w:r>
      <w:r w:rsidRPr="00F77EFF">
        <w:rPr>
          <w:rFonts w:ascii="Arial" w:hAnsi="Arial" w:cs="Arial"/>
          <w:sz w:val="24"/>
          <w:lang w:val="en-US"/>
        </w:rPr>
        <w:t xml:space="preserve"> risk of investment as well as foster long-term retail growth (Collinson, Narula and Rugman, 2020). This predictability also gives Primark the guts to open large brick and mortar stores and long-term contractual agreements with the suppliers.</w:t>
      </w:r>
    </w:p>
    <w:p w14:paraId="5D8DE469" w14:textId="7E7F030F"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Canada has also been free to trade through signing of agreements with other countries in Europe such as the Canada-European Union Comprehensive Economic and Trade Agreement (CETA) which reduces the barriers to European companies. Although importation of </w:t>
      </w:r>
      <w:r w:rsidR="005001D3" w:rsidRPr="00F77EFF">
        <w:rPr>
          <w:rFonts w:ascii="Arial" w:hAnsi="Arial" w:cs="Arial"/>
          <w:sz w:val="24"/>
          <w:lang w:val="en-US"/>
        </w:rPr>
        <w:t>textiles</w:t>
      </w:r>
      <w:r w:rsidRPr="00F77EFF">
        <w:rPr>
          <w:rFonts w:ascii="Arial" w:hAnsi="Arial" w:cs="Arial"/>
          <w:sz w:val="24"/>
          <w:lang w:val="en-US"/>
        </w:rPr>
        <w:t xml:space="preserve"> remains a subject to custom and compliance, the trading environment is </w:t>
      </w:r>
      <w:r w:rsidR="00ED4D1E" w:rsidRPr="00F77EFF">
        <w:rPr>
          <w:rFonts w:ascii="Arial" w:hAnsi="Arial" w:cs="Arial"/>
          <w:sz w:val="24"/>
          <w:lang w:val="en-US"/>
        </w:rPr>
        <w:t>favorable</w:t>
      </w:r>
      <w:r w:rsidRPr="00F77EFF">
        <w:rPr>
          <w:rFonts w:ascii="Arial" w:hAnsi="Arial" w:cs="Arial"/>
          <w:sz w:val="24"/>
          <w:lang w:val="en-US"/>
        </w:rPr>
        <w:t xml:space="preserve"> to serve most of the international markets (Zlatev, 2025). This facilitates the low-cost sourcing model at Primark and enhances accessibility of the market.</w:t>
      </w:r>
    </w:p>
    <w:p w14:paraId="27807EF7" w14:textId="446A89A8" w:rsidR="00F77EFF" w:rsidRPr="00F77EFF" w:rsidRDefault="00ED4D1E" w:rsidP="00F77EFF">
      <w:pPr>
        <w:spacing w:after="0" w:line="360" w:lineRule="auto"/>
        <w:jc w:val="both"/>
        <w:rPr>
          <w:rFonts w:ascii="Arial" w:hAnsi="Arial" w:cs="Arial"/>
          <w:sz w:val="24"/>
          <w:lang w:val="en-US"/>
        </w:rPr>
      </w:pPr>
      <w:r w:rsidRPr="00F77EFF">
        <w:rPr>
          <w:rFonts w:ascii="Arial" w:hAnsi="Arial" w:cs="Arial"/>
          <w:sz w:val="24"/>
          <w:lang w:val="en-US"/>
        </w:rPr>
        <w:t>Labor</w:t>
      </w:r>
      <w:r w:rsidR="00F77EFF" w:rsidRPr="00F77EFF">
        <w:rPr>
          <w:rFonts w:ascii="Arial" w:hAnsi="Arial" w:cs="Arial"/>
          <w:sz w:val="24"/>
          <w:lang w:val="en-US"/>
        </w:rPr>
        <w:t xml:space="preserve"> standards in Canada are more stringent than in most of the manufacturing countries in Asia. Retailers have higher operating costs due to minimum wage laws, safety requirements at their workplace and protection of their employees. However, these types of regulations guarantee that the labor situation and reputation of the company are improved as well, which helps to ensure sustainable business performance (Mabitsela, 2021).</w:t>
      </w:r>
    </w:p>
    <w:p w14:paraId="07939603" w14:textId="77777777" w:rsidR="00450CAE" w:rsidRPr="00CD0345" w:rsidRDefault="00F77EFF" w:rsidP="00F77EFF">
      <w:pPr>
        <w:spacing w:after="0" w:line="360" w:lineRule="auto"/>
        <w:jc w:val="both"/>
        <w:rPr>
          <w:rFonts w:ascii="Arial" w:hAnsi="Arial" w:cs="Arial"/>
          <w:sz w:val="24"/>
          <w:lang w:val="en-US"/>
        </w:rPr>
      </w:pPr>
      <w:r w:rsidRPr="00F77EFF">
        <w:rPr>
          <w:rFonts w:ascii="Arial" w:hAnsi="Arial" w:cs="Arial"/>
          <w:sz w:val="24"/>
          <w:lang w:val="en-US"/>
        </w:rPr>
        <w:t>In Canada, the modern slavery reporting requirements have improved the degree of transparency in supply chain and obligate multinational companies to disclose on ethical sourcing. This is very much in line with the Primark Cares of Primark initiative that emphasizes on responsible sourcing, worker welfare and sustainable supply chains. Compliance thus turns into a legal necessity and a competitive advantage as opposed to a mere cost (</w:t>
      </w:r>
      <w:proofErr w:type="spellStart"/>
      <w:r>
        <w:rPr>
          <w:rFonts w:ascii="Arial" w:hAnsi="Arial" w:cs="Arial"/>
          <w:sz w:val="24"/>
          <w:lang w:val="en-US"/>
        </w:rPr>
        <w:t>Chemsripong</w:t>
      </w:r>
      <w:proofErr w:type="spellEnd"/>
      <w:r>
        <w:rPr>
          <w:rFonts w:ascii="Arial" w:hAnsi="Arial" w:cs="Arial"/>
          <w:sz w:val="24"/>
          <w:lang w:val="en-US"/>
        </w:rPr>
        <w:t>, 2023; Wahed, 2025</w:t>
      </w:r>
      <w:r w:rsidR="00450CAE" w:rsidRPr="00CD0345">
        <w:rPr>
          <w:rFonts w:ascii="Arial" w:hAnsi="Arial" w:cs="Arial"/>
          <w:sz w:val="24"/>
          <w:lang w:val="en-US"/>
        </w:rPr>
        <w:t>).</w:t>
      </w:r>
    </w:p>
    <w:p w14:paraId="43EEA11E"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b/>
          <w:bCs/>
          <w:sz w:val="24"/>
          <w:lang w:val="en-US"/>
        </w:rPr>
        <w:t>Table 2: Political and Legal Assessment of Canada</w:t>
      </w:r>
    </w:p>
    <w:tbl>
      <w:tblPr>
        <w:tblW w:w="933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2377"/>
        <w:gridCol w:w="2558"/>
        <w:gridCol w:w="2070"/>
        <w:gridCol w:w="2325"/>
      </w:tblGrid>
      <w:tr w:rsidR="00D0674B" w:rsidRPr="00D0674B" w14:paraId="2B52C5A0" w14:textId="77777777" w:rsidTr="00D0674B">
        <w:trPr>
          <w:trHeight w:val="315"/>
        </w:trPr>
        <w:tc>
          <w:tcPr>
            <w:tcW w:w="0" w:type="auto"/>
            <w:shd w:val="clear" w:color="auto" w:fill="20462C"/>
            <w:tcMar>
              <w:top w:w="30" w:type="dxa"/>
              <w:left w:w="45" w:type="dxa"/>
              <w:bottom w:w="30" w:type="dxa"/>
              <w:right w:w="45" w:type="dxa"/>
            </w:tcMar>
            <w:vAlign w:val="bottom"/>
            <w:hideMark/>
          </w:tcPr>
          <w:p w14:paraId="34A7E64C"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Factor</w:t>
            </w:r>
          </w:p>
        </w:tc>
        <w:tc>
          <w:tcPr>
            <w:tcW w:w="2558" w:type="dxa"/>
            <w:shd w:val="clear" w:color="auto" w:fill="20462C"/>
            <w:tcMar>
              <w:top w:w="30" w:type="dxa"/>
              <w:left w:w="45" w:type="dxa"/>
              <w:bottom w:w="30" w:type="dxa"/>
              <w:right w:w="45" w:type="dxa"/>
            </w:tcMar>
            <w:vAlign w:val="bottom"/>
            <w:hideMark/>
          </w:tcPr>
          <w:p w14:paraId="283AC8C1"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Opportunity</w:t>
            </w:r>
          </w:p>
        </w:tc>
        <w:tc>
          <w:tcPr>
            <w:tcW w:w="2070" w:type="dxa"/>
            <w:shd w:val="clear" w:color="auto" w:fill="20462C"/>
            <w:tcMar>
              <w:top w:w="30" w:type="dxa"/>
              <w:left w:w="45" w:type="dxa"/>
              <w:bottom w:w="30" w:type="dxa"/>
              <w:right w:w="45" w:type="dxa"/>
            </w:tcMar>
            <w:vAlign w:val="bottom"/>
            <w:hideMark/>
          </w:tcPr>
          <w:p w14:paraId="7234511A"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Challenge</w:t>
            </w:r>
          </w:p>
        </w:tc>
        <w:tc>
          <w:tcPr>
            <w:tcW w:w="2325" w:type="dxa"/>
            <w:shd w:val="clear" w:color="auto" w:fill="20462C"/>
            <w:tcMar>
              <w:top w:w="30" w:type="dxa"/>
              <w:left w:w="45" w:type="dxa"/>
              <w:bottom w:w="30" w:type="dxa"/>
              <w:right w:w="45" w:type="dxa"/>
            </w:tcMar>
            <w:vAlign w:val="bottom"/>
            <w:hideMark/>
          </w:tcPr>
          <w:p w14:paraId="5C184D1A"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Impact on Primark</w:t>
            </w:r>
          </w:p>
        </w:tc>
      </w:tr>
      <w:tr w:rsidR="00D0674B" w:rsidRPr="00D0674B" w14:paraId="59FEB1EF" w14:textId="77777777" w:rsidTr="00D0674B">
        <w:trPr>
          <w:trHeight w:val="315"/>
        </w:trPr>
        <w:tc>
          <w:tcPr>
            <w:tcW w:w="0" w:type="auto"/>
            <w:tcMar>
              <w:top w:w="30" w:type="dxa"/>
              <w:left w:w="45" w:type="dxa"/>
              <w:bottom w:w="30" w:type="dxa"/>
              <w:right w:w="45" w:type="dxa"/>
            </w:tcMar>
            <w:vAlign w:val="bottom"/>
            <w:hideMark/>
          </w:tcPr>
          <w:p w14:paraId="2174432C"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Political stability</w:t>
            </w:r>
          </w:p>
        </w:tc>
        <w:tc>
          <w:tcPr>
            <w:tcW w:w="2558" w:type="dxa"/>
            <w:tcMar>
              <w:top w:w="30" w:type="dxa"/>
              <w:left w:w="45" w:type="dxa"/>
              <w:bottom w:w="30" w:type="dxa"/>
              <w:right w:w="45" w:type="dxa"/>
            </w:tcMar>
            <w:vAlign w:val="bottom"/>
            <w:hideMark/>
          </w:tcPr>
          <w:p w14:paraId="0441C3BB"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High investment security</w:t>
            </w:r>
          </w:p>
        </w:tc>
        <w:tc>
          <w:tcPr>
            <w:tcW w:w="2070" w:type="dxa"/>
            <w:tcMar>
              <w:top w:w="30" w:type="dxa"/>
              <w:left w:w="45" w:type="dxa"/>
              <w:bottom w:w="30" w:type="dxa"/>
              <w:right w:w="45" w:type="dxa"/>
            </w:tcMar>
            <w:vAlign w:val="bottom"/>
            <w:hideMark/>
          </w:tcPr>
          <w:p w14:paraId="69FEA11E"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Low political risk</w:t>
            </w:r>
          </w:p>
        </w:tc>
        <w:tc>
          <w:tcPr>
            <w:tcW w:w="2325" w:type="dxa"/>
            <w:tcMar>
              <w:top w:w="30" w:type="dxa"/>
              <w:left w:w="45" w:type="dxa"/>
              <w:bottom w:w="30" w:type="dxa"/>
              <w:right w:w="45" w:type="dxa"/>
            </w:tcMar>
            <w:vAlign w:val="bottom"/>
            <w:hideMark/>
          </w:tcPr>
          <w:p w14:paraId="6877E0F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Positive</w:t>
            </w:r>
          </w:p>
        </w:tc>
      </w:tr>
      <w:tr w:rsidR="00D0674B" w:rsidRPr="00D0674B" w14:paraId="028CEEBF" w14:textId="77777777" w:rsidTr="00D0674B">
        <w:trPr>
          <w:trHeight w:val="315"/>
        </w:trPr>
        <w:tc>
          <w:tcPr>
            <w:tcW w:w="0" w:type="auto"/>
            <w:tcMar>
              <w:top w:w="30" w:type="dxa"/>
              <w:left w:w="45" w:type="dxa"/>
              <w:bottom w:w="30" w:type="dxa"/>
              <w:right w:w="45" w:type="dxa"/>
            </w:tcMar>
            <w:vAlign w:val="bottom"/>
            <w:hideMark/>
          </w:tcPr>
          <w:p w14:paraId="1AFCF2D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CETA trade environment</w:t>
            </w:r>
          </w:p>
        </w:tc>
        <w:tc>
          <w:tcPr>
            <w:tcW w:w="2558" w:type="dxa"/>
            <w:tcMar>
              <w:top w:w="30" w:type="dxa"/>
              <w:left w:w="45" w:type="dxa"/>
              <w:bottom w:w="30" w:type="dxa"/>
              <w:right w:w="45" w:type="dxa"/>
            </w:tcMar>
            <w:vAlign w:val="bottom"/>
            <w:hideMark/>
          </w:tcPr>
          <w:p w14:paraId="74FE0EB4"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Easier European market access</w:t>
            </w:r>
          </w:p>
        </w:tc>
        <w:tc>
          <w:tcPr>
            <w:tcW w:w="2070" w:type="dxa"/>
            <w:tcMar>
              <w:top w:w="30" w:type="dxa"/>
              <w:left w:w="45" w:type="dxa"/>
              <w:bottom w:w="30" w:type="dxa"/>
              <w:right w:w="45" w:type="dxa"/>
            </w:tcMar>
            <w:vAlign w:val="bottom"/>
            <w:hideMark/>
          </w:tcPr>
          <w:p w14:paraId="51870A59"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Customs compliance</w:t>
            </w:r>
          </w:p>
        </w:tc>
        <w:tc>
          <w:tcPr>
            <w:tcW w:w="2325" w:type="dxa"/>
            <w:tcMar>
              <w:top w:w="30" w:type="dxa"/>
              <w:left w:w="45" w:type="dxa"/>
              <w:bottom w:w="30" w:type="dxa"/>
              <w:right w:w="45" w:type="dxa"/>
            </w:tcMar>
            <w:vAlign w:val="bottom"/>
            <w:hideMark/>
          </w:tcPr>
          <w:p w14:paraId="44A4D505"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Positive</w:t>
            </w:r>
          </w:p>
        </w:tc>
      </w:tr>
      <w:tr w:rsidR="00D0674B" w:rsidRPr="00D0674B" w14:paraId="7D573ABC" w14:textId="77777777" w:rsidTr="00D0674B">
        <w:trPr>
          <w:trHeight w:val="315"/>
        </w:trPr>
        <w:tc>
          <w:tcPr>
            <w:tcW w:w="0" w:type="auto"/>
            <w:tcMar>
              <w:top w:w="30" w:type="dxa"/>
              <w:left w:w="45" w:type="dxa"/>
              <w:bottom w:w="30" w:type="dxa"/>
              <w:right w:w="45" w:type="dxa"/>
            </w:tcMar>
            <w:vAlign w:val="bottom"/>
            <w:hideMark/>
          </w:tcPr>
          <w:p w14:paraId="73AFC543" w14:textId="0406185B" w:rsidR="00D0674B" w:rsidRPr="00D0674B" w:rsidRDefault="005001D3" w:rsidP="00D0674B">
            <w:pPr>
              <w:spacing w:after="0" w:line="360" w:lineRule="auto"/>
              <w:jc w:val="center"/>
              <w:rPr>
                <w:rFonts w:ascii="Arial" w:hAnsi="Arial" w:cs="Arial"/>
                <w:iCs/>
                <w:sz w:val="24"/>
                <w:lang w:val="en-US"/>
              </w:rPr>
            </w:pPr>
            <w:r w:rsidRPr="00D0674B">
              <w:rPr>
                <w:rFonts w:ascii="Arial" w:hAnsi="Arial" w:cs="Arial"/>
                <w:iCs/>
                <w:sz w:val="24"/>
                <w:lang w:val="en-US"/>
              </w:rPr>
              <w:t>labor</w:t>
            </w:r>
            <w:r w:rsidR="00D0674B" w:rsidRPr="00D0674B">
              <w:rPr>
                <w:rFonts w:ascii="Arial" w:hAnsi="Arial" w:cs="Arial"/>
                <w:iCs/>
                <w:sz w:val="24"/>
                <w:lang w:val="en-US"/>
              </w:rPr>
              <w:t xml:space="preserve"> regulations</w:t>
            </w:r>
          </w:p>
        </w:tc>
        <w:tc>
          <w:tcPr>
            <w:tcW w:w="2558" w:type="dxa"/>
            <w:tcMar>
              <w:top w:w="30" w:type="dxa"/>
              <w:left w:w="45" w:type="dxa"/>
              <w:bottom w:w="30" w:type="dxa"/>
              <w:right w:w="45" w:type="dxa"/>
            </w:tcMar>
            <w:vAlign w:val="bottom"/>
            <w:hideMark/>
          </w:tcPr>
          <w:p w14:paraId="392F9E2B"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Better workforce protection</w:t>
            </w:r>
          </w:p>
        </w:tc>
        <w:tc>
          <w:tcPr>
            <w:tcW w:w="2070" w:type="dxa"/>
            <w:tcMar>
              <w:top w:w="30" w:type="dxa"/>
              <w:left w:w="45" w:type="dxa"/>
              <w:bottom w:w="30" w:type="dxa"/>
              <w:right w:w="45" w:type="dxa"/>
            </w:tcMar>
            <w:vAlign w:val="bottom"/>
            <w:hideMark/>
          </w:tcPr>
          <w:p w14:paraId="72D3A7B7" w14:textId="6E58FF88"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 xml:space="preserve">Higher </w:t>
            </w:r>
            <w:r w:rsidR="005001D3" w:rsidRPr="00D0674B">
              <w:rPr>
                <w:rFonts w:ascii="Arial" w:hAnsi="Arial" w:cs="Arial"/>
                <w:iCs/>
                <w:sz w:val="24"/>
                <w:lang w:val="en-US"/>
              </w:rPr>
              <w:t>labor</w:t>
            </w:r>
            <w:r w:rsidRPr="00D0674B">
              <w:rPr>
                <w:rFonts w:ascii="Arial" w:hAnsi="Arial" w:cs="Arial"/>
                <w:iCs/>
                <w:sz w:val="24"/>
                <w:lang w:val="en-US"/>
              </w:rPr>
              <w:t xml:space="preserve"> costs</w:t>
            </w:r>
          </w:p>
        </w:tc>
        <w:tc>
          <w:tcPr>
            <w:tcW w:w="2325" w:type="dxa"/>
            <w:tcMar>
              <w:top w:w="30" w:type="dxa"/>
              <w:left w:w="45" w:type="dxa"/>
              <w:bottom w:w="30" w:type="dxa"/>
              <w:right w:w="45" w:type="dxa"/>
            </w:tcMar>
            <w:vAlign w:val="bottom"/>
            <w:hideMark/>
          </w:tcPr>
          <w:p w14:paraId="3CD61E5A"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Moderate</w:t>
            </w:r>
          </w:p>
        </w:tc>
      </w:tr>
      <w:tr w:rsidR="00D0674B" w:rsidRPr="00D0674B" w14:paraId="22B3F691" w14:textId="77777777" w:rsidTr="00D0674B">
        <w:trPr>
          <w:trHeight w:val="315"/>
        </w:trPr>
        <w:tc>
          <w:tcPr>
            <w:tcW w:w="0" w:type="auto"/>
            <w:tcMar>
              <w:top w:w="30" w:type="dxa"/>
              <w:left w:w="45" w:type="dxa"/>
              <w:bottom w:w="30" w:type="dxa"/>
              <w:right w:w="45" w:type="dxa"/>
            </w:tcMar>
            <w:vAlign w:val="bottom"/>
            <w:hideMark/>
          </w:tcPr>
          <w:p w14:paraId="1675288C"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Supply chain transparency</w:t>
            </w:r>
          </w:p>
        </w:tc>
        <w:tc>
          <w:tcPr>
            <w:tcW w:w="2558" w:type="dxa"/>
            <w:tcMar>
              <w:top w:w="30" w:type="dxa"/>
              <w:left w:w="45" w:type="dxa"/>
              <w:bottom w:w="30" w:type="dxa"/>
              <w:right w:w="45" w:type="dxa"/>
            </w:tcMar>
            <w:vAlign w:val="bottom"/>
            <w:hideMark/>
          </w:tcPr>
          <w:p w14:paraId="27A14C37"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Supports Primark Cares</w:t>
            </w:r>
          </w:p>
        </w:tc>
        <w:tc>
          <w:tcPr>
            <w:tcW w:w="2070" w:type="dxa"/>
            <w:tcMar>
              <w:top w:w="30" w:type="dxa"/>
              <w:left w:w="45" w:type="dxa"/>
              <w:bottom w:w="30" w:type="dxa"/>
              <w:right w:w="45" w:type="dxa"/>
            </w:tcMar>
            <w:vAlign w:val="bottom"/>
            <w:hideMark/>
          </w:tcPr>
          <w:p w14:paraId="71F5AD26"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Greater reporting obligations</w:t>
            </w:r>
          </w:p>
        </w:tc>
        <w:tc>
          <w:tcPr>
            <w:tcW w:w="2325" w:type="dxa"/>
            <w:tcMar>
              <w:top w:w="30" w:type="dxa"/>
              <w:left w:w="45" w:type="dxa"/>
              <w:bottom w:w="30" w:type="dxa"/>
              <w:right w:w="45" w:type="dxa"/>
            </w:tcMar>
            <w:vAlign w:val="bottom"/>
            <w:hideMark/>
          </w:tcPr>
          <w:p w14:paraId="79007C78"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Positive</w:t>
            </w:r>
          </w:p>
        </w:tc>
      </w:tr>
    </w:tbl>
    <w:p w14:paraId="6D06CC99"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i/>
          <w:iCs/>
          <w:sz w:val="24"/>
          <w:lang w:val="en-US"/>
        </w:rPr>
        <w:t xml:space="preserve">Source: Collinson, Narula and Rugman (2020); Zlatev (2025); </w:t>
      </w:r>
      <w:proofErr w:type="spellStart"/>
      <w:r w:rsidRPr="00CD0345">
        <w:rPr>
          <w:rFonts w:ascii="Arial" w:hAnsi="Arial" w:cs="Arial"/>
          <w:i/>
          <w:iCs/>
          <w:sz w:val="24"/>
          <w:lang w:val="en-US"/>
        </w:rPr>
        <w:t>Chemsripong</w:t>
      </w:r>
      <w:proofErr w:type="spellEnd"/>
      <w:r w:rsidRPr="00CD0345">
        <w:rPr>
          <w:rFonts w:ascii="Arial" w:hAnsi="Arial" w:cs="Arial"/>
          <w:i/>
          <w:iCs/>
          <w:sz w:val="24"/>
          <w:lang w:val="en-US"/>
        </w:rPr>
        <w:t xml:space="preserve"> (2023).</w:t>
      </w:r>
    </w:p>
    <w:p w14:paraId="38E40511" w14:textId="77777777" w:rsidR="00450CAE" w:rsidRPr="00CD0345" w:rsidRDefault="00450CAE" w:rsidP="00450CAE">
      <w:pPr>
        <w:spacing w:after="0" w:line="360" w:lineRule="auto"/>
        <w:jc w:val="both"/>
        <w:rPr>
          <w:rFonts w:ascii="Arial" w:hAnsi="Arial" w:cs="Arial"/>
          <w:b/>
          <w:bCs/>
          <w:sz w:val="24"/>
          <w:lang w:val="en-US"/>
        </w:rPr>
      </w:pPr>
      <w:r w:rsidRPr="00CD0345">
        <w:rPr>
          <w:rFonts w:ascii="Arial" w:hAnsi="Arial" w:cs="Arial"/>
          <w:b/>
          <w:bCs/>
          <w:sz w:val="24"/>
          <w:lang w:val="en-US"/>
        </w:rPr>
        <w:t>Economic Factors</w:t>
      </w:r>
    </w:p>
    <w:p w14:paraId="1EA31DD7" w14:textId="3516FFE1"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With the relatively high household income and stable consumer spending, Canada still boasts of one of the stable developed economies around the world with the stable GDP growth. The purchasing power is </w:t>
      </w:r>
      <w:r w:rsidR="00ED4D1E" w:rsidRPr="00F77EFF">
        <w:rPr>
          <w:rFonts w:ascii="Arial" w:hAnsi="Arial" w:cs="Arial"/>
          <w:sz w:val="24"/>
          <w:lang w:val="en-US"/>
        </w:rPr>
        <w:t>favorable</w:t>
      </w:r>
      <w:r w:rsidRPr="00F77EFF">
        <w:rPr>
          <w:rFonts w:ascii="Arial" w:hAnsi="Arial" w:cs="Arial"/>
          <w:sz w:val="24"/>
          <w:lang w:val="en-US"/>
        </w:rPr>
        <w:t>, which means that the coming international retailers will enter the market (</w:t>
      </w:r>
      <w:proofErr w:type="spellStart"/>
      <w:r w:rsidRPr="00F77EFF">
        <w:rPr>
          <w:rFonts w:ascii="Arial" w:hAnsi="Arial" w:cs="Arial"/>
          <w:sz w:val="24"/>
          <w:lang w:val="en-US"/>
        </w:rPr>
        <w:t>Rahmanifar</w:t>
      </w:r>
      <w:proofErr w:type="spellEnd"/>
      <w:r w:rsidRPr="00F77EFF">
        <w:rPr>
          <w:rFonts w:ascii="Arial" w:hAnsi="Arial" w:cs="Arial"/>
          <w:sz w:val="24"/>
          <w:lang w:val="en-US"/>
        </w:rPr>
        <w:t>, 2024). Unlike with the luxury brands, value positioning is particularly attractive to the middle and low-income customers who buy cheap fashion at Primark, so that it targets individuals with low finances.</w:t>
      </w:r>
    </w:p>
    <w:p w14:paraId="72BC9193"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The most recent inflation has made the cost of living across Canada to be higher. There has been an increase in food, housing and utility costs which have motivated consumers to be price conscious. This change is beneficial to the discerning fashion retailers since the consumers are more preoccupied with high quality products at cheaper price instead of luxury brands (</w:t>
      </w:r>
      <w:proofErr w:type="spellStart"/>
      <w:r w:rsidRPr="00F77EFF">
        <w:rPr>
          <w:rFonts w:ascii="Arial" w:hAnsi="Arial" w:cs="Arial"/>
          <w:sz w:val="24"/>
          <w:lang w:val="en-US"/>
        </w:rPr>
        <w:t>Nyamboga</w:t>
      </w:r>
      <w:proofErr w:type="spellEnd"/>
      <w:r w:rsidRPr="00F77EFF">
        <w:rPr>
          <w:rFonts w:ascii="Arial" w:hAnsi="Arial" w:cs="Arial"/>
          <w:sz w:val="24"/>
          <w:lang w:val="en-US"/>
        </w:rPr>
        <w:t>, 2024).</w:t>
      </w:r>
    </w:p>
    <w:p w14:paraId="4729B7C0"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Primark has an even greater opportunity since Canada has a relatively high disposable income. Bargaining power of consumers is also high and simultaneously consumers are inflationary sensitive. Primark cost leadership strategy is therefore a highly good value, in that it involves low prices and fashionable clothes (Collinson, Narula and Rugman, 2020).</w:t>
      </w:r>
    </w:p>
    <w:p w14:paraId="267B2AA0" w14:textId="77777777" w:rsidR="00F77EFF" w:rsidRPr="00F77EFF" w:rsidRDefault="00F77EFF" w:rsidP="00F77EFF">
      <w:pPr>
        <w:spacing w:after="0" w:line="360" w:lineRule="auto"/>
        <w:jc w:val="both"/>
        <w:rPr>
          <w:rFonts w:ascii="Arial" w:hAnsi="Arial" w:cs="Arial"/>
          <w:sz w:val="24"/>
          <w:lang w:val="en-US"/>
        </w:rPr>
      </w:pPr>
      <w:r w:rsidRPr="00F77EFF">
        <w:rPr>
          <w:rFonts w:ascii="Arial" w:hAnsi="Arial" w:cs="Arial"/>
          <w:sz w:val="24"/>
          <w:lang w:val="en-US"/>
        </w:rPr>
        <w:t>Retail expansion is also subject to significant cost issues, however. The most expensive at big cities such as the greater Toronto area (GTA) and Vancouver are housing prices and rents. Location selection and heavy capital investment make the creation of the desired large-format stores of Primark therefore a complex task (</w:t>
      </w:r>
      <w:proofErr w:type="spellStart"/>
      <w:r w:rsidRPr="00F77EFF">
        <w:rPr>
          <w:rFonts w:ascii="Arial" w:hAnsi="Arial" w:cs="Arial"/>
          <w:sz w:val="24"/>
          <w:lang w:val="en-US"/>
        </w:rPr>
        <w:t>Kardes</w:t>
      </w:r>
      <w:proofErr w:type="spellEnd"/>
      <w:r w:rsidRPr="00F77EFF">
        <w:rPr>
          <w:rFonts w:ascii="Arial" w:hAnsi="Arial" w:cs="Arial"/>
          <w:sz w:val="24"/>
          <w:lang w:val="en-US"/>
        </w:rPr>
        <w:t xml:space="preserve"> et al., 2024).</w:t>
      </w:r>
    </w:p>
    <w:p w14:paraId="5E1F08DA" w14:textId="4E46CA8D" w:rsidR="00450CAE" w:rsidRPr="00CD0345" w:rsidRDefault="00F77EFF" w:rsidP="00F77EFF">
      <w:pPr>
        <w:spacing w:after="0" w:line="360" w:lineRule="auto"/>
        <w:jc w:val="both"/>
        <w:rPr>
          <w:rFonts w:ascii="Arial" w:hAnsi="Arial" w:cs="Arial"/>
          <w:sz w:val="24"/>
          <w:lang w:val="en-US"/>
        </w:rPr>
      </w:pPr>
      <w:r w:rsidRPr="00F77EFF">
        <w:rPr>
          <w:rFonts w:ascii="Arial" w:hAnsi="Arial" w:cs="Arial"/>
          <w:sz w:val="24"/>
          <w:lang w:val="en-US"/>
        </w:rPr>
        <w:t xml:space="preserve">Although such costs are associated, the high density of urban population offers good customer traffic in Canada that can support high volume of retail operations. The flagship stores are commercially viable since the big shopping </w:t>
      </w:r>
      <w:r w:rsidR="00ED4D1E" w:rsidRPr="00F77EFF">
        <w:rPr>
          <w:rFonts w:ascii="Arial" w:hAnsi="Arial" w:cs="Arial"/>
          <w:sz w:val="24"/>
          <w:lang w:val="en-US"/>
        </w:rPr>
        <w:t>centers</w:t>
      </w:r>
      <w:r w:rsidRPr="00F77EFF">
        <w:rPr>
          <w:rFonts w:ascii="Arial" w:hAnsi="Arial" w:cs="Arial"/>
          <w:sz w:val="24"/>
          <w:lang w:val="en-US"/>
        </w:rPr>
        <w:t xml:space="preserve"> in Toronto, Vancouver and Montreal attract a considerable number of consumers, should they be supported by appropriate market entry planning then (Zhou, Gomes and Vendrell-Herrero, 2025).</w:t>
      </w:r>
    </w:p>
    <w:p w14:paraId="67A36D08" w14:textId="77777777" w:rsidR="00C776FD" w:rsidRPr="00CD0345" w:rsidRDefault="00D0674B" w:rsidP="00C776FD">
      <w:pPr>
        <w:spacing w:after="0" w:line="360" w:lineRule="auto"/>
        <w:jc w:val="center"/>
        <w:rPr>
          <w:rFonts w:ascii="Arial" w:hAnsi="Arial" w:cs="Arial"/>
          <w:sz w:val="24"/>
          <w:lang w:val="en-US"/>
        </w:rPr>
      </w:pPr>
      <w:r w:rsidRPr="00D0674B">
        <w:rPr>
          <w:rFonts w:ascii="Arial" w:hAnsi="Arial" w:cs="Arial"/>
          <w:noProof/>
          <w:sz w:val="24"/>
          <w:lang w:val="en-US"/>
        </w:rPr>
        <w:drawing>
          <wp:inline distT="0" distB="0" distL="0" distR="0" wp14:anchorId="7CE85161" wp14:editId="7786EA13">
            <wp:extent cx="5943600" cy="2104794"/>
            <wp:effectExtent l="0" t="0" r="0" b="0"/>
            <wp:docPr id="1" name="Picture 1" descr="C:\Users\DELL\AppData\Local\Packages\Microsoft.Paint_8wekyb3d8bbwe\TempState\primark_canada_mark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Packages\Microsoft.Paint_8wekyb3d8bbwe\TempState\primark_canada_marke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104794"/>
                    </a:xfrm>
                    <a:prstGeom prst="rect">
                      <a:avLst/>
                    </a:prstGeom>
                    <a:noFill/>
                    <a:ln>
                      <a:noFill/>
                    </a:ln>
                  </pic:spPr>
                </pic:pic>
              </a:graphicData>
            </a:graphic>
          </wp:inline>
        </w:drawing>
      </w:r>
    </w:p>
    <w:p w14:paraId="039AC3F2" w14:textId="77777777" w:rsidR="00450CAE" w:rsidRPr="00D0674B" w:rsidRDefault="00450CAE" w:rsidP="00D0674B">
      <w:pPr>
        <w:spacing w:after="0" w:line="240" w:lineRule="auto"/>
        <w:jc w:val="center"/>
        <w:rPr>
          <w:rFonts w:ascii="Arial" w:hAnsi="Arial" w:cs="Arial"/>
          <w:i/>
          <w:sz w:val="20"/>
          <w:lang w:val="en-US"/>
        </w:rPr>
      </w:pPr>
      <w:r w:rsidRPr="00D0674B">
        <w:rPr>
          <w:rFonts w:ascii="Arial" w:hAnsi="Arial" w:cs="Arial"/>
          <w:b/>
          <w:bCs/>
          <w:i/>
          <w:sz w:val="20"/>
          <w:lang w:val="en-US"/>
        </w:rPr>
        <w:t>Figure 1: Canada's Retail Market Opportunity for Primark</w:t>
      </w:r>
    </w:p>
    <w:p w14:paraId="635BCDF0" w14:textId="77777777" w:rsidR="00450CAE" w:rsidRPr="00D0674B" w:rsidRDefault="00450CAE" w:rsidP="00D0674B">
      <w:pPr>
        <w:spacing w:after="0" w:line="240" w:lineRule="auto"/>
        <w:jc w:val="center"/>
        <w:rPr>
          <w:rFonts w:ascii="Arial" w:hAnsi="Arial" w:cs="Arial"/>
          <w:i/>
          <w:sz w:val="20"/>
          <w:lang w:val="en-US"/>
        </w:rPr>
      </w:pPr>
      <w:r w:rsidRPr="00D0674B">
        <w:rPr>
          <w:rFonts w:ascii="Arial" w:hAnsi="Arial" w:cs="Arial"/>
          <w:i/>
          <w:iCs/>
          <w:sz w:val="20"/>
          <w:lang w:val="en-US"/>
        </w:rPr>
        <w:t xml:space="preserve">Source: </w:t>
      </w:r>
      <w:proofErr w:type="spellStart"/>
      <w:r w:rsidRPr="00D0674B">
        <w:rPr>
          <w:rFonts w:ascii="Arial" w:hAnsi="Arial" w:cs="Arial"/>
          <w:i/>
          <w:iCs/>
          <w:sz w:val="20"/>
          <w:lang w:val="en-US"/>
        </w:rPr>
        <w:t>Rahmanifar</w:t>
      </w:r>
      <w:proofErr w:type="spellEnd"/>
      <w:r w:rsidRPr="00D0674B">
        <w:rPr>
          <w:rFonts w:ascii="Arial" w:hAnsi="Arial" w:cs="Arial"/>
          <w:i/>
          <w:iCs/>
          <w:sz w:val="20"/>
          <w:lang w:val="en-US"/>
        </w:rPr>
        <w:t xml:space="preserve"> (2024); </w:t>
      </w:r>
      <w:proofErr w:type="spellStart"/>
      <w:r w:rsidRPr="00D0674B">
        <w:rPr>
          <w:rFonts w:ascii="Arial" w:hAnsi="Arial" w:cs="Arial"/>
          <w:i/>
          <w:iCs/>
          <w:sz w:val="20"/>
          <w:lang w:val="en-US"/>
        </w:rPr>
        <w:t>Kardes</w:t>
      </w:r>
      <w:proofErr w:type="spellEnd"/>
      <w:r w:rsidRPr="00D0674B">
        <w:rPr>
          <w:rFonts w:ascii="Arial" w:hAnsi="Arial" w:cs="Arial"/>
          <w:i/>
          <w:iCs/>
          <w:sz w:val="20"/>
          <w:lang w:val="en-US"/>
        </w:rPr>
        <w:t xml:space="preserve"> et al. (2024).</w:t>
      </w:r>
    </w:p>
    <w:p w14:paraId="53F864C6" w14:textId="77777777" w:rsidR="00D0674B" w:rsidRDefault="00D0674B" w:rsidP="00450CAE">
      <w:pPr>
        <w:spacing w:after="0" w:line="360" w:lineRule="auto"/>
        <w:jc w:val="both"/>
        <w:rPr>
          <w:rFonts w:ascii="Arial" w:hAnsi="Arial" w:cs="Arial"/>
          <w:sz w:val="24"/>
          <w:lang w:val="en-US"/>
        </w:rPr>
      </w:pPr>
    </w:p>
    <w:p w14:paraId="7B3EF20B" w14:textId="77777777" w:rsidR="00296DCE" w:rsidRPr="00296DCE" w:rsidRDefault="00450CAE" w:rsidP="00296DCE">
      <w:pPr>
        <w:spacing w:after="0" w:line="360" w:lineRule="auto"/>
        <w:jc w:val="both"/>
        <w:rPr>
          <w:rFonts w:ascii="Arial" w:hAnsi="Arial" w:cs="Arial"/>
          <w:sz w:val="24"/>
          <w:lang w:val="en-US"/>
        </w:rPr>
      </w:pPr>
      <w:r w:rsidRPr="00CD0345">
        <w:rPr>
          <w:rFonts w:ascii="Arial" w:hAnsi="Arial" w:cs="Arial"/>
          <w:sz w:val="24"/>
          <w:lang w:val="en-US"/>
        </w:rPr>
        <w:t xml:space="preserve">Overall, </w:t>
      </w:r>
      <w:r w:rsidR="00296DCE">
        <w:rPr>
          <w:rFonts w:ascii="Arial" w:hAnsi="Arial" w:cs="Arial"/>
          <w:sz w:val="24"/>
          <w:lang w:val="en-US"/>
        </w:rPr>
        <w:t>t</w:t>
      </w:r>
      <w:r w:rsidR="00296DCE" w:rsidRPr="00296DCE">
        <w:rPr>
          <w:rFonts w:ascii="Arial" w:hAnsi="Arial" w:cs="Arial"/>
          <w:sz w:val="24"/>
          <w:lang w:val="en-US"/>
        </w:rPr>
        <w:t>here are more opportunities than threats in the economic environment of Canada. The rising costs of real estate drive up the requirements of investing in the targeted industry, and the high purchasing powers of consumers, as well as the demands of low-end fashion products, provide Primark with positive opportunities to expand in the long term (Mabitsela, 2021; Zlatev, 2025).</w:t>
      </w:r>
    </w:p>
    <w:p w14:paraId="38D88256" w14:textId="77777777" w:rsidR="00296DCE" w:rsidRPr="00CD0345" w:rsidRDefault="00296DCE" w:rsidP="00296DCE">
      <w:pPr>
        <w:spacing w:after="0" w:line="360" w:lineRule="auto"/>
        <w:jc w:val="both"/>
        <w:rPr>
          <w:rFonts w:ascii="Arial" w:hAnsi="Arial" w:cs="Arial"/>
          <w:b/>
          <w:bCs/>
          <w:sz w:val="24"/>
          <w:lang w:val="en-US"/>
        </w:rPr>
      </w:pPr>
      <w:r w:rsidRPr="00CD0345">
        <w:rPr>
          <w:rFonts w:ascii="Arial" w:hAnsi="Arial" w:cs="Arial"/>
          <w:b/>
          <w:bCs/>
          <w:sz w:val="24"/>
          <w:lang w:val="en-US"/>
        </w:rPr>
        <w:t>Socio-Cultural and Industry Factors</w:t>
      </w:r>
    </w:p>
    <w:p w14:paraId="650CFE46"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Canadian consumers are becoming ever more demanding that the retailers must provide affordability and sustainability. Customers are still sensitive on the price owing to inflation although their focus has shifted towards ethical sourcing, product durability and environment friendliness. It is an appropriate direction to the low prices of products of Primark and helps to encourage the consecutive evolution of the Primark Cares sustainability </w:t>
      </w:r>
      <w:proofErr w:type="spellStart"/>
      <w:r w:rsidRPr="00296DCE">
        <w:rPr>
          <w:rFonts w:ascii="Arial" w:hAnsi="Arial" w:cs="Arial"/>
          <w:sz w:val="24"/>
          <w:lang w:val="en-US"/>
        </w:rPr>
        <w:t>programme</w:t>
      </w:r>
      <w:proofErr w:type="spellEnd"/>
      <w:r w:rsidRPr="00296DCE">
        <w:rPr>
          <w:rFonts w:ascii="Arial" w:hAnsi="Arial" w:cs="Arial"/>
          <w:sz w:val="24"/>
          <w:lang w:val="en-US"/>
        </w:rPr>
        <w:t xml:space="preserve"> (Carr and Leknes, 2020).</w:t>
      </w:r>
    </w:p>
    <w:p w14:paraId="3E83A5E3"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Canada has very stiff competition in fashion. The structural players such as H&amp;M, Zara and Old Navy already possess an established brand, they have already established their supply chains, and have a base of loyal customers. These competitors offer low fares aside from strong digital capabilities, which is a colossal obstacle to access by overseas retailers (Nabilah, 2025; Clemente Fernandez-Picazo, 2023).</w:t>
      </w:r>
    </w:p>
    <w:p w14:paraId="5B7FC2DD"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Ultra-low pricing, huge product selections and high volume physical outlets are the ways by which Primark can be distinguished. It also has low operating costs as it has low marketing expenditure compared to many of its competitors. However, the price battle may fail to provide longevity because the Canadian customers are becoming more demanding in regard to convenience besides being cost-effective (Carr and Leknes, 2020).</w:t>
      </w:r>
    </w:p>
    <w:p w14:paraId="4F638A7A"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Primark has a brick-and-mortar business as its largest socio-cultural issue. Canadian customers are used to the omnichannel of retailing, where online shopping, mobile apps and brick-and-mortar stores are interconnected. Primark may lose some of its convenience and competitiveness to online integrated retailers as a result of not fully incorporating e-commerce (Alon, </w:t>
      </w:r>
      <w:proofErr w:type="spellStart"/>
      <w:r w:rsidRPr="00296DCE">
        <w:rPr>
          <w:rFonts w:ascii="Arial" w:hAnsi="Arial" w:cs="Arial"/>
          <w:sz w:val="24"/>
          <w:lang w:val="en-US"/>
        </w:rPr>
        <w:t>Apriliyanti</w:t>
      </w:r>
      <w:proofErr w:type="spellEnd"/>
      <w:r w:rsidRPr="00296DCE">
        <w:rPr>
          <w:rFonts w:ascii="Arial" w:hAnsi="Arial" w:cs="Arial"/>
          <w:sz w:val="24"/>
          <w:lang w:val="en-US"/>
        </w:rPr>
        <w:t xml:space="preserve"> and Henríquez Parodi, 2021).</w:t>
      </w:r>
    </w:p>
    <w:p w14:paraId="38C43D44"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However, Primark has lately increased online activities by allowing customers to browse and collect their products online in specific markets. This is no big scale online retailing but a sign of slow adaptation to new consumer demands. Primark would reduce strategic risk by minimizing the cost of its operations with the help of digital support, which has already been extended to Canada (Martin Alonso, 2026).</w:t>
      </w:r>
    </w:p>
    <w:p w14:paraId="5B6F3677" w14:textId="6FC7A756" w:rsidR="00450CAE" w:rsidRPr="00CD0345"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The failure of several retailers in the world, including Target Canada, demonstrates that penetrating the market needs more than brand awareness. It requires appropriate pricing, efficient supply chain and appropriate store location and good knowledge in local consumer </w:t>
      </w:r>
      <w:r w:rsidR="00ED4D1E" w:rsidRPr="00296DCE">
        <w:rPr>
          <w:rFonts w:ascii="Arial" w:hAnsi="Arial" w:cs="Arial"/>
          <w:sz w:val="24"/>
          <w:lang w:val="en-US"/>
        </w:rPr>
        <w:t>behavior</w:t>
      </w:r>
      <w:r w:rsidRPr="00296DCE">
        <w:rPr>
          <w:rFonts w:ascii="Arial" w:hAnsi="Arial" w:cs="Arial"/>
          <w:sz w:val="24"/>
          <w:lang w:val="en-US"/>
        </w:rPr>
        <w:t xml:space="preserve"> to perform. Primark can minimize these risks by learning about past retailing flops and copying the chosen operational behaviors to the Canadian market conditions (Zervas, 2023).</w:t>
      </w:r>
    </w:p>
    <w:p w14:paraId="54894820"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b/>
          <w:bCs/>
          <w:sz w:val="24"/>
          <w:lang w:val="en-US"/>
        </w:rPr>
        <w:t>Table 3: Socio-Cultural and Industry Assessment</w:t>
      </w:r>
    </w:p>
    <w:tbl>
      <w:tblPr>
        <w:tblW w:w="933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2265"/>
        <w:gridCol w:w="2400"/>
        <w:gridCol w:w="2520"/>
        <w:gridCol w:w="2145"/>
      </w:tblGrid>
      <w:tr w:rsidR="00D0674B" w:rsidRPr="00D0674B" w14:paraId="3EF60696" w14:textId="77777777" w:rsidTr="006F13DE">
        <w:trPr>
          <w:trHeight w:val="315"/>
        </w:trPr>
        <w:tc>
          <w:tcPr>
            <w:tcW w:w="0" w:type="auto"/>
            <w:shd w:val="clear" w:color="auto" w:fill="20462C"/>
            <w:tcMar>
              <w:top w:w="30" w:type="dxa"/>
              <w:left w:w="45" w:type="dxa"/>
              <w:bottom w:w="30" w:type="dxa"/>
              <w:right w:w="45" w:type="dxa"/>
            </w:tcMar>
            <w:vAlign w:val="bottom"/>
            <w:hideMark/>
          </w:tcPr>
          <w:p w14:paraId="31A0C5BF"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Factor</w:t>
            </w:r>
          </w:p>
        </w:tc>
        <w:tc>
          <w:tcPr>
            <w:tcW w:w="2400" w:type="dxa"/>
            <w:shd w:val="clear" w:color="auto" w:fill="20462C"/>
            <w:tcMar>
              <w:top w:w="30" w:type="dxa"/>
              <w:left w:w="45" w:type="dxa"/>
              <w:bottom w:w="30" w:type="dxa"/>
              <w:right w:w="45" w:type="dxa"/>
            </w:tcMar>
            <w:vAlign w:val="bottom"/>
            <w:hideMark/>
          </w:tcPr>
          <w:p w14:paraId="7FCF0D38"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Opportunity</w:t>
            </w:r>
          </w:p>
        </w:tc>
        <w:tc>
          <w:tcPr>
            <w:tcW w:w="2520" w:type="dxa"/>
            <w:shd w:val="clear" w:color="auto" w:fill="20462C"/>
            <w:tcMar>
              <w:top w:w="30" w:type="dxa"/>
              <w:left w:w="45" w:type="dxa"/>
              <w:bottom w:w="30" w:type="dxa"/>
              <w:right w:w="45" w:type="dxa"/>
            </w:tcMar>
            <w:vAlign w:val="bottom"/>
            <w:hideMark/>
          </w:tcPr>
          <w:p w14:paraId="453B1F92"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Challenge</w:t>
            </w:r>
          </w:p>
        </w:tc>
        <w:tc>
          <w:tcPr>
            <w:tcW w:w="2145" w:type="dxa"/>
            <w:shd w:val="clear" w:color="auto" w:fill="20462C"/>
            <w:tcMar>
              <w:top w:w="30" w:type="dxa"/>
              <w:left w:w="45" w:type="dxa"/>
              <w:bottom w:w="30" w:type="dxa"/>
              <w:right w:w="45" w:type="dxa"/>
            </w:tcMar>
            <w:vAlign w:val="bottom"/>
            <w:hideMark/>
          </w:tcPr>
          <w:p w14:paraId="0836F231" w14:textId="77777777" w:rsidR="00D0674B" w:rsidRPr="00D0674B" w:rsidRDefault="00D0674B" w:rsidP="00D0674B">
            <w:pPr>
              <w:spacing w:after="0" w:line="360" w:lineRule="auto"/>
              <w:jc w:val="center"/>
              <w:rPr>
                <w:rFonts w:ascii="Arial" w:hAnsi="Arial" w:cs="Arial"/>
                <w:b/>
                <w:bCs/>
                <w:iCs/>
                <w:sz w:val="24"/>
                <w:lang w:val="en-US"/>
              </w:rPr>
            </w:pPr>
            <w:r w:rsidRPr="00D0674B">
              <w:rPr>
                <w:rFonts w:ascii="Arial" w:hAnsi="Arial" w:cs="Arial"/>
                <w:b/>
                <w:bCs/>
                <w:iCs/>
                <w:sz w:val="24"/>
                <w:lang w:val="en-US"/>
              </w:rPr>
              <w:t>Strategic Impact</w:t>
            </w:r>
          </w:p>
        </w:tc>
      </w:tr>
      <w:tr w:rsidR="00D0674B" w:rsidRPr="00D0674B" w14:paraId="58B88B1F" w14:textId="77777777" w:rsidTr="006F13DE">
        <w:trPr>
          <w:trHeight w:val="315"/>
        </w:trPr>
        <w:tc>
          <w:tcPr>
            <w:tcW w:w="0" w:type="auto"/>
            <w:tcMar>
              <w:top w:w="30" w:type="dxa"/>
              <w:left w:w="45" w:type="dxa"/>
              <w:bottom w:w="30" w:type="dxa"/>
              <w:right w:w="45" w:type="dxa"/>
            </w:tcMar>
            <w:vAlign w:val="bottom"/>
            <w:hideMark/>
          </w:tcPr>
          <w:p w14:paraId="7F677896"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Demand for value fashion</w:t>
            </w:r>
          </w:p>
        </w:tc>
        <w:tc>
          <w:tcPr>
            <w:tcW w:w="2400" w:type="dxa"/>
            <w:tcMar>
              <w:top w:w="30" w:type="dxa"/>
              <w:left w:w="45" w:type="dxa"/>
              <w:bottom w:w="30" w:type="dxa"/>
              <w:right w:w="45" w:type="dxa"/>
            </w:tcMar>
            <w:vAlign w:val="bottom"/>
            <w:hideMark/>
          </w:tcPr>
          <w:p w14:paraId="3F8A195D"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Strong</w:t>
            </w:r>
          </w:p>
        </w:tc>
        <w:tc>
          <w:tcPr>
            <w:tcW w:w="2520" w:type="dxa"/>
            <w:tcMar>
              <w:top w:w="30" w:type="dxa"/>
              <w:left w:w="45" w:type="dxa"/>
              <w:bottom w:w="30" w:type="dxa"/>
              <w:right w:w="45" w:type="dxa"/>
            </w:tcMar>
            <w:vAlign w:val="bottom"/>
            <w:hideMark/>
          </w:tcPr>
          <w:p w14:paraId="2FFBDCD4"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Price competition</w:t>
            </w:r>
          </w:p>
        </w:tc>
        <w:tc>
          <w:tcPr>
            <w:tcW w:w="2145" w:type="dxa"/>
            <w:tcMar>
              <w:top w:w="30" w:type="dxa"/>
              <w:left w:w="45" w:type="dxa"/>
              <w:bottom w:w="30" w:type="dxa"/>
              <w:right w:w="45" w:type="dxa"/>
            </w:tcMar>
            <w:vAlign w:val="bottom"/>
            <w:hideMark/>
          </w:tcPr>
          <w:p w14:paraId="6C5374E6"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High</w:t>
            </w:r>
          </w:p>
        </w:tc>
      </w:tr>
      <w:tr w:rsidR="00D0674B" w:rsidRPr="00D0674B" w14:paraId="707571BE" w14:textId="77777777" w:rsidTr="006F13DE">
        <w:trPr>
          <w:trHeight w:val="315"/>
        </w:trPr>
        <w:tc>
          <w:tcPr>
            <w:tcW w:w="0" w:type="auto"/>
            <w:tcMar>
              <w:top w:w="30" w:type="dxa"/>
              <w:left w:w="45" w:type="dxa"/>
              <w:bottom w:w="30" w:type="dxa"/>
              <w:right w:w="45" w:type="dxa"/>
            </w:tcMar>
            <w:vAlign w:val="bottom"/>
            <w:hideMark/>
          </w:tcPr>
          <w:p w14:paraId="3ABE0FE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Sustainability expectations</w:t>
            </w:r>
          </w:p>
        </w:tc>
        <w:tc>
          <w:tcPr>
            <w:tcW w:w="2400" w:type="dxa"/>
            <w:tcMar>
              <w:top w:w="30" w:type="dxa"/>
              <w:left w:w="45" w:type="dxa"/>
              <w:bottom w:w="30" w:type="dxa"/>
              <w:right w:w="45" w:type="dxa"/>
            </w:tcMar>
            <w:vAlign w:val="bottom"/>
            <w:hideMark/>
          </w:tcPr>
          <w:p w14:paraId="28761E57"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Supports Primark Cares</w:t>
            </w:r>
          </w:p>
        </w:tc>
        <w:tc>
          <w:tcPr>
            <w:tcW w:w="2520" w:type="dxa"/>
            <w:tcMar>
              <w:top w:w="30" w:type="dxa"/>
              <w:left w:w="45" w:type="dxa"/>
              <w:bottom w:w="30" w:type="dxa"/>
              <w:right w:w="45" w:type="dxa"/>
            </w:tcMar>
            <w:vAlign w:val="bottom"/>
            <w:hideMark/>
          </w:tcPr>
          <w:p w14:paraId="5676B344"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Greater consumer scrutiny</w:t>
            </w:r>
          </w:p>
        </w:tc>
        <w:tc>
          <w:tcPr>
            <w:tcW w:w="2145" w:type="dxa"/>
            <w:tcMar>
              <w:top w:w="30" w:type="dxa"/>
              <w:left w:w="45" w:type="dxa"/>
              <w:bottom w:w="30" w:type="dxa"/>
              <w:right w:w="45" w:type="dxa"/>
            </w:tcMar>
            <w:vAlign w:val="bottom"/>
            <w:hideMark/>
          </w:tcPr>
          <w:p w14:paraId="22C8125E"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Moderate</w:t>
            </w:r>
          </w:p>
        </w:tc>
      </w:tr>
      <w:tr w:rsidR="00D0674B" w:rsidRPr="00D0674B" w14:paraId="4ABEB043" w14:textId="77777777" w:rsidTr="006F13DE">
        <w:trPr>
          <w:trHeight w:val="315"/>
        </w:trPr>
        <w:tc>
          <w:tcPr>
            <w:tcW w:w="0" w:type="auto"/>
            <w:tcMar>
              <w:top w:w="30" w:type="dxa"/>
              <w:left w:w="45" w:type="dxa"/>
              <w:bottom w:w="30" w:type="dxa"/>
              <w:right w:w="45" w:type="dxa"/>
            </w:tcMar>
            <w:vAlign w:val="bottom"/>
            <w:hideMark/>
          </w:tcPr>
          <w:p w14:paraId="64997ECE"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Retail competition</w:t>
            </w:r>
          </w:p>
        </w:tc>
        <w:tc>
          <w:tcPr>
            <w:tcW w:w="2400" w:type="dxa"/>
            <w:tcMar>
              <w:top w:w="30" w:type="dxa"/>
              <w:left w:w="45" w:type="dxa"/>
              <w:bottom w:w="30" w:type="dxa"/>
              <w:right w:w="45" w:type="dxa"/>
            </w:tcMar>
            <w:vAlign w:val="bottom"/>
            <w:hideMark/>
          </w:tcPr>
          <w:p w14:paraId="6FA29D8B"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Large customer market</w:t>
            </w:r>
          </w:p>
        </w:tc>
        <w:tc>
          <w:tcPr>
            <w:tcW w:w="2520" w:type="dxa"/>
            <w:tcMar>
              <w:top w:w="30" w:type="dxa"/>
              <w:left w:w="45" w:type="dxa"/>
              <w:bottom w:w="30" w:type="dxa"/>
              <w:right w:w="45" w:type="dxa"/>
            </w:tcMar>
            <w:vAlign w:val="bottom"/>
            <w:hideMark/>
          </w:tcPr>
          <w:p w14:paraId="4C82CF3D"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H&amp;M, Zara and Old Navy dominance</w:t>
            </w:r>
          </w:p>
        </w:tc>
        <w:tc>
          <w:tcPr>
            <w:tcW w:w="2145" w:type="dxa"/>
            <w:tcMar>
              <w:top w:w="30" w:type="dxa"/>
              <w:left w:w="45" w:type="dxa"/>
              <w:bottom w:w="30" w:type="dxa"/>
              <w:right w:w="45" w:type="dxa"/>
            </w:tcMar>
            <w:vAlign w:val="bottom"/>
            <w:hideMark/>
          </w:tcPr>
          <w:p w14:paraId="515526C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High</w:t>
            </w:r>
          </w:p>
        </w:tc>
      </w:tr>
      <w:tr w:rsidR="00D0674B" w:rsidRPr="00D0674B" w14:paraId="66EEBC3D" w14:textId="77777777" w:rsidTr="006F13DE">
        <w:trPr>
          <w:trHeight w:val="315"/>
        </w:trPr>
        <w:tc>
          <w:tcPr>
            <w:tcW w:w="0" w:type="auto"/>
            <w:tcMar>
              <w:top w:w="30" w:type="dxa"/>
              <w:left w:w="45" w:type="dxa"/>
              <w:bottom w:w="30" w:type="dxa"/>
              <w:right w:w="45" w:type="dxa"/>
            </w:tcMar>
            <w:vAlign w:val="bottom"/>
            <w:hideMark/>
          </w:tcPr>
          <w:p w14:paraId="107CC4BF"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Digital shopping culture</w:t>
            </w:r>
          </w:p>
        </w:tc>
        <w:tc>
          <w:tcPr>
            <w:tcW w:w="2400" w:type="dxa"/>
            <w:tcMar>
              <w:top w:w="30" w:type="dxa"/>
              <w:left w:w="45" w:type="dxa"/>
              <w:bottom w:w="30" w:type="dxa"/>
              <w:right w:w="45" w:type="dxa"/>
            </w:tcMar>
            <w:vAlign w:val="bottom"/>
            <w:hideMark/>
          </w:tcPr>
          <w:p w14:paraId="1D949507"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Opportunity for digital development</w:t>
            </w:r>
          </w:p>
        </w:tc>
        <w:tc>
          <w:tcPr>
            <w:tcW w:w="2520" w:type="dxa"/>
            <w:tcMar>
              <w:top w:w="30" w:type="dxa"/>
              <w:left w:w="45" w:type="dxa"/>
              <w:bottom w:w="30" w:type="dxa"/>
              <w:right w:w="45" w:type="dxa"/>
            </w:tcMar>
            <w:vAlign w:val="bottom"/>
            <w:hideMark/>
          </w:tcPr>
          <w:p w14:paraId="6825E583"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Weak e-commerce capability</w:t>
            </w:r>
          </w:p>
        </w:tc>
        <w:tc>
          <w:tcPr>
            <w:tcW w:w="2145" w:type="dxa"/>
            <w:tcMar>
              <w:top w:w="30" w:type="dxa"/>
              <w:left w:w="45" w:type="dxa"/>
              <w:bottom w:w="30" w:type="dxa"/>
              <w:right w:w="45" w:type="dxa"/>
            </w:tcMar>
            <w:vAlign w:val="bottom"/>
            <w:hideMark/>
          </w:tcPr>
          <w:p w14:paraId="10E2C6BB" w14:textId="77777777" w:rsidR="00D0674B" w:rsidRPr="00D0674B" w:rsidRDefault="00D0674B" w:rsidP="00D0674B">
            <w:pPr>
              <w:spacing w:after="0" w:line="360" w:lineRule="auto"/>
              <w:jc w:val="center"/>
              <w:rPr>
                <w:rFonts w:ascii="Arial" w:hAnsi="Arial" w:cs="Arial"/>
                <w:iCs/>
                <w:sz w:val="24"/>
                <w:lang w:val="en-US"/>
              </w:rPr>
            </w:pPr>
            <w:r w:rsidRPr="00D0674B">
              <w:rPr>
                <w:rFonts w:ascii="Arial" w:hAnsi="Arial" w:cs="Arial"/>
                <w:iCs/>
                <w:sz w:val="24"/>
                <w:lang w:val="en-US"/>
              </w:rPr>
              <w:t>High</w:t>
            </w:r>
          </w:p>
        </w:tc>
      </w:tr>
    </w:tbl>
    <w:p w14:paraId="6FB854DC"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i/>
          <w:iCs/>
          <w:sz w:val="24"/>
          <w:lang w:val="en-US"/>
        </w:rPr>
        <w:t xml:space="preserve">Source: Carr and Leknes (2020); Alon, </w:t>
      </w:r>
      <w:proofErr w:type="spellStart"/>
      <w:r w:rsidRPr="00CD0345">
        <w:rPr>
          <w:rFonts w:ascii="Arial" w:hAnsi="Arial" w:cs="Arial"/>
          <w:i/>
          <w:iCs/>
          <w:sz w:val="24"/>
          <w:lang w:val="en-US"/>
        </w:rPr>
        <w:t>Apriliyanti</w:t>
      </w:r>
      <w:proofErr w:type="spellEnd"/>
      <w:r w:rsidRPr="00CD0345">
        <w:rPr>
          <w:rFonts w:ascii="Arial" w:hAnsi="Arial" w:cs="Arial"/>
          <w:i/>
          <w:iCs/>
          <w:sz w:val="24"/>
          <w:lang w:val="en-US"/>
        </w:rPr>
        <w:t xml:space="preserve"> and Henríquez Parodi (2021); Zervas (2023).</w:t>
      </w:r>
    </w:p>
    <w:p w14:paraId="0D9C80EC" w14:textId="77777777" w:rsidR="00296DCE" w:rsidRPr="00296DCE" w:rsidRDefault="00450CAE" w:rsidP="00296DCE">
      <w:pPr>
        <w:spacing w:after="0" w:line="360" w:lineRule="auto"/>
        <w:jc w:val="both"/>
        <w:rPr>
          <w:rFonts w:ascii="Arial" w:hAnsi="Arial" w:cs="Arial"/>
          <w:sz w:val="24"/>
          <w:lang w:val="en-US"/>
        </w:rPr>
      </w:pPr>
      <w:r w:rsidRPr="00CD0345">
        <w:rPr>
          <w:rFonts w:ascii="Arial" w:hAnsi="Arial" w:cs="Arial"/>
          <w:sz w:val="24"/>
          <w:lang w:val="en-US"/>
        </w:rPr>
        <w:t xml:space="preserve">Overall, </w:t>
      </w:r>
      <w:r w:rsidR="00296DCE">
        <w:rPr>
          <w:rFonts w:ascii="Arial" w:hAnsi="Arial" w:cs="Arial"/>
          <w:sz w:val="24"/>
          <w:lang w:val="en-US"/>
        </w:rPr>
        <w:t>Canada enjoys good socio-</w:t>
      </w:r>
      <w:r w:rsidR="00296DCE" w:rsidRPr="00296DCE">
        <w:rPr>
          <w:rFonts w:ascii="Arial" w:hAnsi="Arial" w:cs="Arial"/>
          <w:sz w:val="24"/>
          <w:lang w:val="en-US"/>
        </w:rPr>
        <w:t>cultural environment which has tremendous potential to grow, but it should be tailored at the strategic level. The value-based positioning is an opportunity to Primark since it suits the current consumer demand, yet a weakness is the absence of digital capacity, which is a disadvantage in competition. A more hybrid solution involving cost leadership and increased digital support and sustainability would be a mile further in ensuring that Primark will be in a position to contend successfully in the two worlds of the mature Canadian retail landscape (Narula and Lee, 2020; John-Mariadoss, 2023).</w:t>
      </w:r>
    </w:p>
    <w:p w14:paraId="480AA118" w14:textId="77777777" w:rsidR="00296DCE" w:rsidRDefault="00296DCE" w:rsidP="00296DCE">
      <w:pPr>
        <w:pStyle w:val="Heading2"/>
        <w:rPr>
          <w:lang w:val="en-US"/>
        </w:rPr>
      </w:pPr>
      <w:bookmarkStart w:id="7" w:name="_Toc235800517"/>
      <w:r>
        <w:rPr>
          <w:lang w:val="en-US"/>
        </w:rPr>
        <w:t>2.2 Market Entry Synthesis: Dunning's OLI Paradigm</w:t>
      </w:r>
      <w:bookmarkEnd w:id="7"/>
    </w:p>
    <w:p w14:paraId="5AD2FADF" w14:textId="0C6FF22B"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Dunning states that the reason why MNEs select specific markets and entry modes is the Ownership-Location-</w:t>
      </w:r>
      <w:r w:rsidR="00ED4D1E" w:rsidRPr="00296DCE">
        <w:rPr>
          <w:rFonts w:ascii="Arial" w:hAnsi="Arial" w:cs="Arial"/>
          <w:sz w:val="24"/>
          <w:lang w:val="en-US"/>
        </w:rPr>
        <w:t>Internalization</w:t>
      </w:r>
      <w:r w:rsidRPr="00296DCE">
        <w:rPr>
          <w:rFonts w:ascii="Arial" w:hAnsi="Arial" w:cs="Arial"/>
          <w:sz w:val="24"/>
          <w:lang w:val="en-US"/>
        </w:rPr>
        <w:t xml:space="preserve"> (OLI) Paradigm. It considers the abilities of a company that have comparative advantage, host-country, and operational control in order to develop a sustainable competitive advantage. In the case of Primark, the factors justify the entry into Canada by foreign direct investment instead of contractual entry modes (Collinson, Narula and Rugman, 2020; </w:t>
      </w:r>
      <w:proofErr w:type="spellStart"/>
      <w:r w:rsidRPr="00296DCE">
        <w:rPr>
          <w:rFonts w:ascii="Arial" w:hAnsi="Arial" w:cs="Arial"/>
          <w:sz w:val="24"/>
          <w:lang w:val="en-US"/>
        </w:rPr>
        <w:t>Chemsripong</w:t>
      </w:r>
      <w:proofErr w:type="spellEnd"/>
      <w:r w:rsidRPr="00296DCE">
        <w:rPr>
          <w:rFonts w:ascii="Arial" w:hAnsi="Arial" w:cs="Arial"/>
          <w:sz w:val="24"/>
          <w:lang w:val="en-US"/>
        </w:rPr>
        <w:t>, 2023).</w:t>
      </w:r>
    </w:p>
    <w:p w14:paraId="6AEF1F17" w14:textId="77777777" w:rsidR="00296DCE" w:rsidRPr="00296DCE" w:rsidRDefault="00296DCE" w:rsidP="00296DCE">
      <w:pPr>
        <w:spacing w:after="0" w:line="360" w:lineRule="auto"/>
        <w:jc w:val="both"/>
        <w:rPr>
          <w:rFonts w:ascii="Arial" w:hAnsi="Arial" w:cs="Arial"/>
          <w:b/>
          <w:sz w:val="24"/>
          <w:lang w:val="en-US"/>
        </w:rPr>
      </w:pPr>
      <w:r w:rsidRPr="00296DCE">
        <w:rPr>
          <w:rFonts w:ascii="Arial" w:hAnsi="Arial" w:cs="Arial"/>
          <w:b/>
          <w:sz w:val="24"/>
          <w:lang w:val="en-US"/>
        </w:rPr>
        <w:t>Ownership Advantages (O)</w:t>
      </w:r>
    </w:p>
    <w:p w14:paraId="7288ACA3"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Ownership advantages are those resources that are unique, and can be used to improve global competitiveness of a firm. Primark has a number of strategic assets that complement its effort to grow to mature markets like Canada (Narula and Lee, 2020).</w:t>
      </w:r>
    </w:p>
    <w:p w14:paraId="0053F004"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Cost leadership is the key to ownership of Primark. The economies of scale generated through mass purchasing of suppliers in the long-term also leads to a reduction in the cost of production and enables the firm to provide pricing, which is affordable compared to its competitors (Beamish and Chakravarty, 2021).</w:t>
      </w:r>
    </w:p>
    <w:p w14:paraId="2F2B743D"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Another advantage of the company is the fast process of design to shelf, which responds to fashion trends quickly, better inventory control and decreased markdowns (Carr and Leknes, 2020).</w:t>
      </w:r>
    </w:p>
    <w:p w14:paraId="31171723" w14:textId="77777777" w:rsidR="00296DCE" w:rsidRPr="00296DCE" w:rsidRDefault="00296DCE" w:rsidP="00296DCE">
      <w:pPr>
        <w:spacing w:after="0" w:line="360" w:lineRule="auto"/>
        <w:jc w:val="both"/>
        <w:rPr>
          <w:rFonts w:ascii="Arial" w:hAnsi="Arial" w:cs="Arial"/>
          <w:sz w:val="24"/>
          <w:lang w:val="en-US"/>
        </w:rPr>
      </w:pPr>
      <w:proofErr w:type="spellStart"/>
      <w:r w:rsidRPr="00296DCE">
        <w:rPr>
          <w:rFonts w:ascii="Arial" w:hAnsi="Arial" w:cs="Arial"/>
          <w:sz w:val="24"/>
          <w:lang w:val="en-US"/>
        </w:rPr>
        <w:t>Primania</w:t>
      </w:r>
      <w:proofErr w:type="spellEnd"/>
      <w:r w:rsidRPr="00296DCE">
        <w:rPr>
          <w:rFonts w:ascii="Arial" w:hAnsi="Arial" w:cs="Arial"/>
          <w:sz w:val="24"/>
          <w:lang w:val="en-US"/>
        </w:rPr>
        <w:t xml:space="preserve"> is a powerful organic brand and enables Primark to evade use of paid advertisement. UGC fosters awareness and its low-cost approach (Martin Alonso, 2026).</w:t>
      </w:r>
    </w:p>
    <w:p w14:paraId="5DDF6CCF"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Supplier relationships also lead to increased sourcing reliability, efficiency of operations and ethical standards over the long term with the Primark Cares activities (Wahed, 2025).</w:t>
      </w:r>
    </w:p>
    <w:p w14:paraId="5F5E2BE5" w14:textId="77777777" w:rsidR="00450CAE" w:rsidRPr="00CD0345"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However, the competitors such as Zara and H&amp;M have stronger digitalization and reactivity of supply chain. Primark, therefore, needs to be innovative at the expense of leadership (John-Mariadoss, 2023; Ramani and </w:t>
      </w:r>
      <w:proofErr w:type="spellStart"/>
      <w:r w:rsidRPr="00296DCE">
        <w:rPr>
          <w:rFonts w:ascii="Arial" w:hAnsi="Arial" w:cs="Arial"/>
          <w:sz w:val="24"/>
          <w:lang w:val="en-US"/>
        </w:rPr>
        <w:t>Aguinis</w:t>
      </w:r>
      <w:proofErr w:type="spellEnd"/>
      <w:r w:rsidRPr="00296DCE">
        <w:rPr>
          <w:rFonts w:ascii="Arial" w:hAnsi="Arial" w:cs="Arial"/>
          <w:sz w:val="24"/>
          <w:lang w:val="en-US"/>
        </w:rPr>
        <w:t>, 2023).</w:t>
      </w:r>
    </w:p>
    <w:p w14:paraId="3AC6E335"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b/>
          <w:bCs/>
          <w:sz w:val="24"/>
          <w:lang w:val="en-US"/>
        </w:rPr>
        <w:t>Table 4: Primark's Ownership Advantages</w:t>
      </w:r>
    </w:p>
    <w:tbl>
      <w:tblPr>
        <w:tblW w:w="934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2955"/>
        <w:gridCol w:w="3240"/>
        <w:gridCol w:w="3150"/>
      </w:tblGrid>
      <w:tr w:rsidR="006F13DE" w:rsidRPr="006F13DE" w14:paraId="50060315" w14:textId="77777777" w:rsidTr="006F13DE">
        <w:trPr>
          <w:trHeight w:val="315"/>
        </w:trPr>
        <w:tc>
          <w:tcPr>
            <w:tcW w:w="2955" w:type="dxa"/>
            <w:shd w:val="clear" w:color="auto" w:fill="20462C"/>
            <w:tcMar>
              <w:top w:w="30" w:type="dxa"/>
              <w:left w:w="45" w:type="dxa"/>
              <w:bottom w:w="30" w:type="dxa"/>
              <w:right w:w="45" w:type="dxa"/>
            </w:tcMar>
            <w:vAlign w:val="bottom"/>
            <w:hideMark/>
          </w:tcPr>
          <w:p w14:paraId="7B073B1F"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Ownership Asset</w:t>
            </w:r>
          </w:p>
        </w:tc>
        <w:tc>
          <w:tcPr>
            <w:tcW w:w="3240" w:type="dxa"/>
            <w:shd w:val="clear" w:color="auto" w:fill="20462C"/>
            <w:tcMar>
              <w:top w:w="30" w:type="dxa"/>
              <w:left w:w="45" w:type="dxa"/>
              <w:bottom w:w="30" w:type="dxa"/>
              <w:right w:w="45" w:type="dxa"/>
            </w:tcMar>
            <w:vAlign w:val="bottom"/>
            <w:hideMark/>
          </w:tcPr>
          <w:p w14:paraId="5F74106B"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Strategic Benefit</w:t>
            </w:r>
          </w:p>
        </w:tc>
        <w:tc>
          <w:tcPr>
            <w:tcW w:w="3150" w:type="dxa"/>
            <w:shd w:val="clear" w:color="auto" w:fill="20462C"/>
            <w:tcMar>
              <w:top w:w="30" w:type="dxa"/>
              <w:left w:w="0" w:type="dxa"/>
              <w:bottom w:w="30" w:type="dxa"/>
              <w:right w:w="0" w:type="dxa"/>
            </w:tcMar>
            <w:vAlign w:val="bottom"/>
            <w:hideMark/>
          </w:tcPr>
          <w:p w14:paraId="02A6B1F7"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Competitive Impact</w:t>
            </w:r>
          </w:p>
        </w:tc>
      </w:tr>
      <w:tr w:rsidR="006F13DE" w:rsidRPr="006F13DE" w14:paraId="55136EDD" w14:textId="77777777" w:rsidTr="006F13DE">
        <w:trPr>
          <w:trHeight w:val="315"/>
        </w:trPr>
        <w:tc>
          <w:tcPr>
            <w:tcW w:w="2955" w:type="dxa"/>
            <w:tcMar>
              <w:top w:w="30" w:type="dxa"/>
              <w:left w:w="45" w:type="dxa"/>
              <w:bottom w:w="30" w:type="dxa"/>
              <w:right w:w="45" w:type="dxa"/>
            </w:tcMar>
            <w:vAlign w:val="bottom"/>
            <w:hideMark/>
          </w:tcPr>
          <w:p w14:paraId="11B118DF"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Economies of scale</w:t>
            </w:r>
          </w:p>
        </w:tc>
        <w:tc>
          <w:tcPr>
            <w:tcW w:w="3240" w:type="dxa"/>
            <w:tcMar>
              <w:top w:w="30" w:type="dxa"/>
              <w:left w:w="45" w:type="dxa"/>
              <w:bottom w:w="30" w:type="dxa"/>
              <w:right w:w="45" w:type="dxa"/>
            </w:tcMar>
            <w:vAlign w:val="bottom"/>
            <w:hideMark/>
          </w:tcPr>
          <w:p w14:paraId="5213DE21"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Lower production costs</w:t>
            </w:r>
          </w:p>
        </w:tc>
        <w:tc>
          <w:tcPr>
            <w:tcW w:w="3150" w:type="dxa"/>
            <w:tcMar>
              <w:top w:w="30" w:type="dxa"/>
              <w:left w:w="0" w:type="dxa"/>
              <w:bottom w:w="30" w:type="dxa"/>
              <w:right w:w="0" w:type="dxa"/>
            </w:tcMar>
            <w:vAlign w:val="bottom"/>
            <w:hideMark/>
          </w:tcPr>
          <w:p w14:paraId="5F3D7DE4"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Strong cost leadership</w:t>
            </w:r>
          </w:p>
        </w:tc>
      </w:tr>
      <w:tr w:rsidR="006F13DE" w:rsidRPr="006F13DE" w14:paraId="633E1A35" w14:textId="77777777" w:rsidTr="006F13DE">
        <w:trPr>
          <w:trHeight w:val="315"/>
        </w:trPr>
        <w:tc>
          <w:tcPr>
            <w:tcW w:w="2955" w:type="dxa"/>
            <w:tcMar>
              <w:top w:w="30" w:type="dxa"/>
              <w:left w:w="45" w:type="dxa"/>
              <w:bottom w:w="30" w:type="dxa"/>
              <w:right w:w="45" w:type="dxa"/>
            </w:tcMar>
            <w:vAlign w:val="bottom"/>
            <w:hideMark/>
          </w:tcPr>
          <w:p w14:paraId="659108B9"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Six-week design cycle</w:t>
            </w:r>
          </w:p>
        </w:tc>
        <w:tc>
          <w:tcPr>
            <w:tcW w:w="3240" w:type="dxa"/>
            <w:tcMar>
              <w:top w:w="30" w:type="dxa"/>
              <w:left w:w="45" w:type="dxa"/>
              <w:bottom w:w="30" w:type="dxa"/>
              <w:right w:w="45" w:type="dxa"/>
            </w:tcMar>
            <w:vAlign w:val="bottom"/>
            <w:hideMark/>
          </w:tcPr>
          <w:p w14:paraId="08088564"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Faster trend response</w:t>
            </w:r>
          </w:p>
        </w:tc>
        <w:tc>
          <w:tcPr>
            <w:tcW w:w="3150" w:type="dxa"/>
            <w:tcMar>
              <w:top w:w="30" w:type="dxa"/>
              <w:left w:w="0" w:type="dxa"/>
              <w:bottom w:w="30" w:type="dxa"/>
              <w:right w:w="0" w:type="dxa"/>
            </w:tcMar>
            <w:vAlign w:val="bottom"/>
            <w:hideMark/>
          </w:tcPr>
          <w:p w14:paraId="49F1FB2F"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Higher competitiveness</w:t>
            </w:r>
          </w:p>
        </w:tc>
      </w:tr>
      <w:tr w:rsidR="006F13DE" w:rsidRPr="006F13DE" w14:paraId="2F0C61BC" w14:textId="77777777" w:rsidTr="006F13DE">
        <w:trPr>
          <w:trHeight w:val="315"/>
        </w:trPr>
        <w:tc>
          <w:tcPr>
            <w:tcW w:w="2955" w:type="dxa"/>
            <w:tcMar>
              <w:top w:w="30" w:type="dxa"/>
              <w:left w:w="45" w:type="dxa"/>
              <w:bottom w:w="30" w:type="dxa"/>
              <w:right w:w="45" w:type="dxa"/>
            </w:tcMar>
            <w:vAlign w:val="bottom"/>
            <w:hideMark/>
          </w:tcPr>
          <w:p w14:paraId="60803ED1" w14:textId="77777777" w:rsidR="006F13DE" w:rsidRPr="006F13DE" w:rsidRDefault="006F13DE" w:rsidP="006F13DE">
            <w:pPr>
              <w:spacing w:after="0" w:line="360" w:lineRule="auto"/>
              <w:jc w:val="center"/>
              <w:rPr>
                <w:rFonts w:ascii="Arial" w:hAnsi="Arial" w:cs="Arial"/>
                <w:iCs/>
                <w:sz w:val="24"/>
                <w:lang w:val="en-US"/>
              </w:rPr>
            </w:pPr>
            <w:proofErr w:type="spellStart"/>
            <w:r w:rsidRPr="006F13DE">
              <w:rPr>
                <w:rFonts w:ascii="Arial" w:hAnsi="Arial" w:cs="Arial"/>
                <w:iCs/>
                <w:sz w:val="24"/>
                <w:lang w:val="en-US"/>
              </w:rPr>
              <w:t>Primania</w:t>
            </w:r>
            <w:proofErr w:type="spellEnd"/>
            <w:r w:rsidRPr="006F13DE">
              <w:rPr>
                <w:rFonts w:ascii="Arial" w:hAnsi="Arial" w:cs="Arial"/>
                <w:iCs/>
                <w:sz w:val="24"/>
                <w:lang w:val="en-US"/>
              </w:rPr>
              <w:t xml:space="preserve"> social media</w:t>
            </w:r>
          </w:p>
        </w:tc>
        <w:tc>
          <w:tcPr>
            <w:tcW w:w="3240" w:type="dxa"/>
            <w:tcMar>
              <w:top w:w="30" w:type="dxa"/>
              <w:left w:w="45" w:type="dxa"/>
              <w:bottom w:w="30" w:type="dxa"/>
              <w:right w:w="45" w:type="dxa"/>
            </w:tcMar>
            <w:vAlign w:val="bottom"/>
            <w:hideMark/>
          </w:tcPr>
          <w:p w14:paraId="32F6B06B"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 marketing costs</w:t>
            </w:r>
          </w:p>
        </w:tc>
        <w:tc>
          <w:tcPr>
            <w:tcW w:w="3150" w:type="dxa"/>
            <w:tcMar>
              <w:top w:w="30" w:type="dxa"/>
              <w:left w:w="45" w:type="dxa"/>
              <w:bottom w:w="30" w:type="dxa"/>
              <w:right w:w="45" w:type="dxa"/>
            </w:tcMar>
            <w:vAlign w:val="bottom"/>
            <w:hideMark/>
          </w:tcPr>
          <w:p w14:paraId="3CDAC034"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Brand awareness</w:t>
            </w:r>
          </w:p>
        </w:tc>
      </w:tr>
      <w:tr w:rsidR="006F13DE" w:rsidRPr="006F13DE" w14:paraId="79B8219B" w14:textId="77777777" w:rsidTr="006F13DE">
        <w:trPr>
          <w:trHeight w:val="315"/>
        </w:trPr>
        <w:tc>
          <w:tcPr>
            <w:tcW w:w="2955" w:type="dxa"/>
            <w:tcMar>
              <w:top w:w="30" w:type="dxa"/>
              <w:left w:w="45" w:type="dxa"/>
              <w:bottom w:w="30" w:type="dxa"/>
              <w:right w:w="45" w:type="dxa"/>
            </w:tcMar>
            <w:vAlign w:val="bottom"/>
            <w:hideMark/>
          </w:tcPr>
          <w:p w14:paraId="090E30C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Supplier network</w:t>
            </w:r>
          </w:p>
        </w:tc>
        <w:tc>
          <w:tcPr>
            <w:tcW w:w="3240" w:type="dxa"/>
            <w:tcMar>
              <w:top w:w="30" w:type="dxa"/>
              <w:left w:w="45" w:type="dxa"/>
              <w:bottom w:w="30" w:type="dxa"/>
              <w:right w:w="45" w:type="dxa"/>
            </w:tcMar>
            <w:vAlign w:val="bottom"/>
            <w:hideMark/>
          </w:tcPr>
          <w:p w14:paraId="00722713"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Reliable sourcing</w:t>
            </w:r>
          </w:p>
        </w:tc>
        <w:tc>
          <w:tcPr>
            <w:tcW w:w="3150" w:type="dxa"/>
            <w:tcMar>
              <w:top w:w="30" w:type="dxa"/>
              <w:left w:w="0" w:type="dxa"/>
              <w:bottom w:w="30" w:type="dxa"/>
              <w:right w:w="0" w:type="dxa"/>
            </w:tcMar>
            <w:vAlign w:val="bottom"/>
            <w:hideMark/>
          </w:tcPr>
          <w:p w14:paraId="3651C32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Operational efficiency</w:t>
            </w:r>
          </w:p>
        </w:tc>
      </w:tr>
      <w:tr w:rsidR="006F13DE" w:rsidRPr="006F13DE" w14:paraId="3C35572E" w14:textId="77777777" w:rsidTr="006F13DE">
        <w:trPr>
          <w:trHeight w:val="315"/>
        </w:trPr>
        <w:tc>
          <w:tcPr>
            <w:tcW w:w="2955" w:type="dxa"/>
            <w:tcMar>
              <w:top w:w="30" w:type="dxa"/>
              <w:left w:w="45" w:type="dxa"/>
              <w:bottom w:w="30" w:type="dxa"/>
              <w:right w:w="45" w:type="dxa"/>
            </w:tcMar>
            <w:vAlign w:val="bottom"/>
            <w:hideMark/>
          </w:tcPr>
          <w:p w14:paraId="27EE215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Primark Cares</w:t>
            </w:r>
          </w:p>
        </w:tc>
        <w:tc>
          <w:tcPr>
            <w:tcW w:w="3240" w:type="dxa"/>
            <w:tcMar>
              <w:top w:w="30" w:type="dxa"/>
              <w:left w:w="45" w:type="dxa"/>
              <w:bottom w:w="30" w:type="dxa"/>
              <w:right w:w="45" w:type="dxa"/>
            </w:tcMar>
            <w:vAlign w:val="bottom"/>
            <w:hideMark/>
          </w:tcPr>
          <w:p w14:paraId="7581949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Ethical reputation</w:t>
            </w:r>
          </w:p>
        </w:tc>
        <w:tc>
          <w:tcPr>
            <w:tcW w:w="3150" w:type="dxa"/>
            <w:tcMar>
              <w:top w:w="30" w:type="dxa"/>
              <w:left w:w="45" w:type="dxa"/>
              <w:bottom w:w="30" w:type="dxa"/>
              <w:right w:w="45" w:type="dxa"/>
            </w:tcMar>
            <w:vAlign w:val="bottom"/>
            <w:hideMark/>
          </w:tcPr>
          <w:p w14:paraId="072F49F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Consumer trust</w:t>
            </w:r>
          </w:p>
        </w:tc>
      </w:tr>
    </w:tbl>
    <w:p w14:paraId="655E605E" w14:textId="77777777" w:rsidR="00450CAE" w:rsidRPr="00CD0345" w:rsidRDefault="00450CAE" w:rsidP="00450CAE">
      <w:pPr>
        <w:spacing w:after="0" w:line="360" w:lineRule="auto"/>
        <w:jc w:val="both"/>
        <w:rPr>
          <w:rFonts w:ascii="Arial" w:hAnsi="Arial" w:cs="Arial"/>
          <w:sz w:val="24"/>
          <w:lang w:val="en-US"/>
        </w:rPr>
      </w:pPr>
      <w:r w:rsidRPr="00CD0345">
        <w:rPr>
          <w:rFonts w:ascii="Arial" w:hAnsi="Arial" w:cs="Arial"/>
          <w:i/>
          <w:iCs/>
          <w:sz w:val="24"/>
          <w:lang w:val="en-US"/>
        </w:rPr>
        <w:t>Source: Beamish and Chakravarty (2021); Carr and Leknes (2020); Wahed (2025).</w:t>
      </w:r>
    </w:p>
    <w:p w14:paraId="70A3DC20" w14:textId="77777777" w:rsidR="00450CAE" w:rsidRPr="00CD0345" w:rsidRDefault="00450CAE" w:rsidP="00450CAE">
      <w:pPr>
        <w:spacing w:after="0" w:line="360" w:lineRule="auto"/>
        <w:jc w:val="both"/>
        <w:rPr>
          <w:rFonts w:ascii="Arial" w:hAnsi="Arial" w:cs="Arial"/>
          <w:b/>
          <w:bCs/>
          <w:sz w:val="24"/>
          <w:lang w:val="en-US"/>
        </w:rPr>
      </w:pPr>
      <w:r w:rsidRPr="00CD0345">
        <w:rPr>
          <w:rFonts w:ascii="Arial" w:hAnsi="Arial" w:cs="Arial"/>
          <w:b/>
          <w:bCs/>
          <w:sz w:val="24"/>
          <w:lang w:val="en-US"/>
        </w:rPr>
        <w:t>Location Advantages (L)</w:t>
      </w:r>
    </w:p>
    <w:p w14:paraId="594099A1"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Canada </w:t>
      </w:r>
      <w:r>
        <w:rPr>
          <w:rFonts w:ascii="Arial" w:hAnsi="Arial" w:cs="Arial"/>
          <w:sz w:val="24"/>
          <w:lang w:val="en-US"/>
        </w:rPr>
        <w:t>offers</w:t>
      </w:r>
      <w:r w:rsidRPr="00296DCE">
        <w:rPr>
          <w:rFonts w:ascii="Arial" w:hAnsi="Arial" w:cs="Arial"/>
          <w:sz w:val="24"/>
          <w:lang w:val="en-US"/>
        </w:rPr>
        <w:t xml:space="preserve"> a number of location benefits which render it an ideal destination in international expansion of Primark. These benefits not only supplement the business model of the company but also minimize uncertainty in the operations. According to Dunning, selection of host countries should be successful based on the capabilities of host-country conditions to enhance firm-specific advantages (</w:t>
      </w:r>
      <w:proofErr w:type="spellStart"/>
      <w:r w:rsidRPr="00296DCE">
        <w:rPr>
          <w:rFonts w:ascii="Arial" w:hAnsi="Arial" w:cs="Arial"/>
          <w:sz w:val="24"/>
          <w:lang w:val="en-US"/>
        </w:rPr>
        <w:t>Chemsripong</w:t>
      </w:r>
      <w:proofErr w:type="spellEnd"/>
      <w:r w:rsidRPr="00296DCE">
        <w:rPr>
          <w:rFonts w:ascii="Arial" w:hAnsi="Arial" w:cs="Arial"/>
          <w:sz w:val="24"/>
          <w:lang w:val="en-US"/>
        </w:rPr>
        <w:t>, 2023).</w:t>
      </w:r>
    </w:p>
    <w:p w14:paraId="1E52A5CF" w14:textId="3C9CFB6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The first opportunity is the geographical location of Canada to the United States where Primark is increasingly expanding. The common logistics networks or </w:t>
      </w:r>
      <w:r w:rsidR="00C10427" w:rsidRPr="00296DCE">
        <w:rPr>
          <w:rFonts w:ascii="Arial" w:hAnsi="Arial" w:cs="Arial"/>
          <w:sz w:val="24"/>
          <w:lang w:val="en-US"/>
        </w:rPr>
        <w:t>regional</w:t>
      </w:r>
      <w:r w:rsidRPr="00296DCE">
        <w:rPr>
          <w:rFonts w:ascii="Arial" w:hAnsi="Arial" w:cs="Arial"/>
          <w:sz w:val="24"/>
          <w:lang w:val="en-US"/>
        </w:rPr>
        <w:t xml:space="preserve"> distribution </w:t>
      </w:r>
      <w:r w:rsidR="00ED4D1E" w:rsidRPr="00296DCE">
        <w:rPr>
          <w:rFonts w:ascii="Arial" w:hAnsi="Arial" w:cs="Arial"/>
          <w:sz w:val="24"/>
          <w:lang w:val="en-US"/>
        </w:rPr>
        <w:t>centers</w:t>
      </w:r>
      <w:r w:rsidRPr="00296DCE">
        <w:rPr>
          <w:rFonts w:ascii="Arial" w:hAnsi="Arial" w:cs="Arial"/>
          <w:sz w:val="24"/>
          <w:lang w:val="en-US"/>
        </w:rPr>
        <w:t xml:space="preserve">/ same set of consumer preferences can be used to develop </w:t>
      </w:r>
      <w:r w:rsidR="00C10427" w:rsidRPr="00296DCE">
        <w:rPr>
          <w:rFonts w:ascii="Arial" w:hAnsi="Arial" w:cs="Arial"/>
          <w:sz w:val="24"/>
          <w:lang w:val="en-US"/>
        </w:rPr>
        <w:t>operational</w:t>
      </w:r>
      <w:r w:rsidRPr="00296DCE">
        <w:rPr>
          <w:rFonts w:ascii="Arial" w:hAnsi="Arial" w:cs="Arial"/>
          <w:sz w:val="24"/>
          <w:lang w:val="en-US"/>
        </w:rPr>
        <w:t xml:space="preserve"> </w:t>
      </w:r>
      <w:r w:rsidR="00887726" w:rsidRPr="00296DCE">
        <w:rPr>
          <w:rFonts w:ascii="Arial" w:hAnsi="Arial" w:cs="Arial"/>
          <w:sz w:val="24"/>
          <w:lang w:val="en-US"/>
        </w:rPr>
        <w:t>synergies,</w:t>
      </w:r>
      <w:r w:rsidRPr="00296DCE">
        <w:rPr>
          <w:rFonts w:ascii="Arial" w:hAnsi="Arial" w:cs="Arial"/>
          <w:sz w:val="24"/>
          <w:lang w:val="en-US"/>
        </w:rPr>
        <w:t xml:space="preserve"> and this will aid in reducing the transportation costs. This is a regional integration that promotes effective supply chain management in North America (Zhou, Gomes and Vendrell-Herrero, 2025).</w:t>
      </w:r>
    </w:p>
    <w:p w14:paraId="63AFB463" w14:textId="10BCF04B"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Canada is no different and its population is highly </w:t>
      </w:r>
      <w:r w:rsidR="00ED4D1E" w:rsidRPr="00296DCE">
        <w:rPr>
          <w:rFonts w:ascii="Arial" w:hAnsi="Arial" w:cs="Arial"/>
          <w:sz w:val="24"/>
          <w:lang w:val="en-US"/>
        </w:rPr>
        <w:t>urbanized</w:t>
      </w:r>
      <w:r w:rsidRPr="00296DCE">
        <w:rPr>
          <w:rFonts w:ascii="Arial" w:hAnsi="Arial" w:cs="Arial"/>
          <w:sz w:val="24"/>
          <w:lang w:val="en-US"/>
        </w:rPr>
        <w:t xml:space="preserve"> with the concentration being in major cities such as Toronto, Vancouver and Montreal. Shopping customers in these cities attend the premium shopping </w:t>
      </w:r>
      <w:r w:rsidR="00ED4D1E" w:rsidRPr="00296DCE">
        <w:rPr>
          <w:rFonts w:ascii="Arial" w:hAnsi="Arial" w:cs="Arial"/>
          <w:sz w:val="24"/>
          <w:lang w:val="en-US"/>
        </w:rPr>
        <w:t>centers</w:t>
      </w:r>
      <w:r w:rsidRPr="00296DCE">
        <w:rPr>
          <w:rFonts w:ascii="Arial" w:hAnsi="Arial" w:cs="Arial"/>
          <w:sz w:val="24"/>
          <w:lang w:val="en-US"/>
        </w:rPr>
        <w:t xml:space="preserve"> and the outlets of Primark that would be required are large format. The heavy population density enhances the potential of sales as well as the economies of scale (</w:t>
      </w:r>
      <w:proofErr w:type="spellStart"/>
      <w:r w:rsidRPr="00296DCE">
        <w:rPr>
          <w:rFonts w:ascii="Arial" w:hAnsi="Arial" w:cs="Arial"/>
          <w:sz w:val="24"/>
          <w:lang w:val="en-US"/>
        </w:rPr>
        <w:t>Kardes</w:t>
      </w:r>
      <w:proofErr w:type="spellEnd"/>
      <w:r w:rsidRPr="00296DCE">
        <w:rPr>
          <w:rFonts w:ascii="Arial" w:hAnsi="Arial" w:cs="Arial"/>
          <w:sz w:val="24"/>
          <w:lang w:val="en-US"/>
        </w:rPr>
        <w:t xml:space="preserve"> et al., 2024).</w:t>
      </w:r>
    </w:p>
    <w:p w14:paraId="66A83106" w14:textId="04E2391E"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The other prominent advantage is the change in consumer </w:t>
      </w:r>
      <w:r w:rsidR="00ED4D1E" w:rsidRPr="00296DCE">
        <w:rPr>
          <w:rFonts w:ascii="Arial" w:hAnsi="Arial" w:cs="Arial"/>
          <w:sz w:val="24"/>
          <w:lang w:val="en-US"/>
        </w:rPr>
        <w:t>behavior</w:t>
      </w:r>
      <w:r w:rsidRPr="00296DCE">
        <w:rPr>
          <w:rFonts w:ascii="Arial" w:hAnsi="Arial" w:cs="Arial"/>
          <w:sz w:val="24"/>
          <w:lang w:val="en-US"/>
        </w:rPr>
        <w:t xml:space="preserve"> which has followed the recent inflation. Increased cost of living has pushed most of the Canadian consumers into finding cheap fashion, without compromising on the fashion. The value-based pricing positioning by Primark directly fulfils this increased demand by creating </w:t>
      </w:r>
      <w:r w:rsidR="00ED4D1E" w:rsidRPr="00296DCE">
        <w:rPr>
          <w:rFonts w:ascii="Arial" w:hAnsi="Arial" w:cs="Arial"/>
          <w:sz w:val="24"/>
          <w:lang w:val="en-US"/>
        </w:rPr>
        <w:t>favorable</w:t>
      </w:r>
      <w:r w:rsidRPr="00296DCE">
        <w:rPr>
          <w:rFonts w:ascii="Arial" w:hAnsi="Arial" w:cs="Arial"/>
          <w:sz w:val="24"/>
          <w:lang w:val="en-US"/>
        </w:rPr>
        <w:t xml:space="preserve"> market conditions amid the widened economic pressures (</w:t>
      </w:r>
      <w:proofErr w:type="spellStart"/>
      <w:r w:rsidRPr="00296DCE">
        <w:rPr>
          <w:rFonts w:ascii="Arial" w:hAnsi="Arial" w:cs="Arial"/>
          <w:sz w:val="24"/>
          <w:lang w:val="en-US"/>
        </w:rPr>
        <w:t>Rahmanifar</w:t>
      </w:r>
      <w:proofErr w:type="spellEnd"/>
      <w:r w:rsidRPr="00296DCE">
        <w:rPr>
          <w:rFonts w:ascii="Arial" w:hAnsi="Arial" w:cs="Arial"/>
          <w:sz w:val="24"/>
          <w:lang w:val="en-US"/>
        </w:rPr>
        <w:t>, 2024).</w:t>
      </w:r>
    </w:p>
    <w:p w14:paraId="5D6DA512" w14:textId="77777777" w:rsidR="00296DCE" w:rsidRPr="00296DCE" w:rsidRDefault="00296DCE" w:rsidP="00296DCE">
      <w:pPr>
        <w:spacing w:after="0" w:line="360" w:lineRule="auto"/>
        <w:jc w:val="both"/>
        <w:rPr>
          <w:rFonts w:ascii="Arial" w:hAnsi="Arial" w:cs="Arial"/>
          <w:sz w:val="24"/>
          <w:lang w:val="en-US"/>
        </w:rPr>
      </w:pPr>
      <w:r w:rsidRPr="00296DCE">
        <w:rPr>
          <w:rFonts w:ascii="Arial" w:hAnsi="Arial" w:cs="Arial"/>
          <w:sz w:val="24"/>
          <w:lang w:val="en-US"/>
        </w:rPr>
        <w:t>Canada has a transparent legal environment, political stability and good consumer protection further minimize the risk in investments. The stable institutions facilitate long-term investment on retail and increase business confidence amongst the multinational companies. A combination of all these institutional benefits renders Canada more attractive as a market (Zlatev, 2025).</w:t>
      </w:r>
    </w:p>
    <w:p w14:paraId="526280F9" w14:textId="66A12638" w:rsidR="00450CAE" w:rsidRPr="00CD0345" w:rsidRDefault="00296DCE" w:rsidP="00296DCE">
      <w:pPr>
        <w:spacing w:after="0" w:line="360" w:lineRule="auto"/>
        <w:jc w:val="both"/>
        <w:rPr>
          <w:rFonts w:ascii="Arial" w:hAnsi="Arial" w:cs="Arial"/>
          <w:sz w:val="24"/>
          <w:lang w:val="en-US"/>
        </w:rPr>
      </w:pPr>
      <w:r w:rsidRPr="00296DCE">
        <w:rPr>
          <w:rFonts w:ascii="Arial" w:hAnsi="Arial" w:cs="Arial"/>
          <w:sz w:val="24"/>
          <w:lang w:val="en-US"/>
        </w:rPr>
        <w:t xml:space="preserve">Nonetheless, Canada is also faced with certain location challenges. The pressure of operation is high since there are high commercial rents, </w:t>
      </w:r>
      <w:r w:rsidR="00C10427" w:rsidRPr="00296DCE">
        <w:rPr>
          <w:rFonts w:ascii="Arial" w:hAnsi="Arial" w:cs="Arial"/>
          <w:sz w:val="24"/>
          <w:lang w:val="en-US"/>
        </w:rPr>
        <w:t>labor</w:t>
      </w:r>
      <w:r w:rsidRPr="00296DCE">
        <w:rPr>
          <w:rFonts w:ascii="Arial" w:hAnsi="Arial" w:cs="Arial"/>
          <w:sz w:val="24"/>
          <w:lang w:val="en-US"/>
        </w:rPr>
        <w:t xml:space="preserve"> costs and intense competition with H&amp;M, Zara and Old Navy. As a result, the appeal to the market will also depend on both the demand of their consumers and whether Primark would be capable of achieving a satisfactory level of sales to offset these increase operating costs (Nabilah, 2025; Zervas, 2023).</w:t>
      </w:r>
    </w:p>
    <w:p w14:paraId="27FABDB4" w14:textId="77777777" w:rsidR="00C776FD" w:rsidRPr="00CD0345" w:rsidRDefault="006F13DE" w:rsidP="00C776FD">
      <w:pPr>
        <w:spacing w:after="0" w:line="360" w:lineRule="auto"/>
        <w:jc w:val="center"/>
        <w:rPr>
          <w:rFonts w:ascii="Arial" w:hAnsi="Arial" w:cs="Arial"/>
          <w:sz w:val="24"/>
          <w:lang w:val="en-US"/>
        </w:rPr>
      </w:pPr>
      <w:r w:rsidRPr="006F13DE">
        <w:rPr>
          <w:rFonts w:ascii="Arial" w:hAnsi="Arial" w:cs="Arial"/>
          <w:noProof/>
          <w:sz w:val="24"/>
          <w:lang w:val="en-US"/>
        </w:rPr>
        <w:drawing>
          <wp:inline distT="0" distB="0" distL="0" distR="0" wp14:anchorId="0DCED437" wp14:editId="52AFF874">
            <wp:extent cx="5943600" cy="2241226"/>
            <wp:effectExtent l="0" t="0" r="0" b="6985"/>
            <wp:docPr id="2" name="Picture 2" descr="C:\Users\DELL\AppData\Local\Packages\Microsoft.Paint_8wekyb3d8bbwe\TempState\primark_canada_lo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AppData\Local\Packages\Microsoft.Paint_8wekyb3d8bbwe\TempState\primark_canada_locatio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241226"/>
                    </a:xfrm>
                    <a:prstGeom prst="rect">
                      <a:avLst/>
                    </a:prstGeom>
                    <a:noFill/>
                    <a:ln>
                      <a:noFill/>
                    </a:ln>
                  </pic:spPr>
                </pic:pic>
              </a:graphicData>
            </a:graphic>
          </wp:inline>
        </w:drawing>
      </w:r>
    </w:p>
    <w:p w14:paraId="594C75C9" w14:textId="77777777" w:rsidR="00450CAE" w:rsidRPr="006F13DE" w:rsidRDefault="00450CAE" w:rsidP="006F13DE">
      <w:pPr>
        <w:spacing w:after="0" w:line="240" w:lineRule="auto"/>
        <w:jc w:val="center"/>
        <w:rPr>
          <w:rFonts w:ascii="Arial" w:hAnsi="Arial" w:cs="Arial"/>
          <w:i/>
          <w:sz w:val="20"/>
          <w:lang w:val="en-US"/>
        </w:rPr>
      </w:pPr>
      <w:r w:rsidRPr="006F13DE">
        <w:rPr>
          <w:rFonts w:ascii="Arial" w:hAnsi="Arial" w:cs="Arial"/>
          <w:b/>
          <w:bCs/>
          <w:i/>
          <w:sz w:val="20"/>
          <w:lang w:val="en-US"/>
        </w:rPr>
        <w:t>Figure 2: Canada's Location Advantages for Primark</w:t>
      </w:r>
    </w:p>
    <w:p w14:paraId="654F803A" w14:textId="77777777" w:rsidR="00450CAE" w:rsidRPr="006F13DE" w:rsidRDefault="00450CAE" w:rsidP="006F13DE">
      <w:pPr>
        <w:spacing w:after="0" w:line="240" w:lineRule="auto"/>
        <w:jc w:val="center"/>
        <w:rPr>
          <w:rFonts w:ascii="Arial" w:hAnsi="Arial" w:cs="Arial"/>
          <w:i/>
          <w:sz w:val="20"/>
          <w:lang w:val="en-US"/>
        </w:rPr>
      </w:pPr>
      <w:r w:rsidRPr="006F13DE">
        <w:rPr>
          <w:rFonts w:ascii="Arial" w:hAnsi="Arial" w:cs="Arial"/>
          <w:i/>
          <w:iCs/>
          <w:sz w:val="20"/>
          <w:lang w:val="en-US"/>
        </w:rPr>
        <w:t xml:space="preserve">Source: </w:t>
      </w:r>
      <w:proofErr w:type="spellStart"/>
      <w:r w:rsidRPr="006F13DE">
        <w:rPr>
          <w:rFonts w:ascii="Arial" w:hAnsi="Arial" w:cs="Arial"/>
          <w:i/>
          <w:iCs/>
          <w:sz w:val="20"/>
          <w:lang w:val="en-US"/>
        </w:rPr>
        <w:t>Rahmanifan</w:t>
      </w:r>
      <w:proofErr w:type="spellEnd"/>
      <w:r w:rsidRPr="006F13DE">
        <w:rPr>
          <w:rFonts w:ascii="Arial" w:hAnsi="Arial" w:cs="Arial"/>
          <w:i/>
          <w:iCs/>
          <w:sz w:val="20"/>
          <w:lang w:val="en-US"/>
        </w:rPr>
        <w:t xml:space="preserve"> (2024); Zhou, Gomes and Vendrell-Herrero (2025).</w:t>
      </w:r>
    </w:p>
    <w:p w14:paraId="35F7139A" w14:textId="77777777" w:rsidR="006F13DE" w:rsidRDefault="006F13DE" w:rsidP="00450CAE">
      <w:pPr>
        <w:spacing w:after="0" w:line="360" w:lineRule="auto"/>
        <w:jc w:val="both"/>
        <w:rPr>
          <w:rFonts w:ascii="Arial" w:hAnsi="Arial" w:cs="Arial"/>
          <w:sz w:val="24"/>
          <w:lang w:val="en-US"/>
        </w:rPr>
      </w:pPr>
    </w:p>
    <w:p w14:paraId="62B7CF50" w14:textId="497D96F5" w:rsidR="003C157B" w:rsidRPr="003C157B" w:rsidRDefault="00450CAE" w:rsidP="003C157B">
      <w:pPr>
        <w:spacing w:after="0" w:line="360" w:lineRule="auto"/>
        <w:jc w:val="both"/>
        <w:rPr>
          <w:rFonts w:ascii="Arial" w:hAnsi="Arial" w:cs="Arial"/>
          <w:sz w:val="24"/>
          <w:lang w:val="en-US"/>
        </w:rPr>
      </w:pPr>
      <w:r w:rsidRPr="00CD0345">
        <w:rPr>
          <w:rFonts w:ascii="Arial" w:hAnsi="Arial" w:cs="Arial"/>
          <w:sz w:val="24"/>
          <w:lang w:val="en-US"/>
        </w:rPr>
        <w:t xml:space="preserve">Overall, </w:t>
      </w:r>
      <w:r w:rsidR="003C157B" w:rsidRPr="00CD0345">
        <w:rPr>
          <w:rFonts w:ascii="Arial" w:hAnsi="Arial" w:cs="Arial"/>
          <w:sz w:val="24"/>
          <w:lang w:val="en-US"/>
        </w:rPr>
        <w:t>Canada's geographic position</w:t>
      </w:r>
      <w:r w:rsidR="003C157B">
        <w:rPr>
          <w:rFonts w:ascii="Arial" w:hAnsi="Arial" w:cs="Arial"/>
          <w:sz w:val="24"/>
          <w:lang w:val="en-US"/>
        </w:rPr>
        <w:t xml:space="preserve">, stable </w:t>
      </w:r>
      <w:r w:rsidR="00ED4D1E">
        <w:rPr>
          <w:rFonts w:ascii="Arial" w:hAnsi="Arial" w:cs="Arial"/>
          <w:sz w:val="24"/>
          <w:lang w:val="en-US"/>
        </w:rPr>
        <w:t>organiz</w:t>
      </w:r>
      <w:r w:rsidR="00ED4D1E" w:rsidRPr="003C157B">
        <w:rPr>
          <w:rFonts w:ascii="Arial" w:hAnsi="Arial" w:cs="Arial"/>
          <w:sz w:val="24"/>
          <w:lang w:val="en-US"/>
        </w:rPr>
        <w:t>ation</w:t>
      </w:r>
      <w:r w:rsidR="003C157B" w:rsidRPr="003C157B">
        <w:rPr>
          <w:rFonts w:ascii="Arial" w:hAnsi="Arial" w:cs="Arial"/>
          <w:sz w:val="24"/>
          <w:lang w:val="en-US"/>
        </w:rPr>
        <w:t xml:space="preserve"> and need of affordable fashion serve as powerful location factors to promote the expansion of Primark (Collinson, Narula and Rugman, 2020).</w:t>
      </w:r>
    </w:p>
    <w:p w14:paraId="40991E22" w14:textId="5D520CDE" w:rsidR="003C157B" w:rsidRDefault="00ED4D1E" w:rsidP="003C157B">
      <w:pPr>
        <w:spacing w:after="0" w:line="360" w:lineRule="auto"/>
        <w:jc w:val="both"/>
        <w:rPr>
          <w:rFonts w:ascii="Arial" w:hAnsi="Arial" w:cs="Arial"/>
          <w:b/>
          <w:bCs/>
          <w:sz w:val="24"/>
          <w:lang w:val="en-US"/>
        </w:rPr>
      </w:pPr>
      <w:r>
        <w:rPr>
          <w:rFonts w:ascii="Arial" w:hAnsi="Arial" w:cs="Arial"/>
          <w:b/>
          <w:bCs/>
          <w:sz w:val="24"/>
          <w:lang w:val="en-US"/>
        </w:rPr>
        <w:t>Internalization</w:t>
      </w:r>
      <w:r w:rsidR="003C157B">
        <w:rPr>
          <w:rFonts w:ascii="Arial" w:hAnsi="Arial" w:cs="Arial"/>
          <w:b/>
          <w:bCs/>
          <w:sz w:val="24"/>
          <w:lang w:val="en-US"/>
        </w:rPr>
        <w:t xml:space="preserve"> Advantages (I)</w:t>
      </w:r>
    </w:p>
    <w:p w14:paraId="4D25D1AC" w14:textId="04A0DEEC"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 The </w:t>
      </w:r>
      <w:r w:rsidR="00385D7D" w:rsidRPr="003C157B">
        <w:rPr>
          <w:rFonts w:ascii="Arial" w:hAnsi="Arial" w:cs="Arial"/>
          <w:sz w:val="24"/>
          <w:lang w:val="en-US"/>
        </w:rPr>
        <w:t>internalization</w:t>
      </w:r>
      <w:r w:rsidRPr="003C157B">
        <w:rPr>
          <w:rFonts w:ascii="Arial" w:hAnsi="Arial" w:cs="Arial"/>
          <w:sz w:val="24"/>
          <w:lang w:val="en-US"/>
        </w:rPr>
        <w:t xml:space="preserve"> advantages are what compel multinational companies to prefer to keep their business model along with the ownership and operating control as opposed to licensing or franchising. Direct control is of paramount importance in the case of Primark as the competitive advantage of this company depends on the highly integrated process of sourcing, logistics and retail (</w:t>
      </w:r>
      <w:proofErr w:type="spellStart"/>
      <w:r w:rsidRPr="003C157B">
        <w:rPr>
          <w:rFonts w:ascii="Arial" w:hAnsi="Arial" w:cs="Arial"/>
          <w:sz w:val="24"/>
          <w:lang w:val="en-US"/>
        </w:rPr>
        <w:t>Chemsripong</w:t>
      </w:r>
      <w:proofErr w:type="spellEnd"/>
      <w:r w:rsidRPr="003C157B">
        <w:rPr>
          <w:rFonts w:ascii="Arial" w:hAnsi="Arial" w:cs="Arial"/>
          <w:sz w:val="24"/>
          <w:lang w:val="en-US"/>
        </w:rPr>
        <w:t>, 2023).</w:t>
      </w:r>
    </w:p>
    <w:p w14:paraId="3EE98CB9" w14:textId="25DFB795"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Primark has a </w:t>
      </w:r>
      <w:r w:rsidR="00ED4D1E" w:rsidRPr="003C157B">
        <w:rPr>
          <w:rFonts w:ascii="Arial" w:hAnsi="Arial" w:cs="Arial"/>
          <w:sz w:val="24"/>
          <w:lang w:val="en-US"/>
        </w:rPr>
        <w:t>low-cost</w:t>
      </w:r>
      <w:r w:rsidRPr="003C157B">
        <w:rPr>
          <w:rFonts w:ascii="Arial" w:hAnsi="Arial" w:cs="Arial"/>
          <w:sz w:val="24"/>
          <w:lang w:val="en-US"/>
        </w:rPr>
        <w:t xml:space="preserve"> strategy that is founded on </w:t>
      </w:r>
      <w:r w:rsidR="00ED4D1E" w:rsidRPr="003C157B">
        <w:rPr>
          <w:rFonts w:ascii="Arial" w:hAnsi="Arial" w:cs="Arial"/>
          <w:sz w:val="24"/>
          <w:lang w:val="en-US"/>
        </w:rPr>
        <w:t>centralized</w:t>
      </w:r>
      <w:r w:rsidRPr="003C157B">
        <w:rPr>
          <w:rFonts w:ascii="Arial" w:hAnsi="Arial" w:cs="Arial"/>
          <w:sz w:val="24"/>
          <w:lang w:val="en-US"/>
        </w:rPr>
        <w:t xml:space="preserve"> buying, supplier and inventory management. Its lack of control over other independent operators through its decision to </w:t>
      </w:r>
      <w:r w:rsidR="00ED4D1E" w:rsidRPr="003C157B">
        <w:rPr>
          <w:rFonts w:ascii="Arial" w:hAnsi="Arial" w:cs="Arial"/>
          <w:sz w:val="24"/>
          <w:lang w:val="en-US"/>
        </w:rPr>
        <w:t>license</w:t>
      </w:r>
      <w:r w:rsidRPr="003C157B">
        <w:rPr>
          <w:rFonts w:ascii="Arial" w:hAnsi="Arial" w:cs="Arial"/>
          <w:sz w:val="24"/>
          <w:lang w:val="en-US"/>
        </w:rPr>
        <w:t xml:space="preserve"> its own brand can ensure the lack of consistency in terms of pricing, product quality services and customer experience. The discrepancy would worsen the value proposal of the company and ruin the brand reputation (Narula and Lee, 2020).</w:t>
      </w:r>
    </w:p>
    <w:p w14:paraId="20C87BDC"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Direct ownership also enables Primark to organize its global supply chain in an efficient manner. Through central management, there is increased inventory allocation speed, enhanced supplier negotiation and cost control in the overseas markets in the international market. Such efficiencies could hardly be attained by third-party franchise operators (Beamish and Chakravarty, 2021).</w:t>
      </w:r>
    </w:p>
    <w:p w14:paraId="46447AEB" w14:textId="1BBA2E30"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Primark sustainability commitments are also facilitated by internal control. The company, Primark Cares, manages the suppliers’ standards, </w:t>
      </w:r>
      <w:r w:rsidR="00ED4D1E" w:rsidRPr="003C157B">
        <w:rPr>
          <w:rFonts w:ascii="Arial" w:hAnsi="Arial" w:cs="Arial"/>
          <w:sz w:val="24"/>
          <w:lang w:val="en-US"/>
        </w:rPr>
        <w:t>labor</w:t>
      </w:r>
      <w:r w:rsidRPr="003C157B">
        <w:rPr>
          <w:rFonts w:ascii="Arial" w:hAnsi="Arial" w:cs="Arial"/>
          <w:sz w:val="24"/>
          <w:lang w:val="en-US"/>
        </w:rPr>
        <w:t xml:space="preserve"> and environmental practices within its sourcing network. Direct control will improve compliance with the provisions of the Canadian supply chain transparency and protect corporate reputation (Wahed, 2025).</w:t>
      </w:r>
    </w:p>
    <w:p w14:paraId="4C2C5499"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The other important advantage is flexibility of strategy. The consumer demand of the fashion retailing is highly dynamic. Operations owned by the company enable Primark to add or remove product lines, change pricing and stock fast without bargaining with other companies. This flexibility strengthens competitiveness in the dynamic retail market in Canada (Carr and Leknes, 2020).</w:t>
      </w:r>
    </w:p>
    <w:p w14:paraId="5BB65982"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Past retail failure is also a fact that promotes greater control of operations. This failure to expand in Canada by Target Canada was a solid demonstration that inefficient inventory management, price mistakes and inefficiencies in its operations can ruin international market expansion. Similar risks can be minimized by leaving the stores, logistics and supply chain systems owned by Primark in direct ownership (Zervas, 2023).</w:t>
      </w:r>
    </w:p>
    <w:p w14:paraId="7D94A797"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Franchising or licensing would decrease the financial risk and the higher cost of investment, but the lack of control of the operations with the most valuable capabilities of Primark would also be lessened in the discussed models. Since competitive advantage of the company relies on integrated supply chain management and cost leadership, the entry modes that will be contractual would undermine long-term performance (Alon, </w:t>
      </w:r>
      <w:proofErr w:type="spellStart"/>
      <w:r w:rsidRPr="003C157B">
        <w:rPr>
          <w:rFonts w:ascii="Arial" w:hAnsi="Arial" w:cs="Arial"/>
          <w:sz w:val="24"/>
          <w:lang w:val="en-US"/>
        </w:rPr>
        <w:t>Apriliyanti</w:t>
      </w:r>
      <w:proofErr w:type="spellEnd"/>
      <w:r w:rsidRPr="003C157B">
        <w:rPr>
          <w:rFonts w:ascii="Arial" w:hAnsi="Arial" w:cs="Arial"/>
          <w:sz w:val="24"/>
          <w:lang w:val="en-US"/>
        </w:rPr>
        <w:t xml:space="preserve"> and Henríquez Parodi, 2021; NADEEM, 2024).</w:t>
      </w:r>
    </w:p>
    <w:p w14:paraId="4AEE441D" w14:textId="50C2C95C" w:rsidR="003C157B" w:rsidRPr="003C157B" w:rsidRDefault="00ED4D1E" w:rsidP="003C157B">
      <w:pPr>
        <w:spacing w:after="0" w:line="360" w:lineRule="auto"/>
        <w:jc w:val="both"/>
        <w:rPr>
          <w:rFonts w:ascii="Arial" w:hAnsi="Arial" w:cs="Arial"/>
          <w:sz w:val="24"/>
          <w:lang w:val="en-US"/>
        </w:rPr>
      </w:pPr>
      <w:r w:rsidRPr="003C157B">
        <w:rPr>
          <w:rFonts w:ascii="Arial" w:hAnsi="Arial" w:cs="Arial"/>
          <w:sz w:val="24"/>
          <w:lang w:val="en-US"/>
        </w:rPr>
        <w:t>Internalization</w:t>
      </w:r>
      <w:r w:rsidR="003C157B" w:rsidRPr="003C157B">
        <w:rPr>
          <w:rFonts w:ascii="Arial" w:hAnsi="Arial" w:cs="Arial"/>
          <w:sz w:val="24"/>
          <w:lang w:val="en-US"/>
        </w:rPr>
        <w:t xml:space="preserve">, therefore, is the most suitable strategy to expansion into Canada of Primark. Direct ownership ensures operational efficiencies, brand image and sustainable execution of its global business model. Under the OLI Paradigm, which is the ownership, location and </w:t>
      </w:r>
      <w:r w:rsidRPr="003C157B">
        <w:rPr>
          <w:rFonts w:ascii="Arial" w:hAnsi="Arial" w:cs="Arial"/>
          <w:sz w:val="24"/>
          <w:lang w:val="en-US"/>
        </w:rPr>
        <w:t>internalization</w:t>
      </w:r>
      <w:r w:rsidR="003C157B" w:rsidRPr="003C157B">
        <w:rPr>
          <w:rFonts w:ascii="Arial" w:hAnsi="Arial" w:cs="Arial"/>
          <w:sz w:val="24"/>
          <w:lang w:val="en-US"/>
        </w:rPr>
        <w:t xml:space="preserve"> advantage, the rationale why foreign direct investment is the most effective of market entry strategy of Primark is quite justified (Collinson, Narula and Rugman, 2020; Zlatev, 2025).</w:t>
      </w:r>
    </w:p>
    <w:p w14:paraId="31B7FAE8" w14:textId="77777777" w:rsidR="003C157B" w:rsidRDefault="003C157B" w:rsidP="003C157B">
      <w:pPr>
        <w:pStyle w:val="Heading1"/>
        <w:rPr>
          <w:lang w:val="en-US"/>
        </w:rPr>
      </w:pPr>
      <w:bookmarkStart w:id="8" w:name="_Toc235800518"/>
      <w:r>
        <w:rPr>
          <w:lang w:val="en-US"/>
        </w:rPr>
        <w:t>3. Entry Mode Strategy and Strategic Synthesis</w:t>
      </w:r>
      <w:bookmarkEnd w:id="8"/>
    </w:p>
    <w:p w14:paraId="7A215F1C" w14:textId="77777777" w:rsidR="003C157B" w:rsidRDefault="003C157B" w:rsidP="003C157B">
      <w:pPr>
        <w:pStyle w:val="Heading2"/>
        <w:rPr>
          <w:lang w:val="en-US"/>
        </w:rPr>
      </w:pPr>
      <w:bookmarkStart w:id="9" w:name="_Toc235800519"/>
      <w:r>
        <w:rPr>
          <w:lang w:val="en-US"/>
        </w:rPr>
        <w:t>3.1 Historical Pattern Recognition</w:t>
      </w:r>
      <w:bookmarkEnd w:id="9"/>
    </w:p>
    <w:p w14:paraId="6D4AA44A"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Primark has never franchised and licensed its operations in other countries although it has been expanding the country operations through organic growth and acquiring country operations. Such a strategy enables controlling the prices, quality of stores, coordination and customer experience of the supply chain (Collinson, Narula and Rugman, 2020).</w:t>
      </w:r>
    </w:p>
    <w:p w14:paraId="638D931B" w14:textId="04AFEA5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Primark primarily opened big-format flagship outlets in Europe by direct investment. This strengthened its </w:t>
      </w:r>
      <w:r w:rsidR="00701170" w:rsidRPr="003C157B">
        <w:rPr>
          <w:rFonts w:ascii="Arial" w:hAnsi="Arial" w:cs="Arial"/>
          <w:sz w:val="24"/>
          <w:lang w:val="en-US"/>
        </w:rPr>
        <w:t>low-cost</w:t>
      </w:r>
      <w:r w:rsidRPr="003C157B">
        <w:rPr>
          <w:rFonts w:ascii="Arial" w:hAnsi="Arial" w:cs="Arial"/>
          <w:sz w:val="24"/>
          <w:lang w:val="en-US"/>
        </w:rPr>
        <w:t xml:space="preserve"> model as it transferred the </w:t>
      </w:r>
      <w:r w:rsidR="00ED4D1E" w:rsidRPr="003C157B">
        <w:rPr>
          <w:rFonts w:ascii="Arial" w:hAnsi="Arial" w:cs="Arial"/>
          <w:sz w:val="24"/>
          <w:lang w:val="en-US"/>
        </w:rPr>
        <w:t>centralized</w:t>
      </w:r>
      <w:r w:rsidRPr="003C157B">
        <w:rPr>
          <w:rFonts w:ascii="Arial" w:hAnsi="Arial" w:cs="Arial"/>
          <w:sz w:val="24"/>
          <w:lang w:val="en-US"/>
        </w:rPr>
        <w:t xml:space="preserve"> purchasing and operational strengths in cross markets (Carr and Leknes, 2020).</w:t>
      </w:r>
    </w:p>
    <w:p w14:paraId="4951661F"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It continued its US expansion with the same strategy via wholly owned stores. This has allowed Primark to acquire knowledge of local market dynamics and brand consistency and strategic control (Narula and Lee, 2020).</w:t>
      </w:r>
    </w:p>
    <w:p w14:paraId="52C7A201" w14:textId="1DB8F135"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Such an entry mode indicates resource-based strengths of Primark. Ownership can be more easily maintained than contractual agreements since it enables the supply chain and inventory control, </w:t>
      </w:r>
      <w:r w:rsidR="00ED4D1E" w:rsidRPr="003C157B">
        <w:rPr>
          <w:rFonts w:ascii="Arial" w:hAnsi="Arial" w:cs="Arial"/>
          <w:sz w:val="24"/>
          <w:lang w:val="en-US"/>
        </w:rPr>
        <w:t>standardized</w:t>
      </w:r>
      <w:r w:rsidRPr="003C157B">
        <w:rPr>
          <w:rFonts w:ascii="Arial" w:hAnsi="Arial" w:cs="Arial"/>
          <w:sz w:val="24"/>
          <w:lang w:val="en-US"/>
        </w:rPr>
        <w:t xml:space="preserve"> operations to be more integrated (Beamish and Chakravarty, 2021).</w:t>
      </w:r>
    </w:p>
    <w:p w14:paraId="4F9EEC09" w14:textId="77777777" w:rsidR="00F71C8C" w:rsidRPr="00CD0345" w:rsidRDefault="003C157B" w:rsidP="003C157B">
      <w:pPr>
        <w:spacing w:after="0" w:line="360" w:lineRule="auto"/>
        <w:jc w:val="both"/>
        <w:rPr>
          <w:rFonts w:ascii="Arial" w:hAnsi="Arial" w:cs="Arial"/>
          <w:sz w:val="24"/>
          <w:lang w:val="en-US"/>
        </w:rPr>
      </w:pPr>
      <w:r>
        <w:rPr>
          <w:rFonts w:ascii="Arial" w:hAnsi="Arial" w:cs="Arial"/>
          <w:sz w:val="24"/>
          <w:lang w:val="en-US"/>
        </w:rPr>
        <w:t xml:space="preserve">However, </w:t>
      </w:r>
      <w:r w:rsidRPr="003C157B">
        <w:rPr>
          <w:rFonts w:ascii="Arial" w:hAnsi="Arial" w:cs="Arial"/>
          <w:sz w:val="24"/>
          <w:lang w:val="en-US"/>
        </w:rPr>
        <w:t xml:space="preserve">Green field expansion </w:t>
      </w:r>
      <w:r>
        <w:rPr>
          <w:rFonts w:ascii="Arial" w:hAnsi="Arial" w:cs="Arial"/>
          <w:sz w:val="24"/>
          <w:lang w:val="en-US"/>
        </w:rPr>
        <w:t xml:space="preserve">is expensive and </w:t>
      </w:r>
      <w:r w:rsidRPr="003C157B">
        <w:rPr>
          <w:rFonts w:ascii="Arial" w:hAnsi="Arial" w:cs="Arial"/>
          <w:sz w:val="24"/>
          <w:lang w:val="en-US"/>
        </w:rPr>
        <w:t>more time consuming to set up and requires level of market expertise. These are the setbacks that are on the forefront in developed markets that are competitive and highly operating costs (Zlatev, 2025).</w:t>
      </w:r>
    </w:p>
    <w:p w14:paraId="1ED1EFC9" w14:textId="77777777" w:rsidR="00F71C8C" w:rsidRPr="00CD0345" w:rsidRDefault="00F71C8C" w:rsidP="00F71C8C">
      <w:pPr>
        <w:spacing w:after="0" w:line="360" w:lineRule="auto"/>
        <w:jc w:val="both"/>
        <w:rPr>
          <w:rFonts w:ascii="Arial" w:hAnsi="Arial" w:cs="Arial"/>
          <w:sz w:val="24"/>
          <w:lang w:val="en-US"/>
        </w:rPr>
      </w:pPr>
      <w:r w:rsidRPr="00CD0345">
        <w:rPr>
          <w:rFonts w:ascii="Arial" w:hAnsi="Arial" w:cs="Arial"/>
          <w:b/>
          <w:bCs/>
          <w:sz w:val="24"/>
          <w:lang w:val="en-US"/>
        </w:rPr>
        <w:t>Table 5: Primark’s Historical International Entry Pattern</w:t>
      </w:r>
    </w:p>
    <w:tbl>
      <w:tblPr>
        <w:tblW w:w="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1843"/>
        <w:gridCol w:w="2848"/>
        <w:gridCol w:w="2635"/>
        <w:gridCol w:w="2004"/>
      </w:tblGrid>
      <w:tr w:rsidR="006F13DE" w:rsidRPr="006F13DE" w14:paraId="1A7C1005" w14:textId="77777777" w:rsidTr="006F13DE">
        <w:trPr>
          <w:trHeight w:val="315"/>
        </w:trPr>
        <w:tc>
          <w:tcPr>
            <w:tcW w:w="0" w:type="auto"/>
            <w:shd w:val="clear" w:color="auto" w:fill="20462C"/>
            <w:tcMar>
              <w:top w:w="30" w:type="dxa"/>
              <w:left w:w="45" w:type="dxa"/>
              <w:bottom w:w="30" w:type="dxa"/>
              <w:right w:w="45" w:type="dxa"/>
            </w:tcMar>
            <w:vAlign w:val="bottom"/>
            <w:hideMark/>
          </w:tcPr>
          <w:p w14:paraId="76E8B5AD"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Market</w:t>
            </w:r>
          </w:p>
        </w:tc>
        <w:tc>
          <w:tcPr>
            <w:tcW w:w="0" w:type="auto"/>
            <w:shd w:val="clear" w:color="auto" w:fill="20462C"/>
            <w:tcMar>
              <w:top w:w="30" w:type="dxa"/>
              <w:left w:w="45" w:type="dxa"/>
              <w:bottom w:w="30" w:type="dxa"/>
              <w:right w:w="45" w:type="dxa"/>
            </w:tcMar>
            <w:vAlign w:val="bottom"/>
            <w:hideMark/>
          </w:tcPr>
          <w:p w14:paraId="588EAEDF"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Entry Approach</w:t>
            </w:r>
          </w:p>
        </w:tc>
        <w:tc>
          <w:tcPr>
            <w:tcW w:w="0" w:type="auto"/>
            <w:shd w:val="clear" w:color="auto" w:fill="20462C"/>
            <w:tcMar>
              <w:top w:w="30" w:type="dxa"/>
              <w:left w:w="45" w:type="dxa"/>
              <w:bottom w:w="30" w:type="dxa"/>
              <w:right w:w="45" w:type="dxa"/>
            </w:tcMar>
            <w:vAlign w:val="bottom"/>
            <w:hideMark/>
          </w:tcPr>
          <w:p w14:paraId="74D7991E"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Strategic Purpose</w:t>
            </w:r>
          </w:p>
        </w:tc>
        <w:tc>
          <w:tcPr>
            <w:tcW w:w="0" w:type="auto"/>
            <w:shd w:val="clear" w:color="auto" w:fill="20462C"/>
            <w:tcMar>
              <w:top w:w="30" w:type="dxa"/>
              <w:left w:w="45" w:type="dxa"/>
              <w:bottom w:w="30" w:type="dxa"/>
              <w:right w:w="45" w:type="dxa"/>
            </w:tcMar>
            <w:vAlign w:val="bottom"/>
            <w:hideMark/>
          </w:tcPr>
          <w:p w14:paraId="0E1A1A9F"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Key Advantage</w:t>
            </w:r>
          </w:p>
        </w:tc>
      </w:tr>
      <w:tr w:rsidR="006F13DE" w:rsidRPr="006F13DE" w14:paraId="4B0FF209" w14:textId="77777777" w:rsidTr="006F13DE">
        <w:trPr>
          <w:trHeight w:val="315"/>
        </w:trPr>
        <w:tc>
          <w:tcPr>
            <w:tcW w:w="0" w:type="auto"/>
            <w:tcMar>
              <w:top w:w="30" w:type="dxa"/>
              <w:left w:w="45" w:type="dxa"/>
              <w:bottom w:w="30" w:type="dxa"/>
              <w:right w:w="45" w:type="dxa"/>
            </w:tcMar>
            <w:vAlign w:val="bottom"/>
            <w:hideMark/>
          </w:tcPr>
          <w:p w14:paraId="247F438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Ireland and UK</w:t>
            </w:r>
          </w:p>
        </w:tc>
        <w:tc>
          <w:tcPr>
            <w:tcW w:w="0" w:type="auto"/>
            <w:tcMar>
              <w:top w:w="30" w:type="dxa"/>
              <w:left w:w="45" w:type="dxa"/>
              <w:bottom w:w="30" w:type="dxa"/>
              <w:right w:w="45" w:type="dxa"/>
            </w:tcMar>
            <w:vAlign w:val="bottom"/>
            <w:hideMark/>
          </w:tcPr>
          <w:p w14:paraId="414E058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Company-owned stores</w:t>
            </w:r>
          </w:p>
        </w:tc>
        <w:tc>
          <w:tcPr>
            <w:tcW w:w="0" w:type="auto"/>
            <w:tcMar>
              <w:top w:w="30" w:type="dxa"/>
              <w:left w:w="45" w:type="dxa"/>
              <w:bottom w:w="30" w:type="dxa"/>
              <w:right w:w="45" w:type="dxa"/>
            </w:tcMar>
            <w:vAlign w:val="bottom"/>
            <w:hideMark/>
          </w:tcPr>
          <w:p w14:paraId="6936FF6E"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Develop core model</w:t>
            </w:r>
          </w:p>
        </w:tc>
        <w:tc>
          <w:tcPr>
            <w:tcW w:w="0" w:type="auto"/>
            <w:tcMar>
              <w:top w:w="30" w:type="dxa"/>
              <w:left w:w="45" w:type="dxa"/>
              <w:bottom w:w="30" w:type="dxa"/>
              <w:right w:w="45" w:type="dxa"/>
            </w:tcMar>
            <w:vAlign w:val="bottom"/>
            <w:hideMark/>
          </w:tcPr>
          <w:p w14:paraId="7DF214AB"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Full control</w:t>
            </w:r>
          </w:p>
        </w:tc>
      </w:tr>
      <w:tr w:rsidR="006F13DE" w:rsidRPr="006F13DE" w14:paraId="1884CC77" w14:textId="77777777" w:rsidTr="006F13DE">
        <w:trPr>
          <w:trHeight w:val="315"/>
        </w:trPr>
        <w:tc>
          <w:tcPr>
            <w:tcW w:w="0" w:type="auto"/>
            <w:tcMar>
              <w:top w:w="30" w:type="dxa"/>
              <w:left w:w="45" w:type="dxa"/>
              <w:bottom w:w="30" w:type="dxa"/>
              <w:right w:w="45" w:type="dxa"/>
            </w:tcMar>
            <w:vAlign w:val="bottom"/>
            <w:hideMark/>
          </w:tcPr>
          <w:p w14:paraId="3DC51E4F"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Europe</w:t>
            </w:r>
          </w:p>
        </w:tc>
        <w:tc>
          <w:tcPr>
            <w:tcW w:w="0" w:type="auto"/>
            <w:tcMar>
              <w:top w:w="30" w:type="dxa"/>
              <w:left w:w="45" w:type="dxa"/>
              <w:bottom w:w="30" w:type="dxa"/>
              <w:right w:w="45" w:type="dxa"/>
            </w:tcMar>
            <w:vAlign w:val="bottom"/>
            <w:hideMark/>
          </w:tcPr>
          <w:p w14:paraId="4E288AC6"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Greenfield flagship expansion</w:t>
            </w:r>
          </w:p>
        </w:tc>
        <w:tc>
          <w:tcPr>
            <w:tcW w:w="0" w:type="auto"/>
            <w:tcMar>
              <w:top w:w="30" w:type="dxa"/>
              <w:left w:w="45" w:type="dxa"/>
              <w:bottom w:w="30" w:type="dxa"/>
              <w:right w:w="45" w:type="dxa"/>
            </w:tcMar>
            <w:vAlign w:val="bottom"/>
            <w:hideMark/>
          </w:tcPr>
          <w:p w14:paraId="0460B21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Replicate strategy</w:t>
            </w:r>
          </w:p>
        </w:tc>
        <w:tc>
          <w:tcPr>
            <w:tcW w:w="0" w:type="auto"/>
            <w:tcMar>
              <w:top w:w="30" w:type="dxa"/>
              <w:left w:w="45" w:type="dxa"/>
              <w:bottom w:w="30" w:type="dxa"/>
              <w:right w:w="45" w:type="dxa"/>
            </w:tcMar>
            <w:vAlign w:val="bottom"/>
            <w:hideMark/>
          </w:tcPr>
          <w:p w14:paraId="0C9DB06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Economies of scale</w:t>
            </w:r>
          </w:p>
        </w:tc>
      </w:tr>
      <w:tr w:rsidR="006F13DE" w:rsidRPr="006F13DE" w14:paraId="6F96F307" w14:textId="77777777" w:rsidTr="006F13DE">
        <w:trPr>
          <w:trHeight w:val="315"/>
        </w:trPr>
        <w:tc>
          <w:tcPr>
            <w:tcW w:w="0" w:type="auto"/>
            <w:tcMar>
              <w:top w:w="30" w:type="dxa"/>
              <w:left w:w="45" w:type="dxa"/>
              <w:bottom w:w="30" w:type="dxa"/>
              <w:right w:w="45" w:type="dxa"/>
            </w:tcMar>
            <w:vAlign w:val="bottom"/>
            <w:hideMark/>
          </w:tcPr>
          <w:p w14:paraId="39A4A66E"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United States</w:t>
            </w:r>
          </w:p>
        </w:tc>
        <w:tc>
          <w:tcPr>
            <w:tcW w:w="0" w:type="auto"/>
            <w:tcMar>
              <w:top w:w="30" w:type="dxa"/>
              <w:left w:w="45" w:type="dxa"/>
              <w:bottom w:w="30" w:type="dxa"/>
              <w:right w:w="45" w:type="dxa"/>
            </w:tcMar>
            <w:vAlign w:val="bottom"/>
            <w:hideMark/>
          </w:tcPr>
          <w:p w14:paraId="7C91A273"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Wholly owned subsidiaries</w:t>
            </w:r>
          </w:p>
        </w:tc>
        <w:tc>
          <w:tcPr>
            <w:tcW w:w="0" w:type="auto"/>
            <w:tcMar>
              <w:top w:w="30" w:type="dxa"/>
              <w:left w:w="45" w:type="dxa"/>
              <w:bottom w:w="30" w:type="dxa"/>
              <w:right w:w="45" w:type="dxa"/>
            </w:tcMar>
            <w:vAlign w:val="bottom"/>
            <w:hideMark/>
          </w:tcPr>
          <w:p w14:paraId="7A12037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Build North American presence</w:t>
            </w:r>
          </w:p>
        </w:tc>
        <w:tc>
          <w:tcPr>
            <w:tcW w:w="0" w:type="auto"/>
            <w:tcMar>
              <w:top w:w="30" w:type="dxa"/>
              <w:left w:w="45" w:type="dxa"/>
              <w:bottom w:w="30" w:type="dxa"/>
              <w:right w:w="45" w:type="dxa"/>
            </w:tcMar>
            <w:vAlign w:val="bottom"/>
            <w:hideMark/>
          </w:tcPr>
          <w:p w14:paraId="201C0FC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Operational control</w:t>
            </w:r>
          </w:p>
        </w:tc>
      </w:tr>
      <w:tr w:rsidR="006F13DE" w:rsidRPr="006F13DE" w14:paraId="05937B61" w14:textId="77777777" w:rsidTr="006F13DE">
        <w:trPr>
          <w:trHeight w:val="315"/>
        </w:trPr>
        <w:tc>
          <w:tcPr>
            <w:tcW w:w="0" w:type="auto"/>
            <w:tcMar>
              <w:top w:w="30" w:type="dxa"/>
              <w:left w:w="45" w:type="dxa"/>
              <w:bottom w:w="30" w:type="dxa"/>
              <w:right w:w="45" w:type="dxa"/>
            </w:tcMar>
            <w:vAlign w:val="bottom"/>
            <w:hideMark/>
          </w:tcPr>
          <w:p w14:paraId="0CF63F4B"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Canada (proposed)</w:t>
            </w:r>
          </w:p>
        </w:tc>
        <w:tc>
          <w:tcPr>
            <w:tcW w:w="0" w:type="auto"/>
            <w:tcMar>
              <w:top w:w="30" w:type="dxa"/>
              <w:left w:w="45" w:type="dxa"/>
              <w:bottom w:w="30" w:type="dxa"/>
              <w:right w:w="45" w:type="dxa"/>
            </w:tcMar>
            <w:vAlign w:val="bottom"/>
            <w:hideMark/>
          </w:tcPr>
          <w:p w14:paraId="5DE6DB83"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Greenfield/flagship approach</w:t>
            </w:r>
          </w:p>
        </w:tc>
        <w:tc>
          <w:tcPr>
            <w:tcW w:w="0" w:type="auto"/>
            <w:tcMar>
              <w:top w:w="30" w:type="dxa"/>
              <w:left w:w="45" w:type="dxa"/>
              <w:bottom w:w="30" w:type="dxa"/>
              <w:right w:w="45" w:type="dxa"/>
            </w:tcMar>
            <w:vAlign w:val="bottom"/>
            <w:hideMark/>
          </w:tcPr>
          <w:p w14:paraId="7C80246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Extend expansion</w:t>
            </w:r>
          </w:p>
        </w:tc>
        <w:tc>
          <w:tcPr>
            <w:tcW w:w="0" w:type="auto"/>
            <w:tcMar>
              <w:top w:w="30" w:type="dxa"/>
              <w:left w:w="45" w:type="dxa"/>
              <w:bottom w:w="30" w:type="dxa"/>
              <w:right w:w="45" w:type="dxa"/>
            </w:tcMar>
            <w:vAlign w:val="bottom"/>
            <w:hideMark/>
          </w:tcPr>
          <w:p w14:paraId="5B0262C1"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Strategic consistency</w:t>
            </w:r>
          </w:p>
        </w:tc>
      </w:tr>
    </w:tbl>
    <w:p w14:paraId="05F0F5FC" w14:textId="77777777" w:rsidR="00F71C8C" w:rsidRPr="00CD0345" w:rsidRDefault="00F71C8C" w:rsidP="00F71C8C">
      <w:pPr>
        <w:spacing w:after="0" w:line="360" w:lineRule="auto"/>
        <w:jc w:val="both"/>
        <w:rPr>
          <w:rFonts w:ascii="Arial" w:hAnsi="Arial" w:cs="Arial"/>
          <w:sz w:val="24"/>
          <w:lang w:val="en-US"/>
        </w:rPr>
      </w:pPr>
      <w:r w:rsidRPr="00CD0345">
        <w:rPr>
          <w:rFonts w:ascii="Arial" w:hAnsi="Arial" w:cs="Arial"/>
          <w:i/>
          <w:iCs/>
          <w:sz w:val="24"/>
          <w:lang w:val="en-US"/>
        </w:rPr>
        <w:t>Source: Collinson, Narula and Rugman (2020); Carr and Leknes (2020); Narula and Lee (2020).</w:t>
      </w:r>
    </w:p>
    <w:p w14:paraId="08196B70" w14:textId="77777777" w:rsidR="00F71C8C" w:rsidRPr="00CD0345" w:rsidRDefault="00F71C8C" w:rsidP="006F13DE">
      <w:pPr>
        <w:pStyle w:val="Heading2"/>
        <w:rPr>
          <w:lang w:val="en-US"/>
        </w:rPr>
      </w:pPr>
      <w:bookmarkStart w:id="10" w:name="_Toc235800520"/>
      <w:r w:rsidRPr="00CD0345">
        <w:rPr>
          <w:lang w:val="en-US"/>
        </w:rPr>
        <w:t>3.2 Strategic Fit and Justification</w:t>
      </w:r>
      <w:bookmarkEnd w:id="10"/>
    </w:p>
    <w:p w14:paraId="523B6594" w14:textId="324D9728"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Primark entry mode used in the past is appropriate in Canada since its competitiveness lies in its ability to control its retail system. The OLI analysis shows that the location gains of Primark, ownership gains of Canada, and </w:t>
      </w:r>
      <w:r w:rsidR="00ED4D1E" w:rsidRPr="003C157B">
        <w:rPr>
          <w:rFonts w:ascii="Arial" w:hAnsi="Arial" w:cs="Arial"/>
          <w:sz w:val="24"/>
          <w:lang w:val="en-US"/>
        </w:rPr>
        <w:t>internalization</w:t>
      </w:r>
      <w:r w:rsidRPr="003C157B">
        <w:rPr>
          <w:rFonts w:ascii="Arial" w:hAnsi="Arial" w:cs="Arial"/>
          <w:sz w:val="24"/>
          <w:lang w:val="en-US"/>
        </w:rPr>
        <w:t xml:space="preserve"> gains of Canada give a preference to direct investment (</w:t>
      </w:r>
      <w:proofErr w:type="spellStart"/>
      <w:r w:rsidRPr="003C157B">
        <w:rPr>
          <w:rFonts w:ascii="Arial" w:hAnsi="Arial" w:cs="Arial"/>
          <w:sz w:val="24"/>
          <w:lang w:val="en-US"/>
        </w:rPr>
        <w:t>Chemsripong</w:t>
      </w:r>
      <w:proofErr w:type="spellEnd"/>
      <w:r w:rsidRPr="003C157B">
        <w:rPr>
          <w:rFonts w:ascii="Arial" w:hAnsi="Arial" w:cs="Arial"/>
          <w:sz w:val="24"/>
          <w:lang w:val="en-US"/>
        </w:rPr>
        <w:t>, 2023).</w:t>
      </w:r>
    </w:p>
    <w:p w14:paraId="4BB4B9F4"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Greenfield investment as a wholly owned subsidiary would enable Primark to directly import its business model into Canada. Full ownership protection includes sourcing, pricing, and store design, and inventory decisions (Collinson, Narula and Rugman, 2020).</w:t>
      </w:r>
    </w:p>
    <w:p w14:paraId="6F4EA1A6"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The key advantage of greenfield investment is the strategic alignment. The physical-store experience of Primark requires a customer service and efficiency of operations being in place all the time. External suppliers have the potential to be threatening on the issues of pricing, stocking and branding (Alon, </w:t>
      </w:r>
      <w:proofErr w:type="spellStart"/>
      <w:r w:rsidRPr="003C157B">
        <w:rPr>
          <w:rFonts w:ascii="Arial" w:hAnsi="Arial" w:cs="Arial"/>
          <w:sz w:val="24"/>
          <w:lang w:val="en-US"/>
        </w:rPr>
        <w:t>Apriliyanti</w:t>
      </w:r>
      <w:proofErr w:type="spellEnd"/>
      <w:r w:rsidRPr="003C157B">
        <w:rPr>
          <w:rFonts w:ascii="Arial" w:hAnsi="Arial" w:cs="Arial"/>
          <w:sz w:val="24"/>
          <w:lang w:val="en-US"/>
        </w:rPr>
        <w:t xml:space="preserve"> and Henríquez Parodi, 2021).</w:t>
      </w:r>
    </w:p>
    <w:p w14:paraId="369C5F9B"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Greenfield expansion is however very risky with regards to finances. The development of stores, the cost of property, recruitment and logistics investment of employees can press, especially in such costly Canadian cities like Toronto and Vancouver (</w:t>
      </w:r>
      <w:proofErr w:type="spellStart"/>
      <w:r w:rsidRPr="003C157B">
        <w:rPr>
          <w:rFonts w:ascii="Arial" w:hAnsi="Arial" w:cs="Arial"/>
          <w:sz w:val="24"/>
          <w:lang w:val="en-US"/>
        </w:rPr>
        <w:t>Kardes</w:t>
      </w:r>
      <w:proofErr w:type="spellEnd"/>
      <w:r w:rsidRPr="003C157B">
        <w:rPr>
          <w:rFonts w:ascii="Arial" w:hAnsi="Arial" w:cs="Arial"/>
          <w:sz w:val="24"/>
          <w:lang w:val="en-US"/>
        </w:rPr>
        <w:t xml:space="preserve"> et al., 2024).</w:t>
      </w:r>
    </w:p>
    <w:p w14:paraId="280C925B"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The other approach is acquisition or joint venture via the available retail spaces. The purchase of empty department stores might help save money, speed up the time to enter the market and access existing retail space (Nadeem, 2024).</w:t>
      </w:r>
    </w:p>
    <w:p w14:paraId="055766C2" w14:textId="77777777" w:rsidR="00F71C8C" w:rsidRPr="00CD0345" w:rsidRDefault="003C157B" w:rsidP="003C157B">
      <w:pPr>
        <w:spacing w:after="0" w:line="360" w:lineRule="auto"/>
        <w:jc w:val="both"/>
        <w:rPr>
          <w:rFonts w:ascii="Arial" w:hAnsi="Arial" w:cs="Arial"/>
          <w:sz w:val="24"/>
          <w:lang w:val="en-US"/>
        </w:rPr>
      </w:pPr>
      <w:r>
        <w:rPr>
          <w:rFonts w:ascii="Arial" w:hAnsi="Arial" w:cs="Arial"/>
          <w:sz w:val="24"/>
          <w:lang w:val="en-US"/>
        </w:rPr>
        <w:t>However</w:t>
      </w:r>
      <w:r w:rsidRPr="003C157B">
        <w:rPr>
          <w:rFonts w:ascii="Arial" w:hAnsi="Arial" w:cs="Arial"/>
          <w:sz w:val="24"/>
          <w:lang w:val="en-US"/>
        </w:rPr>
        <w:t>, integration issues can be caused by acquisitions as the current locations might not be in tandem with the operations model of Primark. Joint Ventures might also reduce the strategic control and undermine the ability of Primark to be cost effective (John-Mariadoss, 2023).</w:t>
      </w:r>
    </w:p>
    <w:p w14:paraId="050DCEB6" w14:textId="77777777" w:rsidR="00F71C8C" w:rsidRPr="00CD0345" w:rsidRDefault="00F71C8C" w:rsidP="00F71C8C">
      <w:pPr>
        <w:spacing w:after="0" w:line="360" w:lineRule="auto"/>
        <w:jc w:val="both"/>
        <w:rPr>
          <w:rFonts w:ascii="Arial" w:hAnsi="Arial" w:cs="Arial"/>
          <w:sz w:val="24"/>
          <w:lang w:val="en-US"/>
        </w:rPr>
      </w:pPr>
      <w:r w:rsidRPr="00CD0345">
        <w:rPr>
          <w:rFonts w:ascii="Arial" w:hAnsi="Arial" w:cs="Arial"/>
          <w:b/>
          <w:bCs/>
          <w:sz w:val="24"/>
          <w:lang w:val="en-US"/>
        </w:rPr>
        <w:t>Table 6: Evaluation of Primark Canada Entry Modes</w:t>
      </w:r>
    </w:p>
    <w:tbl>
      <w:tblPr>
        <w:tblW w:w="933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2815"/>
        <w:gridCol w:w="2840"/>
        <w:gridCol w:w="1980"/>
        <w:gridCol w:w="1695"/>
      </w:tblGrid>
      <w:tr w:rsidR="006F13DE" w:rsidRPr="006F13DE" w14:paraId="58F87C7C" w14:textId="77777777" w:rsidTr="006F13DE">
        <w:trPr>
          <w:trHeight w:val="315"/>
        </w:trPr>
        <w:tc>
          <w:tcPr>
            <w:tcW w:w="0" w:type="auto"/>
            <w:shd w:val="clear" w:color="auto" w:fill="20462C"/>
            <w:tcMar>
              <w:top w:w="30" w:type="dxa"/>
              <w:left w:w="45" w:type="dxa"/>
              <w:bottom w:w="30" w:type="dxa"/>
              <w:right w:w="45" w:type="dxa"/>
            </w:tcMar>
            <w:vAlign w:val="bottom"/>
            <w:hideMark/>
          </w:tcPr>
          <w:p w14:paraId="7DBFD25D"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Entry Mode</w:t>
            </w:r>
          </w:p>
        </w:tc>
        <w:tc>
          <w:tcPr>
            <w:tcW w:w="2840" w:type="dxa"/>
            <w:shd w:val="clear" w:color="auto" w:fill="20462C"/>
            <w:tcMar>
              <w:top w:w="30" w:type="dxa"/>
              <w:left w:w="45" w:type="dxa"/>
              <w:bottom w:w="30" w:type="dxa"/>
              <w:right w:w="45" w:type="dxa"/>
            </w:tcMar>
            <w:vAlign w:val="bottom"/>
            <w:hideMark/>
          </w:tcPr>
          <w:p w14:paraId="42F6271B"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Advantages</w:t>
            </w:r>
          </w:p>
        </w:tc>
        <w:tc>
          <w:tcPr>
            <w:tcW w:w="1980" w:type="dxa"/>
            <w:shd w:val="clear" w:color="auto" w:fill="20462C"/>
            <w:tcMar>
              <w:top w:w="30" w:type="dxa"/>
              <w:left w:w="45" w:type="dxa"/>
              <w:bottom w:w="30" w:type="dxa"/>
              <w:right w:w="45" w:type="dxa"/>
            </w:tcMar>
            <w:vAlign w:val="bottom"/>
            <w:hideMark/>
          </w:tcPr>
          <w:p w14:paraId="7847113E"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Limitations</w:t>
            </w:r>
          </w:p>
        </w:tc>
        <w:tc>
          <w:tcPr>
            <w:tcW w:w="1695" w:type="dxa"/>
            <w:shd w:val="clear" w:color="auto" w:fill="20462C"/>
            <w:tcMar>
              <w:top w:w="30" w:type="dxa"/>
              <w:left w:w="45" w:type="dxa"/>
              <w:bottom w:w="30" w:type="dxa"/>
              <w:right w:w="45" w:type="dxa"/>
            </w:tcMar>
            <w:vAlign w:val="bottom"/>
            <w:hideMark/>
          </w:tcPr>
          <w:p w14:paraId="596D80F1" w14:textId="77777777" w:rsidR="006F13DE" w:rsidRPr="006F13DE" w:rsidRDefault="006F13DE" w:rsidP="006F13DE">
            <w:pPr>
              <w:spacing w:after="0" w:line="360" w:lineRule="auto"/>
              <w:jc w:val="center"/>
              <w:rPr>
                <w:rFonts w:ascii="Arial" w:hAnsi="Arial" w:cs="Arial"/>
                <w:b/>
                <w:bCs/>
                <w:iCs/>
                <w:sz w:val="24"/>
                <w:lang w:val="en-US"/>
              </w:rPr>
            </w:pPr>
            <w:r w:rsidRPr="006F13DE">
              <w:rPr>
                <w:rFonts w:ascii="Arial" w:hAnsi="Arial" w:cs="Arial"/>
                <w:b/>
                <w:bCs/>
                <w:iCs/>
                <w:sz w:val="24"/>
                <w:lang w:val="en-US"/>
              </w:rPr>
              <w:t>Strategic Fit</w:t>
            </w:r>
          </w:p>
        </w:tc>
      </w:tr>
      <w:tr w:rsidR="006F13DE" w:rsidRPr="006F13DE" w14:paraId="7831B238" w14:textId="77777777" w:rsidTr="006F13DE">
        <w:trPr>
          <w:trHeight w:val="315"/>
        </w:trPr>
        <w:tc>
          <w:tcPr>
            <w:tcW w:w="0" w:type="auto"/>
            <w:tcMar>
              <w:top w:w="30" w:type="dxa"/>
              <w:left w:w="45" w:type="dxa"/>
              <w:bottom w:w="30" w:type="dxa"/>
              <w:right w:w="45" w:type="dxa"/>
            </w:tcMar>
            <w:vAlign w:val="bottom"/>
            <w:hideMark/>
          </w:tcPr>
          <w:p w14:paraId="4FCC803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Greenfield wholly owned subsidiary</w:t>
            </w:r>
          </w:p>
        </w:tc>
        <w:tc>
          <w:tcPr>
            <w:tcW w:w="2840" w:type="dxa"/>
            <w:tcMar>
              <w:top w:w="30" w:type="dxa"/>
              <w:left w:w="45" w:type="dxa"/>
              <w:bottom w:w="30" w:type="dxa"/>
              <w:right w:w="45" w:type="dxa"/>
            </w:tcMar>
            <w:vAlign w:val="bottom"/>
            <w:hideMark/>
          </w:tcPr>
          <w:p w14:paraId="735F3EF4"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High control, protects business model</w:t>
            </w:r>
          </w:p>
        </w:tc>
        <w:tc>
          <w:tcPr>
            <w:tcW w:w="1980" w:type="dxa"/>
            <w:tcMar>
              <w:top w:w="30" w:type="dxa"/>
              <w:left w:w="45" w:type="dxa"/>
              <w:bottom w:w="30" w:type="dxa"/>
              <w:right w:w="45" w:type="dxa"/>
            </w:tcMar>
            <w:vAlign w:val="bottom"/>
            <w:hideMark/>
          </w:tcPr>
          <w:p w14:paraId="27FEFE5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High investment</w:t>
            </w:r>
          </w:p>
        </w:tc>
        <w:tc>
          <w:tcPr>
            <w:tcW w:w="1695" w:type="dxa"/>
            <w:tcMar>
              <w:top w:w="30" w:type="dxa"/>
              <w:left w:w="45" w:type="dxa"/>
              <w:bottom w:w="30" w:type="dxa"/>
              <w:right w:w="45" w:type="dxa"/>
            </w:tcMar>
            <w:vAlign w:val="bottom"/>
            <w:hideMark/>
          </w:tcPr>
          <w:p w14:paraId="7C70386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Very High</w:t>
            </w:r>
          </w:p>
        </w:tc>
      </w:tr>
      <w:tr w:rsidR="006F13DE" w:rsidRPr="006F13DE" w14:paraId="0D779208" w14:textId="77777777" w:rsidTr="006F13DE">
        <w:trPr>
          <w:trHeight w:val="315"/>
        </w:trPr>
        <w:tc>
          <w:tcPr>
            <w:tcW w:w="0" w:type="auto"/>
            <w:tcMar>
              <w:top w:w="30" w:type="dxa"/>
              <w:left w:w="45" w:type="dxa"/>
              <w:bottom w:w="30" w:type="dxa"/>
              <w:right w:w="45" w:type="dxa"/>
            </w:tcMar>
            <w:vAlign w:val="bottom"/>
            <w:hideMark/>
          </w:tcPr>
          <w:p w14:paraId="258EFBAB"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Acquisition</w:t>
            </w:r>
          </w:p>
        </w:tc>
        <w:tc>
          <w:tcPr>
            <w:tcW w:w="2840" w:type="dxa"/>
            <w:tcMar>
              <w:top w:w="30" w:type="dxa"/>
              <w:left w:w="45" w:type="dxa"/>
              <w:bottom w:w="30" w:type="dxa"/>
              <w:right w:w="45" w:type="dxa"/>
            </w:tcMar>
            <w:vAlign w:val="bottom"/>
            <w:hideMark/>
          </w:tcPr>
          <w:p w14:paraId="79598331"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Faster entry, existing locations</w:t>
            </w:r>
          </w:p>
        </w:tc>
        <w:tc>
          <w:tcPr>
            <w:tcW w:w="1980" w:type="dxa"/>
            <w:tcMar>
              <w:top w:w="30" w:type="dxa"/>
              <w:left w:w="45" w:type="dxa"/>
              <w:bottom w:w="30" w:type="dxa"/>
              <w:right w:w="45" w:type="dxa"/>
            </w:tcMar>
            <w:vAlign w:val="bottom"/>
            <w:hideMark/>
          </w:tcPr>
          <w:p w14:paraId="7A0AF837"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Integration challenges</w:t>
            </w:r>
          </w:p>
        </w:tc>
        <w:tc>
          <w:tcPr>
            <w:tcW w:w="1695" w:type="dxa"/>
            <w:tcMar>
              <w:top w:w="30" w:type="dxa"/>
              <w:left w:w="45" w:type="dxa"/>
              <w:bottom w:w="30" w:type="dxa"/>
              <w:right w:w="45" w:type="dxa"/>
            </w:tcMar>
            <w:vAlign w:val="bottom"/>
            <w:hideMark/>
          </w:tcPr>
          <w:p w14:paraId="11E15B48"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Moderate</w:t>
            </w:r>
          </w:p>
        </w:tc>
      </w:tr>
      <w:tr w:rsidR="006F13DE" w:rsidRPr="006F13DE" w14:paraId="352EF052" w14:textId="77777777" w:rsidTr="006F13DE">
        <w:trPr>
          <w:trHeight w:val="315"/>
        </w:trPr>
        <w:tc>
          <w:tcPr>
            <w:tcW w:w="0" w:type="auto"/>
            <w:tcMar>
              <w:top w:w="30" w:type="dxa"/>
              <w:left w:w="45" w:type="dxa"/>
              <w:bottom w:w="30" w:type="dxa"/>
              <w:right w:w="45" w:type="dxa"/>
            </w:tcMar>
            <w:vAlign w:val="bottom"/>
            <w:hideMark/>
          </w:tcPr>
          <w:p w14:paraId="3F29EB36"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Joint venture</w:t>
            </w:r>
          </w:p>
        </w:tc>
        <w:tc>
          <w:tcPr>
            <w:tcW w:w="2840" w:type="dxa"/>
            <w:tcMar>
              <w:top w:w="30" w:type="dxa"/>
              <w:left w:w="45" w:type="dxa"/>
              <w:bottom w:w="30" w:type="dxa"/>
              <w:right w:w="45" w:type="dxa"/>
            </w:tcMar>
            <w:vAlign w:val="bottom"/>
            <w:hideMark/>
          </w:tcPr>
          <w:p w14:paraId="46315A32"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Shared risk</w:t>
            </w:r>
          </w:p>
        </w:tc>
        <w:tc>
          <w:tcPr>
            <w:tcW w:w="1980" w:type="dxa"/>
            <w:tcMar>
              <w:top w:w="30" w:type="dxa"/>
              <w:left w:w="45" w:type="dxa"/>
              <w:bottom w:w="30" w:type="dxa"/>
              <w:right w:w="45" w:type="dxa"/>
            </w:tcMar>
            <w:vAlign w:val="bottom"/>
            <w:hideMark/>
          </w:tcPr>
          <w:p w14:paraId="6E5E195C"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Lower control</w:t>
            </w:r>
          </w:p>
        </w:tc>
        <w:tc>
          <w:tcPr>
            <w:tcW w:w="1695" w:type="dxa"/>
            <w:tcMar>
              <w:top w:w="30" w:type="dxa"/>
              <w:left w:w="45" w:type="dxa"/>
              <w:bottom w:w="30" w:type="dxa"/>
              <w:right w:w="45" w:type="dxa"/>
            </w:tcMar>
            <w:vAlign w:val="bottom"/>
            <w:hideMark/>
          </w:tcPr>
          <w:p w14:paraId="2AFFDF86"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w:t>
            </w:r>
          </w:p>
        </w:tc>
      </w:tr>
      <w:tr w:rsidR="006F13DE" w:rsidRPr="006F13DE" w14:paraId="7A310AA1" w14:textId="77777777" w:rsidTr="006F13DE">
        <w:trPr>
          <w:trHeight w:val="315"/>
        </w:trPr>
        <w:tc>
          <w:tcPr>
            <w:tcW w:w="0" w:type="auto"/>
            <w:tcMar>
              <w:top w:w="30" w:type="dxa"/>
              <w:left w:w="45" w:type="dxa"/>
              <w:bottom w:w="30" w:type="dxa"/>
              <w:right w:w="45" w:type="dxa"/>
            </w:tcMar>
            <w:vAlign w:val="bottom"/>
            <w:hideMark/>
          </w:tcPr>
          <w:p w14:paraId="64C64F0E"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Franchising</w:t>
            </w:r>
          </w:p>
        </w:tc>
        <w:tc>
          <w:tcPr>
            <w:tcW w:w="2840" w:type="dxa"/>
            <w:tcMar>
              <w:top w:w="30" w:type="dxa"/>
              <w:left w:w="45" w:type="dxa"/>
              <w:bottom w:w="30" w:type="dxa"/>
              <w:right w:w="45" w:type="dxa"/>
            </w:tcMar>
            <w:vAlign w:val="bottom"/>
            <w:hideMark/>
          </w:tcPr>
          <w:p w14:paraId="26D3C10D"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 investment</w:t>
            </w:r>
          </w:p>
        </w:tc>
        <w:tc>
          <w:tcPr>
            <w:tcW w:w="1980" w:type="dxa"/>
            <w:tcMar>
              <w:top w:w="30" w:type="dxa"/>
              <w:left w:w="45" w:type="dxa"/>
              <w:bottom w:w="30" w:type="dxa"/>
              <w:right w:w="45" w:type="dxa"/>
            </w:tcMar>
            <w:vAlign w:val="bottom"/>
            <w:hideMark/>
          </w:tcPr>
          <w:p w14:paraId="24A1D7F5"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Weak operational control</w:t>
            </w:r>
          </w:p>
        </w:tc>
        <w:tc>
          <w:tcPr>
            <w:tcW w:w="1695" w:type="dxa"/>
            <w:tcMar>
              <w:top w:w="30" w:type="dxa"/>
              <w:left w:w="45" w:type="dxa"/>
              <w:bottom w:w="30" w:type="dxa"/>
              <w:right w:w="45" w:type="dxa"/>
            </w:tcMar>
            <w:vAlign w:val="bottom"/>
            <w:hideMark/>
          </w:tcPr>
          <w:p w14:paraId="6FE68960" w14:textId="77777777" w:rsidR="006F13DE" w:rsidRPr="006F13DE" w:rsidRDefault="006F13DE" w:rsidP="006F13DE">
            <w:pPr>
              <w:spacing w:after="0" w:line="360" w:lineRule="auto"/>
              <w:jc w:val="center"/>
              <w:rPr>
                <w:rFonts w:ascii="Arial" w:hAnsi="Arial" w:cs="Arial"/>
                <w:iCs/>
                <w:sz w:val="24"/>
                <w:lang w:val="en-US"/>
              </w:rPr>
            </w:pPr>
            <w:r w:rsidRPr="006F13DE">
              <w:rPr>
                <w:rFonts w:ascii="Arial" w:hAnsi="Arial" w:cs="Arial"/>
                <w:iCs/>
                <w:sz w:val="24"/>
                <w:lang w:val="en-US"/>
              </w:rPr>
              <w:t>Low</w:t>
            </w:r>
          </w:p>
        </w:tc>
      </w:tr>
    </w:tbl>
    <w:p w14:paraId="4671ABEA" w14:textId="77777777" w:rsidR="00F71C8C" w:rsidRPr="00CD0345" w:rsidRDefault="00F71C8C" w:rsidP="00F71C8C">
      <w:pPr>
        <w:spacing w:after="0" w:line="360" w:lineRule="auto"/>
        <w:jc w:val="both"/>
        <w:rPr>
          <w:rFonts w:ascii="Arial" w:hAnsi="Arial" w:cs="Arial"/>
          <w:sz w:val="24"/>
          <w:lang w:val="en-US"/>
        </w:rPr>
      </w:pPr>
      <w:r w:rsidRPr="00CD0345">
        <w:rPr>
          <w:rFonts w:ascii="Arial" w:hAnsi="Arial" w:cs="Arial"/>
          <w:i/>
          <w:iCs/>
          <w:sz w:val="24"/>
          <w:lang w:val="en-US"/>
        </w:rPr>
        <w:t xml:space="preserve">Source: </w:t>
      </w:r>
      <w:proofErr w:type="spellStart"/>
      <w:r w:rsidRPr="00CD0345">
        <w:rPr>
          <w:rFonts w:ascii="Arial" w:hAnsi="Arial" w:cs="Arial"/>
          <w:i/>
          <w:iCs/>
          <w:sz w:val="24"/>
          <w:lang w:val="en-US"/>
        </w:rPr>
        <w:t>Chemsripong</w:t>
      </w:r>
      <w:proofErr w:type="spellEnd"/>
      <w:r w:rsidRPr="00CD0345">
        <w:rPr>
          <w:rFonts w:ascii="Arial" w:hAnsi="Arial" w:cs="Arial"/>
          <w:i/>
          <w:iCs/>
          <w:sz w:val="24"/>
          <w:lang w:val="en-US"/>
        </w:rPr>
        <w:t xml:space="preserve"> (2023); Alon, </w:t>
      </w:r>
      <w:proofErr w:type="spellStart"/>
      <w:r w:rsidRPr="00CD0345">
        <w:rPr>
          <w:rFonts w:ascii="Arial" w:hAnsi="Arial" w:cs="Arial"/>
          <w:i/>
          <w:iCs/>
          <w:sz w:val="24"/>
          <w:lang w:val="en-US"/>
        </w:rPr>
        <w:t>Apriliyanti</w:t>
      </w:r>
      <w:proofErr w:type="spellEnd"/>
      <w:r w:rsidRPr="00CD0345">
        <w:rPr>
          <w:rFonts w:ascii="Arial" w:hAnsi="Arial" w:cs="Arial"/>
          <w:i/>
          <w:iCs/>
          <w:sz w:val="24"/>
          <w:lang w:val="en-US"/>
        </w:rPr>
        <w:t xml:space="preserve"> and Henríquez Parodi (2021); Nadeem (2024).</w:t>
      </w:r>
    </w:p>
    <w:p w14:paraId="11DCF95E"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When it comes to risk, control and strategic alignment, it is recommended that Primark have wholly owned strategy, but reduce the investment risk through selective acquisition of convenient retailing places. This is a hybrid approach which integrates operational control with a quicker entry approach to the market.</w:t>
      </w:r>
    </w:p>
    <w:p w14:paraId="68F8093E" w14:textId="0E878756" w:rsidR="003E24E1" w:rsidRDefault="003C157B" w:rsidP="003C157B">
      <w:pPr>
        <w:spacing w:after="0" w:line="360" w:lineRule="auto"/>
        <w:jc w:val="both"/>
        <w:rPr>
          <w:rFonts w:ascii="Arial" w:hAnsi="Arial" w:cs="Arial"/>
          <w:sz w:val="24"/>
          <w:lang w:val="en-US"/>
        </w:rPr>
      </w:pPr>
      <w:r w:rsidRPr="003C157B">
        <w:rPr>
          <w:rFonts w:ascii="Arial" w:hAnsi="Arial" w:cs="Arial"/>
          <w:sz w:val="24"/>
          <w:lang w:val="en-US"/>
        </w:rPr>
        <w:t>Primark should adopt a strategized growth plan through opening flagship stores in head cities such as Toronto, Vancouver and Montreal. This reduces the risk of finances and provides the opportunity to evaluate the acceptance by consumers and operating performance (Zhou, Gomes and Vendrell-Herrero, 2025)</w:t>
      </w:r>
      <w:r w:rsidR="00C10427">
        <w:rPr>
          <w:rFonts w:ascii="Arial" w:hAnsi="Arial" w:cs="Arial"/>
          <w:sz w:val="24"/>
          <w:lang w:val="en-US"/>
        </w:rPr>
        <w:t>.</w:t>
      </w:r>
    </w:p>
    <w:p w14:paraId="72D669CF" w14:textId="77777777" w:rsidR="00C10427" w:rsidRDefault="00C10427" w:rsidP="00C10427">
      <w:pPr>
        <w:spacing w:after="0" w:line="360" w:lineRule="auto"/>
        <w:jc w:val="both"/>
        <w:rPr>
          <w:rFonts w:ascii="Arial" w:hAnsi="Arial" w:cs="Arial"/>
          <w:b/>
          <w:bCs/>
          <w:sz w:val="24"/>
          <w:lang w:val="en-US"/>
        </w:rPr>
      </w:pPr>
      <w:r w:rsidRPr="00385D7D">
        <w:rPr>
          <w:rFonts w:ascii="Arial" w:hAnsi="Arial" w:cs="Arial"/>
          <w:b/>
          <w:bCs/>
          <w:sz w:val="24"/>
          <w:lang w:val="en-US"/>
        </w:rPr>
        <w:t xml:space="preserve">Recommendations </w:t>
      </w:r>
    </w:p>
    <w:p w14:paraId="0B1D99A8" w14:textId="2EF32E17" w:rsidR="00C10427" w:rsidRPr="003C157B" w:rsidRDefault="00722BCD" w:rsidP="003C157B">
      <w:pPr>
        <w:spacing w:after="0" w:line="360" w:lineRule="auto"/>
        <w:jc w:val="both"/>
        <w:rPr>
          <w:rFonts w:ascii="Arial" w:hAnsi="Arial" w:cs="Arial"/>
          <w:sz w:val="24"/>
          <w:lang w:val="en-US"/>
        </w:rPr>
      </w:pPr>
      <w:r w:rsidRPr="00722BCD">
        <w:rPr>
          <w:rFonts w:ascii="Arial" w:hAnsi="Arial" w:cs="Arial"/>
          <w:sz w:val="24"/>
          <w:lang w:val="en-US"/>
        </w:rPr>
        <w:t xml:space="preserve">Primark </w:t>
      </w:r>
      <w:r>
        <w:rPr>
          <w:rFonts w:ascii="Arial" w:hAnsi="Arial" w:cs="Arial"/>
          <w:sz w:val="24"/>
          <w:lang w:val="en-US"/>
        </w:rPr>
        <w:t xml:space="preserve">should maintain the wholly owned entry mode </w:t>
      </w:r>
      <w:r w:rsidR="00423E92">
        <w:rPr>
          <w:rFonts w:ascii="Arial" w:hAnsi="Arial" w:cs="Arial"/>
          <w:sz w:val="24"/>
          <w:lang w:val="en-US"/>
        </w:rPr>
        <w:t>and</w:t>
      </w:r>
      <w:r>
        <w:rPr>
          <w:rFonts w:ascii="Arial" w:hAnsi="Arial" w:cs="Arial"/>
          <w:sz w:val="24"/>
          <w:lang w:val="en-US"/>
        </w:rPr>
        <w:t xml:space="preserve"> enhance localization. They should develop a Canadian distribution center integrated with US logisti</w:t>
      </w:r>
      <w:r w:rsidR="00423E92">
        <w:rPr>
          <w:rFonts w:ascii="Arial" w:hAnsi="Arial" w:cs="Arial"/>
          <w:sz w:val="24"/>
          <w:lang w:val="en-US"/>
        </w:rPr>
        <w:t>cs. Furthermore, Primark should adapt product lines for Canadian winters and cultural diversity. They should ensure full compliance with sustainability, labor, and bilingual packaging laws</w:t>
      </w:r>
      <w:r w:rsidR="00FB69D1">
        <w:rPr>
          <w:rFonts w:ascii="Arial" w:hAnsi="Arial" w:cs="Arial"/>
          <w:sz w:val="24"/>
          <w:lang w:val="en-US"/>
        </w:rPr>
        <w:t xml:space="preserve"> (Government of Canada, 2025)</w:t>
      </w:r>
      <w:r w:rsidR="00423E92">
        <w:rPr>
          <w:rFonts w:ascii="Arial" w:hAnsi="Arial" w:cs="Arial"/>
          <w:sz w:val="24"/>
          <w:lang w:val="en-US"/>
        </w:rPr>
        <w:t>. To meet the Canadian consumer expectation</w:t>
      </w:r>
      <w:r w:rsidR="00380CDC">
        <w:rPr>
          <w:rFonts w:ascii="Arial" w:hAnsi="Arial" w:cs="Arial"/>
          <w:sz w:val="24"/>
          <w:lang w:val="en-US"/>
        </w:rPr>
        <w:t>, they should also pilot limited digital services.</w:t>
      </w:r>
      <w:r w:rsidR="00423E92">
        <w:rPr>
          <w:rFonts w:ascii="Arial" w:hAnsi="Arial" w:cs="Arial"/>
          <w:sz w:val="24"/>
          <w:lang w:val="en-US"/>
        </w:rPr>
        <w:t xml:space="preserve"> </w:t>
      </w:r>
      <w:r w:rsidR="00380CDC">
        <w:rPr>
          <w:rFonts w:ascii="Arial" w:hAnsi="Arial" w:cs="Arial"/>
          <w:sz w:val="24"/>
          <w:lang w:val="en-US"/>
        </w:rPr>
        <w:t>Lastly, the cluster initial stores in Toronto, Vancouver, and Montreal to maximize footfall and minimize distribution complexity. This approach preserves Primark’s core competitive advantage while address</w:t>
      </w:r>
      <w:r w:rsidR="003E24E1">
        <w:rPr>
          <w:rFonts w:ascii="Arial" w:hAnsi="Arial" w:cs="Arial"/>
          <w:sz w:val="24"/>
          <w:lang w:val="en-US"/>
        </w:rPr>
        <w:t>ing the unique demands of the Canadian market</w:t>
      </w:r>
      <w:r w:rsidR="00FB69D1">
        <w:rPr>
          <w:rFonts w:ascii="Arial" w:hAnsi="Arial" w:cs="Arial"/>
          <w:sz w:val="24"/>
          <w:lang w:val="en-US"/>
        </w:rPr>
        <w:t xml:space="preserve"> (Retail Council of Canada, 2025)</w:t>
      </w:r>
      <w:r w:rsidR="003E24E1">
        <w:rPr>
          <w:rFonts w:ascii="Arial" w:hAnsi="Arial" w:cs="Arial"/>
          <w:sz w:val="24"/>
          <w:lang w:val="en-US"/>
        </w:rPr>
        <w:t>.</w:t>
      </w:r>
    </w:p>
    <w:p w14:paraId="5E0A7D4E" w14:textId="0209B219" w:rsidR="003C157B" w:rsidRDefault="003C157B" w:rsidP="003C157B">
      <w:pPr>
        <w:pStyle w:val="Heading2"/>
        <w:rPr>
          <w:lang w:val="en-US"/>
        </w:rPr>
      </w:pPr>
      <w:bookmarkStart w:id="11" w:name="_Toc235800521"/>
      <w:r w:rsidRPr="003C157B">
        <w:rPr>
          <w:lang w:val="en-US"/>
        </w:rPr>
        <w:t xml:space="preserve">3.3 Conclusion </w:t>
      </w:r>
      <w:bookmarkEnd w:id="11"/>
    </w:p>
    <w:p w14:paraId="28E42DA6" w14:textId="758231EE" w:rsidR="003E24E1" w:rsidRDefault="003E24E1" w:rsidP="003E24E1">
      <w:pPr>
        <w:rPr>
          <w:rFonts w:ascii="Arial" w:hAnsi="Arial" w:cs="Arial"/>
          <w:sz w:val="24"/>
          <w:szCs w:val="24"/>
          <w:lang w:val="en-US"/>
        </w:rPr>
      </w:pPr>
      <w:r>
        <w:rPr>
          <w:rFonts w:ascii="Arial" w:hAnsi="Arial" w:cs="Arial"/>
          <w:sz w:val="24"/>
          <w:szCs w:val="24"/>
          <w:lang w:val="en-US"/>
        </w:rPr>
        <w:t xml:space="preserve">The historical entry mode of Primark which is the wholly owned </w:t>
      </w:r>
      <w:r w:rsidR="006A075E">
        <w:rPr>
          <w:rFonts w:ascii="Arial" w:hAnsi="Arial" w:cs="Arial"/>
          <w:sz w:val="24"/>
          <w:szCs w:val="24"/>
          <w:lang w:val="en-US"/>
        </w:rPr>
        <w:t>subsidiary</w:t>
      </w:r>
      <w:r>
        <w:rPr>
          <w:rFonts w:ascii="Arial" w:hAnsi="Arial" w:cs="Arial"/>
          <w:sz w:val="24"/>
          <w:szCs w:val="24"/>
          <w:lang w:val="en-US"/>
        </w:rPr>
        <w:t xml:space="preserve"> with direct </w:t>
      </w:r>
    </w:p>
    <w:p w14:paraId="65D729BE" w14:textId="77777777" w:rsidR="006A075E" w:rsidRDefault="006A075E" w:rsidP="003E24E1">
      <w:pPr>
        <w:rPr>
          <w:rFonts w:ascii="Arial" w:hAnsi="Arial" w:cs="Arial"/>
          <w:sz w:val="24"/>
          <w:szCs w:val="24"/>
          <w:lang w:val="en-US"/>
        </w:rPr>
      </w:pPr>
      <w:r>
        <w:rPr>
          <w:rFonts w:ascii="Arial" w:hAnsi="Arial" w:cs="Arial"/>
          <w:sz w:val="24"/>
          <w:szCs w:val="24"/>
          <w:lang w:val="en-US"/>
        </w:rPr>
        <w:t xml:space="preserve">store ownership is the most strategically appropriate for Canada. It aligns with Primark’s </w:t>
      </w:r>
    </w:p>
    <w:p w14:paraId="06414F92" w14:textId="77777777" w:rsidR="006A075E" w:rsidRDefault="006A075E" w:rsidP="003E24E1">
      <w:pPr>
        <w:rPr>
          <w:rFonts w:ascii="Arial" w:hAnsi="Arial" w:cs="Arial"/>
          <w:sz w:val="24"/>
          <w:szCs w:val="24"/>
          <w:lang w:val="en-US"/>
        </w:rPr>
      </w:pPr>
      <w:r>
        <w:rPr>
          <w:rFonts w:ascii="Arial" w:hAnsi="Arial" w:cs="Arial"/>
          <w:sz w:val="24"/>
          <w:szCs w:val="24"/>
          <w:lang w:val="en-US"/>
        </w:rPr>
        <w:t>global strategy, supports cost leadership, and ensures brand consistency. However</w:t>
      </w:r>
    </w:p>
    <w:p w14:paraId="52CC8A88" w14:textId="77777777" w:rsidR="006A075E" w:rsidRDefault="006A075E" w:rsidP="003E24E1">
      <w:pPr>
        <w:rPr>
          <w:rFonts w:ascii="Arial" w:hAnsi="Arial" w:cs="Arial"/>
          <w:sz w:val="24"/>
          <w:szCs w:val="24"/>
          <w:lang w:val="en-US"/>
        </w:rPr>
      </w:pPr>
      <w:r>
        <w:rPr>
          <w:rFonts w:ascii="Arial" w:hAnsi="Arial" w:cs="Arial"/>
          <w:sz w:val="24"/>
          <w:szCs w:val="24"/>
          <w:lang w:val="en-US"/>
        </w:rPr>
        <w:t xml:space="preserve">Canada’s regulatory environment, climate, and geographic dispersion require greater </w:t>
      </w:r>
    </w:p>
    <w:p w14:paraId="472CD62C" w14:textId="4FD89C12" w:rsidR="003E24E1" w:rsidRPr="003E24E1" w:rsidRDefault="006A075E" w:rsidP="003E24E1">
      <w:pPr>
        <w:rPr>
          <w:rFonts w:ascii="Arial" w:hAnsi="Arial" w:cs="Arial"/>
          <w:sz w:val="24"/>
          <w:szCs w:val="24"/>
          <w:lang w:val="en-US"/>
        </w:rPr>
      </w:pPr>
      <w:r>
        <w:rPr>
          <w:rFonts w:ascii="Arial" w:hAnsi="Arial" w:cs="Arial"/>
          <w:sz w:val="24"/>
          <w:szCs w:val="24"/>
          <w:lang w:val="en-US"/>
        </w:rPr>
        <w:t>localization than Primark typically employs</w:t>
      </w:r>
      <w:r w:rsidR="00FB69D1">
        <w:rPr>
          <w:rFonts w:ascii="Arial" w:hAnsi="Arial" w:cs="Arial"/>
          <w:sz w:val="24"/>
          <w:szCs w:val="24"/>
          <w:lang w:val="en-US"/>
        </w:rPr>
        <w:t xml:space="preserve"> (Across, 2026)</w:t>
      </w:r>
      <w:r>
        <w:rPr>
          <w:rFonts w:ascii="Arial" w:hAnsi="Arial" w:cs="Arial"/>
          <w:sz w:val="24"/>
          <w:szCs w:val="24"/>
          <w:lang w:val="en-US"/>
        </w:rPr>
        <w:t>.</w:t>
      </w:r>
    </w:p>
    <w:p w14:paraId="5376083B" w14:textId="77777777" w:rsidR="003C157B" w:rsidRP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Political stability of Canada, buying power, the city retail market and the increasing interest on low-cost fashion bodes well with Primark. However, rivalry, expensive prices and online nature are the biggest obstacles (</w:t>
      </w:r>
      <w:proofErr w:type="spellStart"/>
      <w:r w:rsidRPr="003C157B">
        <w:rPr>
          <w:rFonts w:ascii="Arial" w:hAnsi="Arial" w:cs="Arial"/>
          <w:sz w:val="24"/>
          <w:lang w:val="en-US"/>
        </w:rPr>
        <w:t>Rahmanifar</w:t>
      </w:r>
      <w:proofErr w:type="spellEnd"/>
      <w:r w:rsidRPr="003C157B">
        <w:rPr>
          <w:rFonts w:ascii="Arial" w:hAnsi="Arial" w:cs="Arial"/>
          <w:sz w:val="24"/>
          <w:lang w:val="en-US"/>
        </w:rPr>
        <w:t>, 2024).</w:t>
      </w:r>
    </w:p>
    <w:p w14:paraId="722692AD" w14:textId="2C5BE157" w:rsidR="003C157B" w:rsidRDefault="003C157B" w:rsidP="003C157B">
      <w:pPr>
        <w:spacing w:after="0" w:line="360" w:lineRule="auto"/>
        <w:jc w:val="both"/>
        <w:rPr>
          <w:rFonts w:ascii="Arial" w:hAnsi="Arial" w:cs="Arial"/>
          <w:sz w:val="24"/>
          <w:lang w:val="en-US"/>
        </w:rPr>
      </w:pPr>
      <w:r w:rsidRPr="003C157B">
        <w:rPr>
          <w:rFonts w:ascii="Arial" w:hAnsi="Arial" w:cs="Arial"/>
          <w:sz w:val="24"/>
          <w:lang w:val="en-US"/>
        </w:rPr>
        <w:t xml:space="preserve">The OLI model justifies the direct investment as it establishes that the benefits of ownership by Primark, the location benefits and </w:t>
      </w:r>
      <w:r w:rsidR="00ED4D1E" w:rsidRPr="003C157B">
        <w:rPr>
          <w:rFonts w:ascii="Arial" w:hAnsi="Arial" w:cs="Arial"/>
          <w:sz w:val="24"/>
          <w:lang w:val="en-US"/>
        </w:rPr>
        <w:t>internalization</w:t>
      </w:r>
      <w:r w:rsidRPr="003C157B">
        <w:rPr>
          <w:rFonts w:ascii="Arial" w:hAnsi="Arial" w:cs="Arial"/>
          <w:sz w:val="24"/>
          <w:lang w:val="en-US"/>
        </w:rPr>
        <w:t xml:space="preserve"> benefits by Canada benefit direct investment. It is necessary to maintain control as it can safeguard the low-cost strategy of Primark (Zlatev, 2025).</w:t>
      </w:r>
    </w:p>
    <w:p w14:paraId="7119F97A" w14:textId="77777777" w:rsidR="00385D7D" w:rsidRDefault="00385D7D" w:rsidP="003C157B">
      <w:pPr>
        <w:spacing w:after="0" w:line="360" w:lineRule="auto"/>
        <w:jc w:val="both"/>
        <w:rPr>
          <w:rFonts w:ascii="Arial" w:hAnsi="Arial" w:cs="Arial"/>
          <w:sz w:val="24"/>
          <w:lang w:val="en-US"/>
        </w:rPr>
      </w:pPr>
    </w:p>
    <w:p w14:paraId="694C2E56" w14:textId="15B0E563" w:rsidR="003E24E1" w:rsidRPr="003E24E1" w:rsidRDefault="003E24E1" w:rsidP="003E24E1">
      <w:pPr>
        <w:spacing w:after="0" w:line="360" w:lineRule="auto"/>
        <w:jc w:val="both"/>
        <w:rPr>
          <w:rFonts w:ascii="Arial" w:hAnsi="Arial" w:cs="Arial"/>
          <w:b/>
          <w:bCs/>
          <w:sz w:val="24"/>
          <w:szCs w:val="24"/>
          <w:lang w:val="en-US"/>
        </w:rPr>
      </w:pPr>
      <w:bookmarkStart w:id="12" w:name="_Toc235800522"/>
    </w:p>
    <w:p w14:paraId="7AACE372" w14:textId="332F41EF" w:rsidR="00D33FE1" w:rsidRPr="003E24E1" w:rsidRDefault="003E24E1" w:rsidP="003055D2">
      <w:pPr>
        <w:spacing w:after="0" w:line="360" w:lineRule="auto"/>
        <w:jc w:val="both"/>
        <w:rPr>
          <w:rFonts w:ascii="Arial" w:hAnsi="Arial" w:cs="Arial"/>
          <w:b/>
          <w:bCs/>
          <w:sz w:val="24"/>
          <w:szCs w:val="24"/>
          <w:lang w:val="en-US"/>
        </w:rPr>
      </w:pPr>
      <w:r w:rsidRPr="003E24E1">
        <w:rPr>
          <w:rFonts w:ascii="Arial" w:hAnsi="Arial" w:cs="Arial"/>
          <w:b/>
          <w:bCs/>
          <w:sz w:val="24"/>
          <w:szCs w:val="24"/>
          <w:lang w:val="en-US"/>
        </w:rPr>
        <w:t xml:space="preserve">SECTION  2: </w:t>
      </w:r>
      <w:r w:rsidR="00D33FE1" w:rsidRPr="003E24E1">
        <w:rPr>
          <w:rFonts w:ascii="Arial" w:hAnsi="Arial" w:cs="Arial"/>
          <w:b/>
          <w:bCs/>
          <w:sz w:val="24"/>
          <w:szCs w:val="24"/>
          <w:lang w:val="en-US"/>
        </w:rPr>
        <w:t>REFLECTIVE ACCOUNT (GIBBS’ REFLECTIVE CYCLE)</w:t>
      </w:r>
      <w:bookmarkEnd w:id="12"/>
    </w:p>
    <w:p w14:paraId="559E813A" w14:textId="77777777" w:rsidR="00D33FE1" w:rsidRPr="00D33FE1" w:rsidRDefault="00D33FE1" w:rsidP="003055D2">
      <w:pPr>
        <w:spacing w:after="0" w:line="360" w:lineRule="auto"/>
        <w:jc w:val="both"/>
        <w:rPr>
          <w:rFonts w:ascii="Arial" w:hAnsi="Arial" w:cs="Arial"/>
          <w:b/>
          <w:sz w:val="24"/>
          <w:lang w:val="en-US"/>
        </w:rPr>
      </w:pPr>
      <w:r w:rsidRPr="00D33FE1">
        <w:rPr>
          <w:rFonts w:ascii="Arial" w:hAnsi="Arial" w:cs="Arial"/>
          <w:b/>
          <w:sz w:val="24"/>
          <w:lang w:val="en-US"/>
        </w:rPr>
        <w:t>Description and Feelings</w:t>
      </w:r>
    </w:p>
    <w:p w14:paraId="3CD06ECE" w14:textId="77777777" w:rsidR="003055D2" w:rsidRPr="003055D2" w:rsidRDefault="00CF24D0" w:rsidP="003055D2">
      <w:pPr>
        <w:spacing w:after="0" w:line="360" w:lineRule="auto"/>
        <w:jc w:val="both"/>
        <w:rPr>
          <w:rFonts w:ascii="Arial" w:hAnsi="Arial" w:cs="Arial"/>
          <w:sz w:val="24"/>
          <w:lang w:val="en-US"/>
        </w:rPr>
      </w:pPr>
      <w:r w:rsidRPr="00CD0345">
        <w:rPr>
          <w:rFonts w:ascii="Arial" w:hAnsi="Arial" w:cs="Arial"/>
          <w:sz w:val="24"/>
          <w:lang w:val="en-US"/>
        </w:rPr>
        <w:t xml:space="preserve">This assignment focused on developing an international market entry strategy </w:t>
      </w:r>
      <w:r w:rsidR="003055D2" w:rsidRPr="003055D2">
        <w:rPr>
          <w:rFonts w:ascii="Arial" w:hAnsi="Arial" w:cs="Arial"/>
          <w:sz w:val="24"/>
          <w:lang w:val="en-US"/>
        </w:rPr>
        <w:t>to assist Primark in entering the Canadian market. The aim was to critically analyze the global strategy of Primark, analyze whether Canada was an attractive market or otherwise and then advise on the right entry mode based on international business theories. The Gibbs Reflective Cycle was chosen due to offering a guided methodology on assessing experiences, learning results, and future enhancement (Collinson, Narula and Rugman, 2020).</w:t>
      </w:r>
    </w:p>
    <w:p w14:paraId="23379B6C" w14:textId="77777777" w:rsidR="003055D2" w:rsidRPr="003055D2" w:rsidRDefault="00A01EFD" w:rsidP="003055D2">
      <w:pPr>
        <w:spacing w:after="0" w:line="360" w:lineRule="auto"/>
        <w:jc w:val="both"/>
        <w:rPr>
          <w:rFonts w:ascii="Arial" w:hAnsi="Arial" w:cs="Arial"/>
          <w:sz w:val="24"/>
          <w:lang w:val="en-US"/>
        </w:rPr>
      </w:pPr>
      <w:r>
        <w:rPr>
          <w:rFonts w:ascii="Arial" w:hAnsi="Arial" w:cs="Arial"/>
          <w:sz w:val="24"/>
          <w:lang w:val="en-US"/>
        </w:rPr>
        <w:t xml:space="preserve">In the beginning, the </w:t>
      </w:r>
      <w:r w:rsidR="003055D2" w:rsidRPr="003055D2">
        <w:rPr>
          <w:rFonts w:ascii="Arial" w:hAnsi="Arial" w:cs="Arial"/>
          <w:sz w:val="24"/>
          <w:lang w:val="en-US"/>
        </w:rPr>
        <w:t>assignment was intimidating and the need to combine theoretical and practical business analysis was stressful at the start of the work. It was also difficult to evaluate Primark since the company does not work in the same manner as most modern retailers because of the low level of e-commerce. This posed a challenge on how its physical-store model would compete in the digitally developed retail landscape in Canada.</w:t>
      </w:r>
    </w:p>
    <w:p w14:paraId="275235C2" w14:textId="77777777" w:rsidR="003055D2" w:rsidRPr="003055D2" w:rsidRDefault="00A01EFD" w:rsidP="003055D2">
      <w:pPr>
        <w:spacing w:after="0" w:line="360" w:lineRule="auto"/>
        <w:jc w:val="both"/>
        <w:rPr>
          <w:rFonts w:ascii="Arial" w:hAnsi="Arial" w:cs="Arial"/>
          <w:sz w:val="24"/>
          <w:lang w:val="en-US"/>
        </w:rPr>
      </w:pPr>
      <w:r>
        <w:rPr>
          <w:rFonts w:ascii="Arial" w:hAnsi="Arial" w:cs="Arial"/>
          <w:sz w:val="24"/>
          <w:lang w:val="en-US"/>
        </w:rPr>
        <w:t>However</w:t>
      </w:r>
      <w:r w:rsidR="003055D2" w:rsidRPr="003055D2">
        <w:rPr>
          <w:rFonts w:ascii="Arial" w:hAnsi="Arial" w:cs="Arial"/>
          <w:sz w:val="24"/>
          <w:lang w:val="en-US"/>
        </w:rPr>
        <w:t xml:space="preserve">, </w:t>
      </w:r>
      <w:r w:rsidRPr="00A01EFD">
        <w:rPr>
          <w:rFonts w:ascii="Arial" w:hAnsi="Arial" w:cs="Arial"/>
          <w:sz w:val="24"/>
          <w:lang w:val="en-US"/>
        </w:rPr>
        <w:t>initial research</w:t>
      </w:r>
      <w:r>
        <w:rPr>
          <w:rFonts w:ascii="Arial" w:hAnsi="Arial" w:cs="Arial"/>
          <w:sz w:val="24"/>
          <w:lang w:val="en-US"/>
        </w:rPr>
        <w:t xml:space="preserve"> m</w:t>
      </w:r>
      <w:r w:rsidR="003055D2" w:rsidRPr="003055D2">
        <w:rPr>
          <w:rFonts w:ascii="Arial" w:hAnsi="Arial" w:cs="Arial"/>
          <w:sz w:val="24"/>
          <w:lang w:val="en-US"/>
        </w:rPr>
        <w:t xml:space="preserve">ade me feel </w:t>
      </w:r>
      <w:r>
        <w:rPr>
          <w:rFonts w:ascii="Arial" w:hAnsi="Arial" w:cs="Arial"/>
          <w:sz w:val="24"/>
          <w:lang w:val="en-US"/>
        </w:rPr>
        <w:t>more confident</w:t>
      </w:r>
      <w:r w:rsidR="003055D2" w:rsidRPr="003055D2">
        <w:rPr>
          <w:rFonts w:ascii="Arial" w:hAnsi="Arial" w:cs="Arial"/>
          <w:sz w:val="24"/>
          <w:lang w:val="en-US"/>
        </w:rPr>
        <w:t>. Through studying the cost leadership concept of Primark and linking it to international business theories, I found that it allowed me to gain a more analytical direction in my direction. It was possible to use academic concepts to a real strategic decision and not just describe what company does.</w:t>
      </w:r>
    </w:p>
    <w:p w14:paraId="17E51DCF" w14:textId="77777777" w:rsidR="003055D2" w:rsidRPr="00CF24D0" w:rsidRDefault="003055D2" w:rsidP="003055D2">
      <w:pPr>
        <w:spacing w:after="0" w:line="360" w:lineRule="auto"/>
        <w:jc w:val="both"/>
        <w:rPr>
          <w:rFonts w:ascii="Arial" w:hAnsi="Arial" w:cs="Arial"/>
          <w:b/>
          <w:sz w:val="24"/>
          <w:lang w:val="en-US"/>
        </w:rPr>
      </w:pPr>
      <w:r w:rsidRPr="00CF24D0">
        <w:rPr>
          <w:rFonts w:ascii="Arial" w:hAnsi="Arial" w:cs="Arial"/>
          <w:b/>
          <w:sz w:val="24"/>
          <w:lang w:val="en-US"/>
        </w:rPr>
        <w:t>Evaluation and Analysis</w:t>
      </w:r>
    </w:p>
    <w:p w14:paraId="4BB548DE" w14:textId="5DDC9265" w:rsidR="003055D2" w:rsidRPr="003055D2" w:rsidRDefault="00A01EFD" w:rsidP="003055D2">
      <w:pPr>
        <w:spacing w:after="0" w:line="360" w:lineRule="auto"/>
        <w:jc w:val="both"/>
        <w:rPr>
          <w:rFonts w:ascii="Arial" w:hAnsi="Arial" w:cs="Arial"/>
          <w:sz w:val="24"/>
          <w:lang w:val="en-US"/>
        </w:rPr>
      </w:pPr>
      <w:r w:rsidRPr="00A01EFD">
        <w:rPr>
          <w:rFonts w:ascii="Arial" w:hAnsi="Arial" w:cs="Arial"/>
          <w:sz w:val="24"/>
          <w:lang w:val="en-US"/>
        </w:rPr>
        <w:t xml:space="preserve">Several aspects </w:t>
      </w:r>
      <w:r w:rsidR="003055D2" w:rsidRPr="003055D2">
        <w:rPr>
          <w:rFonts w:ascii="Arial" w:hAnsi="Arial" w:cs="Arial"/>
          <w:sz w:val="24"/>
          <w:lang w:val="en-US"/>
        </w:rPr>
        <w:t xml:space="preserve">succeeded in the research process. Being able to access corporate information through reports of Associated British Foods enabled the ability to gain valuable insight into the financial position of Primark, their global expansion and sustainability practices. These sources helped in bringing the company's performance in relation to the strategic decision making and not the general information about retail. Plausible </w:t>
      </w:r>
      <w:r w:rsidR="00ED4D1E" w:rsidRPr="003055D2">
        <w:rPr>
          <w:rFonts w:ascii="Arial" w:hAnsi="Arial" w:cs="Arial"/>
          <w:sz w:val="24"/>
          <w:lang w:val="en-US"/>
        </w:rPr>
        <w:t>organizational</w:t>
      </w:r>
      <w:r w:rsidR="003055D2" w:rsidRPr="003055D2">
        <w:rPr>
          <w:rFonts w:ascii="Arial" w:hAnsi="Arial" w:cs="Arial"/>
          <w:sz w:val="24"/>
          <w:lang w:val="en-US"/>
        </w:rPr>
        <w:t xml:space="preserve"> data (Zlatev, 2025) were used to support the trustworthiness of the analysis.</w:t>
      </w:r>
    </w:p>
    <w:p w14:paraId="04B94F1C"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Another successful aspect of the process was the application of the OLI framework created by Dunning. The framework assisted in aligning competitive advantages of Primark, competitive advantages of the Canadian market and why the company should retain internal control. This gave a deeper understanding of how the economies of scale, supplier relations and cost structure relate to the benefit of ownership at Primark in relation to its decision to expand globally (</w:t>
      </w:r>
      <w:proofErr w:type="spellStart"/>
      <w:r w:rsidRPr="003055D2">
        <w:rPr>
          <w:rFonts w:ascii="Arial" w:hAnsi="Arial" w:cs="Arial"/>
          <w:sz w:val="24"/>
          <w:lang w:val="en-US"/>
        </w:rPr>
        <w:t>Chemsripong</w:t>
      </w:r>
      <w:proofErr w:type="spellEnd"/>
      <w:r w:rsidRPr="003055D2">
        <w:rPr>
          <w:rFonts w:ascii="Arial" w:hAnsi="Arial" w:cs="Arial"/>
          <w:sz w:val="24"/>
          <w:lang w:val="en-US"/>
        </w:rPr>
        <w:t>, 2023).</w:t>
      </w:r>
    </w:p>
    <w:p w14:paraId="541C8C35" w14:textId="45FD36C0"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 xml:space="preserve">Bartlett and Ghosal framework were also used to enhance the analysis. I didn't see the Primark strategy as simply another global one, but I estimated the proportions of </w:t>
      </w:r>
      <w:r w:rsidR="00ED4D1E" w:rsidRPr="003055D2">
        <w:rPr>
          <w:rFonts w:ascii="Arial" w:hAnsi="Arial" w:cs="Arial"/>
          <w:sz w:val="24"/>
          <w:lang w:val="en-US"/>
        </w:rPr>
        <w:t>standardization</w:t>
      </w:r>
      <w:r w:rsidRPr="003055D2">
        <w:rPr>
          <w:rFonts w:ascii="Arial" w:hAnsi="Arial" w:cs="Arial"/>
          <w:sz w:val="24"/>
          <w:lang w:val="en-US"/>
        </w:rPr>
        <w:t xml:space="preserve"> to minimal adaptation of the local one. This theoretical approach helped to explain how Primark is able to be efficient and make selective changes in the foreign markets (Ghoshal, 2023).</w:t>
      </w:r>
    </w:p>
    <w:p w14:paraId="663BBF71"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The primary difficulty was not to get into a descriptive PESTLE analysis. It was hard to go beyond the Canadian political, economic, legal and cultural factors initially. The task required critical analysis of specific impact of these factors on retail strategy of Primark. So I focused more on issues like customer demand for fashion at low costs, competition from the other existing shops, demand for online fashion and the profitability of the business.</w:t>
      </w:r>
    </w:p>
    <w:p w14:paraId="1D2C4B5D"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The other issue was to get the balance right between their approaches to the academic issues and their recommendations. The business models that are used in international business give a general explanation but the actual decisions taken in the market require uncertainty and conflicting priorities. As an illustration, even though greenfield investment offers highest level of control, the high costs of properties in Canada pose financial risks. Taking these trade-offs into account helped me to make better evidence-based recommendations than picking strategies for no particular reason (Narula and Lee, 2020).</w:t>
      </w:r>
    </w:p>
    <w:p w14:paraId="4753E52F"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My approach was greatly influenced by lectures, academic readings and seminar discussions. They introduced the theoretical background on multinational strategies analysis, FDI and entry mode decision. These learning activities were used to process the input in the market into organized strategic arguments. The research process also revealed that the international business analysis needs integrating both theory and evidence, as well as critical judgement, to be effectively conducted.</w:t>
      </w:r>
    </w:p>
    <w:p w14:paraId="788C10F7" w14:textId="77777777" w:rsidR="003055D2" w:rsidRPr="00CF24D0" w:rsidRDefault="00CF24D0" w:rsidP="003055D2">
      <w:pPr>
        <w:spacing w:after="0" w:line="360" w:lineRule="auto"/>
        <w:jc w:val="both"/>
        <w:rPr>
          <w:rFonts w:ascii="Arial" w:hAnsi="Arial" w:cs="Arial"/>
          <w:b/>
          <w:sz w:val="24"/>
          <w:lang w:val="en-US"/>
        </w:rPr>
      </w:pPr>
      <w:r>
        <w:rPr>
          <w:rFonts w:ascii="Arial" w:hAnsi="Arial" w:cs="Arial"/>
          <w:b/>
          <w:sz w:val="24"/>
          <w:lang w:val="en-US"/>
        </w:rPr>
        <w:t>Conclusion and Action Plan</w:t>
      </w:r>
    </w:p>
    <w:p w14:paraId="3073CC37" w14:textId="01CA2F3E"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 xml:space="preserve">Through this assignment, I could learn more about international business research and decision making regarding strategic decision. I came to know that there is more than the collection of company data to </w:t>
      </w:r>
      <w:r w:rsidR="00ED4D1E" w:rsidRPr="003055D2">
        <w:rPr>
          <w:rFonts w:ascii="Arial" w:hAnsi="Arial" w:cs="Arial"/>
          <w:sz w:val="24"/>
          <w:lang w:val="en-US"/>
        </w:rPr>
        <w:t>analyze</w:t>
      </w:r>
      <w:r w:rsidRPr="003055D2">
        <w:rPr>
          <w:rFonts w:ascii="Arial" w:hAnsi="Arial" w:cs="Arial"/>
          <w:sz w:val="24"/>
          <w:lang w:val="en-US"/>
        </w:rPr>
        <w:t xml:space="preserve"> the multinational expansion. It involves an evaluation of the relationship between </w:t>
      </w:r>
      <w:r w:rsidR="00ED4D1E" w:rsidRPr="003055D2">
        <w:rPr>
          <w:rFonts w:ascii="Arial" w:hAnsi="Arial" w:cs="Arial"/>
          <w:sz w:val="24"/>
          <w:lang w:val="en-US"/>
        </w:rPr>
        <w:t>organizational</w:t>
      </w:r>
      <w:r w:rsidRPr="003055D2">
        <w:rPr>
          <w:rFonts w:ascii="Arial" w:hAnsi="Arial" w:cs="Arial"/>
          <w:sz w:val="24"/>
          <w:lang w:val="en-US"/>
        </w:rPr>
        <w:t xml:space="preserve"> competencies and external market </w:t>
      </w:r>
      <w:r w:rsidR="00ED4D1E" w:rsidRPr="003055D2">
        <w:rPr>
          <w:rFonts w:ascii="Arial" w:hAnsi="Arial" w:cs="Arial"/>
          <w:sz w:val="24"/>
          <w:lang w:val="en-US"/>
        </w:rPr>
        <w:t>conditions</w:t>
      </w:r>
      <w:r w:rsidRPr="003055D2">
        <w:rPr>
          <w:rFonts w:ascii="Arial" w:hAnsi="Arial" w:cs="Arial"/>
          <w:sz w:val="24"/>
          <w:lang w:val="en-US"/>
        </w:rPr>
        <w:t xml:space="preserve"> and risks in the strategy. The Primark case has shown that the k</w:t>
      </w:r>
      <w:r w:rsidR="00CF24D0">
        <w:rPr>
          <w:rFonts w:ascii="Arial" w:hAnsi="Arial" w:cs="Arial"/>
          <w:sz w:val="24"/>
          <w:lang w:val="en-US"/>
        </w:rPr>
        <w:t xml:space="preserve">ey to successful </w:t>
      </w:r>
      <w:r w:rsidR="00ED4D1E">
        <w:rPr>
          <w:rFonts w:ascii="Arial" w:hAnsi="Arial" w:cs="Arial"/>
          <w:sz w:val="24"/>
          <w:lang w:val="en-US"/>
        </w:rPr>
        <w:t>internationaliz</w:t>
      </w:r>
      <w:r w:rsidR="00ED4D1E" w:rsidRPr="003055D2">
        <w:rPr>
          <w:rFonts w:ascii="Arial" w:hAnsi="Arial" w:cs="Arial"/>
          <w:sz w:val="24"/>
          <w:lang w:val="en-US"/>
        </w:rPr>
        <w:t>ation</w:t>
      </w:r>
      <w:r w:rsidRPr="003055D2">
        <w:rPr>
          <w:rFonts w:ascii="Arial" w:hAnsi="Arial" w:cs="Arial"/>
          <w:sz w:val="24"/>
          <w:lang w:val="en-US"/>
        </w:rPr>
        <w:t xml:space="preserve"> is ensuring that alignment of strategy, environment and entry mode are achieved.</w:t>
      </w:r>
    </w:p>
    <w:p w14:paraId="656E36D1"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The process of research also revealed the areas where individual improvement could be made. Some of the drawbacks were too much time spent starting the research by collecting general global data and then eliminating it based on the relevance to the source. In the next project(s), I will be able to establish criteria for research more effectively at the outset and use academic databases and corporate reports and evidence from the industry more effectively.</w:t>
      </w:r>
    </w:p>
    <w:p w14:paraId="5039CBCA" w14:textId="700B22E2"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 xml:space="preserve">Another thing that I </w:t>
      </w:r>
      <w:r w:rsidR="00ED4D1E" w:rsidRPr="003055D2">
        <w:rPr>
          <w:rFonts w:ascii="Arial" w:hAnsi="Arial" w:cs="Arial"/>
          <w:sz w:val="24"/>
          <w:lang w:val="en-US"/>
        </w:rPr>
        <w:t>realized</w:t>
      </w:r>
      <w:r w:rsidRPr="003055D2">
        <w:rPr>
          <w:rFonts w:ascii="Arial" w:hAnsi="Arial" w:cs="Arial"/>
          <w:sz w:val="24"/>
          <w:lang w:val="en-US"/>
        </w:rPr>
        <w:t xml:space="preserve"> is the need to develop data synthesis. I should highlight distinct links between evidence and strategic implications: instead of reporting distinct results. The reports of the future will be more explanatory as to why a certain factor is important on business decisions and not purely describing markets conditions.</w:t>
      </w:r>
    </w:p>
    <w:p w14:paraId="544BD262"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Three improvements are included in my future action plan. To start with, I will initiate research earlier and compile a well-organized evidence matrix between theories, data sources and report sections. Secondly, I will be better at time management by reducing some of the time gaps between researching, reviewing, writing, revising. Thirdly, I will continue to fine-tune the critical writing skills by examining various approaches, and evaluating their strengths, weaknesses and implications.</w:t>
      </w:r>
    </w:p>
    <w:p w14:paraId="7BD2D6CF" w14:textId="77777777" w:rsidR="003055D2" w:rsidRPr="003055D2" w:rsidRDefault="003055D2" w:rsidP="003055D2">
      <w:pPr>
        <w:spacing w:after="0" w:line="360" w:lineRule="auto"/>
        <w:jc w:val="both"/>
        <w:rPr>
          <w:rFonts w:ascii="Arial" w:hAnsi="Arial" w:cs="Arial"/>
          <w:sz w:val="24"/>
          <w:lang w:val="en-US"/>
        </w:rPr>
      </w:pPr>
      <w:r w:rsidRPr="003055D2">
        <w:rPr>
          <w:rFonts w:ascii="Arial" w:hAnsi="Arial" w:cs="Arial"/>
          <w:sz w:val="24"/>
          <w:lang w:val="en-US"/>
        </w:rPr>
        <w:t>In general, this reflection has enhanced my own self-confidence in being an international business researcher. The assignment gave me the opportunity to work with strategic frameworks, to understand and assess the market in very complex situations and provide informed recommendations. The skills will inform future academic and professional project development and international expansion and corporate strategy.</w:t>
      </w:r>
    </w:p>
    <w:p w14:paraId="6287C1E7" w14:textId="2D505DB3" w:rsidR="00CF24D0" w:rsidRDefault="00CF24D0">
      <w:pPr>
        <w:rPr>
          <w:rFonts w:ascii="Arial" w:hAnsi="Arial" w:cs="Arial"/>
          <w:sz w:val="24"/>
          <w:lang w:val="en-US"/>
        </w:rPr>
      </w:pPr>
    </w:p>
    <w:p w14:paraId="40DE5ADB" w14:textId="77777777" w:rsidR="00FB69D1" w:rsidRDefault="00FB69D1">
      <w:pPr>
        <w:rPr>
          <w:rFonts w:ascii="Arial" w:hAnsi="Arial" w:cs="Arial"/>
          <w:sz w:val="24"/>
          <w:lang w:val="en-US"/>
        </w:rPr>
      </w:pPr>
    </w:p>
    <w:p w14:paraId="0D269AC1" w14:textId="77777777" w:rsidR="003055D2" w:rsidRPr="003055D2" w:rsidRDefault="00C861BA" w:rsidP="00CF24D0">
      <w:pPr>
        <w:pStyle w:val="Heading1"/>
        <w:rPr>
          <w:lang w:val="en-US"/>
        </w:rPr>
      </w:pPr>
      <w:bookmarkStart w:id="13" w:name="_Toc235800523"/>
      <w:r w:rsidRPr="003055D2">
        <w:rPr>
          <w:lang w:val="en-US"/>
        </w:rPr>
        <w:t>CONCLUSION</w:t>
      </w:r>
      <w:bookmarkEnd w:id="13"/>
    </w:p>
    <w:p w14:paraId="1D0B9DCE" w14:textId="51B52754" w:rsidR="00490224" w:rsidRDefault="003055D2" w:rsidP="003055D2">
      <w:pPr>
        <w:spacing w:after="0" w:line="360" w:lineRule="auto"/>
        <w:jc w:val="both"/>
        <w:rPr>
          <w:rFonts w:ascii="Arial" w:hAnsi="Arial" w:cs="Arial"/>
          <w:sz w:val="24"/>
          <w:lang w:val="en-US"/>
        </w:rPr>
      </w:pPr>
      <w:r w:rsidRPr="003055D2">
        <w:rPr>
          <w:rFonts w:ascii="Arial" w:hAnsi="Arial" w:cs="Arial"/>
          <w:sz w:val="24"/>
          <w:lang w:val="en-US"/>
        </w:rPr>
        <w:t xml:space="preserve">This report critically </w:t>
      </w:r>
      <w:r w:rsidR="00CF24D0">
        <w:rPr>
          <w:rFonts w:ascii="Arial" w:hAnsi="Arial" w:cs="Arial"/>
          <w:sz w:val="24"/>
          <w:lang w:val="en-US"/>
        </w:rPr>
        <w:t xml:space="preserve">evaluated </w:t>
      </w:r>
      <w:r w:rsidRPr="003055D2">
        <w:rPr>
          <w:rFonts w:ascii="Arial" w:hAnsi="Arial" w:cs="Arial"/>
          <w:sz w:val="24"/>
          <w:lang w:val="en-US"/>
        </w:rPr>
        <w:t xml:space="preserve">the potential of Primark to expand to Canada through the analysis of its global strategy, market attractiveness and entry mode options. Findings indicate that the global </w:t>
      </w:r>
      <w:r w:rsidR="00ED4D1E" w:rsidRPr="003055D2">
        <w:rPr>
          <w:rFonts w:ascii="Arial" w:hAnsi="Arial" w:cs="Arial"/>
          <w:sz w:val="24"/>
          <w:lang w:val="en-US"/>
        </w:rPr>
        <w:t>standardization</w:t>
      </w:r>
      <w:r w:rsidRPr="003055D2">
        <w:rPr>
          <w:rFonts w:ascii="Arial" w:hAnsi="Arial" w:cs="Arial"/>
          <w:sz w:val="24"/>
          <w:lang w:val="en-US"/>
        </w:rPr>
        <w:t xml:space="preserve"> strategy and the benefits of ownership and location factors of Primark play an important role in Primark's expansion </w:t>
      </w:r>
      <w:r w:rsidR="00CC4CEF" w:rsidRPr="003055D2">
        <w:rPr>
          <w:rFonts w:ascii="Arial" w:hAnsi="Arial" w:cs="Arial"/>
          <w:sz w:val="24"/>
          <w:lang w:val="en-US"/>
        </w:rPr>
        <w:t>at</w:t>
      </w:r>
      <w:r w:rsidRPr="003055D2">
        <w:rPr>
          <w:rFonts w:ascii="Arial" w:hAnsi="Arial" w:cs="Arial"/>
          <w:sz w:val="24"/>
          <w:lang w:val="en-US"/>
        </w:rPr>
        <w:t xml:space="preserve"> the global level. Nonetheless, the intensity of competition, costs of operations and the demand of digital needs demand a careful adjustment. Therefore, it is recommended to have a strategy to establish a 100% subsidiary while taking targeted opportunities to acquire those who are suitable to carry out the business, so that strategic control can be achieved while reducing investment risks. This is the most suitable approach to the Primark's long-term international expansion plans.</w:t>
      </w:r>
    </w:p>
    <w:p w14:paraId="61B1AA72" w14:textId="77777777" w:rsidR="00CF24D0" w:rsidRPr="00CD0345" w:rsidRDefault="00CF24D0" w:rsidP="003055D2">
      <w:pPr>
        <w:spacing w:after="0" w:line="360" w:lineRule="auto"/>
        <w:jc w:val="both"/>
        <w:rPr>
          <w:rFonts w:ascii="Arial" w:hAnsi="Arial" w:cs="Arial"/>
          <w:sz w:val="24"/>
          <w:lang w:val="en-US"/>
        </w:rPr>
      </w:pPr>
    </w:p>
    <w:p w14:paraId="77E4C39C" w14:textId="77777777" w:rsidR="00490224" w:rsidRPr="00CD0345" w:rsidRDefault="00490224">
      <w:pPr>
        <w:rPr>
          <w:rFonts w:ascii="Arial" w:hAnsi="Arial" w:cs="Arial"/>
          <w:sz w:val="24"/>
          <w:lang w:val="en-US"/>
        </w:rPr>
      </w:pPr>
      <w:r w:rsidRPr="00CD0345">
        <w:rPr>
          <w:rFonts w:ascii="Arial" w:hAnsi="Arial" w:cs="Arial"/>
          <w:sz w:val="24"/>
          <w:lang w:val="en-US"/>
        </w:rPr>
        <w:br w:type="page"/>
      </w:r>
    </w:p>
    <w:p w14:paraId="1E311C9A" w14:textId="77777777" w:rsidR="00490224" w:rsidRPr="00CD0345" w:rsidRDefault="00C861BA" w:rsidP="00490224">
      <w:pPr>
        <w:pStyle w:val="Heading1"/>
        <w:rPr>
          <w:rFonts w:cs="Arial"/>
          <w:lang w:val="en-US"/>
        </w:rPr>
      </w:pPr>
      <w:bookmarkStart w:id="14" w:name="_Toc235800524"/>
      <w:r w:rsidRPr="00CD0345">
        <w:rPr>
          <w:rFonts w:cs="Arial"/>
          <w:lang w:val="en-US"/>
        </w:rPr>
        <w:t>REFERENCES</w:t>
      </w:r>
      <w:bookmarkEnd w:id="14"/>
    </w:p>
    <w:p w14:paraId="5D230D32"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Alon, I., </w:t>
      </w:r>
      <w:proofErr w:type="spellStart"/>
      <w:r w:rsidRPr="003C35F0">
        <w:rPr>
          <w:rFonts w:ascii="Arial" w:hAnsi="Arial" w:cs="Arial"/>
          <w:i/>
          <w:iCs/>
          <w:sz w:val="24"/>
          <w:lang w:val="en-US"/>
        </w:rPr>
        <w:t>Apriliyanti</w:t>
      </w:r>
      <w:proofErr w:type="spellEnd"/>
      <w:r w:rsidRPr="003C35F0">
        <w:rPr>
          <w:rFonts w:ascii="Arial" w:hAnsi="Arial" w:cs="Arial"/>
          <w:i/>
          <w:iCs/>
          <w:sz w:val="24"/>
          <w:lang w:val="en-US"/>
        </w:rPr>
        <w:t>, I.D. and Henríquez Parodi, M.C., 2021. A systematic review of international franchising. Multinational Business Review, 29(1), pp.43–69.</w:t>
      </w:r>
    </w:p>
    <w:p w14:paraId="431BCD6C" w14:textId="5077810C" w:rsidR="007C4BBA" w:rsidRPr="003C35F0" w:rsidRDefault="007C4BBA" w:rsidP="003C35F0">
      <w:pPr>
        <w:spacing w:after="0" w:line="360" w:lineRule="auto"/>
        <w:ind w:firstLine="720"/>
        <w:rPr>
          <w:rFonts w:ascii="Arial" w:hAnsi="Arial" w:cs="Arial"/>
          <w:i/>
          <w:iCs/>
          <w:sz w:val="24"/>
          <w:lang w:val="en-US"/>
        </w:rPr>
      </w:pPr>
      <w:r w:rsidRPr="003C35F0">
        <w:rPr>
          <w:rFonts w:ascii="Arial" w:hAnsi="Arial" w:cs="Arial"/>
          <w:i/>
          <w:iCs/>
          <w:sz w:val="24"/>
          <w:lang w:val="en-US"/>
        </w:rPr>
        <w:t>Across (</w:t>
      </w:r>
      <w:proofErr w:type="gramStart"/>
      <w:r w:rsidRPr="003C35F0">
        <w:rPr>
          <w:rFonts w:ascii="Arial" w:hAnsi="Arial" w:cs="Arial"/>
          <w:i/>
          <w:iCs/>
          <w:sz w:val="24"/>
          <w:lang w:val="en-US"/>
        </w:rPr>
        <w:t>2026) ‘</w:t>
      </w:r>
      <w:proofErr w:type="gramEnd"/>
      <w:r w:rsidRPr="003C35F0">
        <w:rPr>
          <w:rFonts w:ascii="Arial" w:hAnsi="Arial" w:cs="Arial"/>
          <w:i/>
          <w:iCs/>
          <w:sz w:val="24"/>
          <w:lang w:val="en-US"/>
        </w:rPr>
        <w:t>Brand history: Primark’, ACROSS Magazine, 5 February.</w:t>
      </w:r>
    </w:p>
    <w:p w14:paraId="24BE1B6C"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Beamish, P.W. and Chakravarty, D., 2021. Using the resource-based view in multinational enterprise research. Journal of Management, 47(7), pp.1861–1877.</w:t>
      </w:r>
    </w:p>
    <w:p w14:paraId="2C2EB30F"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Carr, C. and Leknes, H., 2020. Global Configuration Analysis: The Case of Retail Fashion. In: Global Oligopoly. Routledge, pp.80–105.</w:t>
      </w:r>
    </w:p>
    <w:p w14:paraId="16982277" w14:textId="77777777" w:rsidR="00490224" w:rsidRPr="003C35F0" w:rsidRDefault="00490224" w:rsidP="003C35F0">
      <w:pPr>
        <w:spacing w:after="0" w:line="360" w:lineRule="auto"/>
        <w:ind w:firstLine="720"/>
        <w:rPr>
          <w:rFonts w:ascii="Arial" w:hAnsi="Arial" w:cs="Arial"/>
          <w:i/>
          <w:iCs/>
          <w:sz w:val="24"/>
          <w:lang w:val="en-US"/>
        </w:rPr>
      </w:pPr>
      <w:proofErr w:type="spellStart"/>
      <w:r w:rsidRPr="003C35F0">
        <w:rPr>
          <w:rFonts w:ascii="Arial" w:hAnsi="Arial" w:cs="Arial"/>
          <w:i/>
          <w:iCs/>
          <w:sz w:val="24"/>
          <w:lang w:val="en-US"/>
        </w:rPr>
        <w:t>Chemsripong</w:t>
      </w:r>
      <w:proofErr w:type="spellEnd"/>
      <w:r w:rsidRPr="003C35F0">
        <w:rPr>
          <w:rFonts w:ascii="Arial" w:hAnsi="Arial" w:cs="Arial"/>
          <w:i/>
          <w:iCs/>
          <w:sz w:val="24"/>
          <w:lang w:val="en-US"/>
        </w:rPr>
        <w:t>, S., 2023. A conceptual framework of the entry mode choices' determinants: the ownership-location-</w:t>
      </w:r>
      <w:proofErr w:type="spellStart"/>
      <w:r w:rsidRPr="003C35F0">
        <w:rPr>
          <w:rFonts w:ascii="Arial" w:hAnsi="Arial" w:cs="Arial"/>
          <w:i/>
          <w:iCs/>
          <w:sz w:val="24"/>
          <w:lang w:val="en-US"/>
        </w:rPr>
        <w:t>internalisation</w:t>
      </w:r>
      <w:proofErr w:type="spellEnd"/>
      <w:r w:rsidRPr="003C35F0">
        <w:rPr>
          <w:rFonts w:ascii="Arial" w:hAnsi="Arial" w:cs="Arial"/>
          <w:i/>
          <w:iCs/>
          <w:sz w:val="24"/>
          <w:lang w:val="en-US"/>
        </w:rPr>
        <w:t xml:space="preserve"> approach. International Journal of Economics and Business Research, 25(3), pp.330–346.</w:t>
      </w:r>
    </w:p>
    <w:p w14:paraId="656EE4CD"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Clemente Fernández-Picazo, L.D., 2023. </w:t>
      </w:r>
      <w:proofErr w:type="spellStart"/>
      <w:r w:rsidRPr="003C35F0">
        <w:rPr>
          <w:rFonts w:ascii="Arial" w:hAnsi="Arial" w:cs="Arial"/>
          <w:i/>
          <w:iCs/>
          <w:sz w:val="24"/>
          <w:lang w:val="en-US"/>
        </w:rPr>
        <w:t>Internacionalización</w:t>
      </w:r>
      <w:proofErr w:type="spellEnd"/>
      <w:r w:rsidRPr="003C35F0">
        <w:rPr>
          <w:rFonts w:ascii="Arial" w:hAnsi="Arial" w:cs="Arial"/>
          <w:i/>
          <w:iCs/>
          <w:sz w:val="24"/>
          <w:lang w:val="en-US"/>
        </w:rPr>
        <w:t xml:space="preserve"> de </w:t>
      </w:r>
      <w:proofErr w:type="spellStart"/>
      <w:r w:rsidRPr="003C35F0">
        <w:rPr>
          <w:rFonts w:ascii="Arial" w:hAnsi="Arial" w:cs="Arial"/>
          <w:i/>
          <w:iCs/>
          <w:sz w:val="24"/>
          <w:lang w:val="en-US"/>
        </w:rPr>
        <w:t>marcas</w:t>
      </w:r>
      <w:proofErr w:type="spellEnd"/>
      <w:r w:rsidRPr="003C35F0">
        <w:rPr>
          <w:rFonts w:ascii="Arial" w:hAnsi="Arial" w:cs="Arial"/>
          <w:i/>
          <w:iCs/>
          <w:sz w:val="24"/>
          <w:lang w:val="en-US"/>
        </w:rPr>
        <w:t xml:space="preserve"> de </w:t>
      </w:r>
      <w:proofErr w:type="spellStart"/>
      <w:r w:rsidRPr="003C35F0">
        <w:rPr>
          <w:rFonts w:ascii="Arial" w:hAnsi="Arial" w:cs="Arial"/>
          <w:i/>
          <w:iCs/>
          <w:sz w:val="24"/>
          <w:lang w:val="en-US"/>
        </w:rPr>
        <w:t>moda</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nativas</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digitales</w:t>
      </w:r>
      <w:proofErr w:type="spellEnd"/>
      <w:r w:rsidRPr="003C35F0">
        <w:rPr>
          <w:rFonts w:ascii="Arial" w:hAnsi="Arial" w:cs="Arial"/>
          <w:i/>
          <w:iCs/>
          <w:sz w:val="24"/>
          <w:lang w:val="en-US"/>
        </w:rPr>
        <w:t>.</w:t>
      </w:r>
    </w:p>
    <w:p w14:paraId="6A4C87CD"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Collinson, S., Narula, R. and Rugman, A.M., 2020. International Business. Pearson UK.</w:t>
      </w:r>
    </w:p>
    <w:p w14:paraId="1502C2EE"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de Almeida Martins, M.O., 2021. Field Lab on </w:t>
      </w:r>
      <w:proofErr w:type="spellStart"/>
      <w:r w:rsidRPr="003C35F0">
        <w:rPr>
          <w:rFonts w:ascii="Arial" w:hAnsi="Arial" w:cs="Arial"/>
          <w:i/>
          <w:iCs/>
          <w:sz w:val="24"/>
          <w:lang w:val="en-US"/>
        </w:rPr>
        <w:t>International</w:t>
      </w:r>
      <w:r w:rsidR="00CD0345" w:rsidRPr="003C35F0">
        <w:rPr>
          <w:rFonts w:ascii="Arial" w:hAnsi="Arial" w:cs="Arial"/>
          <w:i/>
          <w:iCs/>
          <w:sz w:val="24"/>
          <w:lang w:val="en-US"/>
        </w:rPr>
        <w:t>isat</w:t>
      </w:r>
      <w:r w:rsidRPr="003C35F0">
        <w:rPr>
          <w:rFonts w:ascii="Arial" w:hAnsi="Arial" w:cs="Arial"/>
          <w:i/>
          <w:iCs/>
          <w:sz w:val="24"/>
          <w:lang w:val="en-US"/>
        </w:rPr>
        <w:t>ion</w:t>
      </w:r>
      <w:proofErr w:type="spellEnd"/>
      <w:r w:rsidRPr="003C35F0">
        <w:rPr>
          <w:rFonts w:ascii="Arial" w:hAnsi="Arial" w:cs="Arial"/>
          <w:i/>
          <w:iCs/>
          <w:sz w:val="24"/>
          <w:lang w:val="en-US"/>
        </w:rPr>
        <w:t xml:space="preserve">: A Case Study of a Portuguese SME in the Floor Covering Industry–PESTLE (Australia), Industry Analysis and Entry Strategy. Master’s thesis, </w:t>
      </w:r>
      <w:proofErr w:type="spellStart"/>
      <w:r w:rsidRPr="003C35F0">
        <w:rPr>
          <w:rFonts w:ascii="Arial" w:hAnsi="Arial" w:cs="Arial"/>
          <w:i/>
          <w:iCs/>
          <w:sz w:val="24"/>
          <w:lang w:val="en-US"/>
        </w:rPr>
        <w:t>Universidade</w:t>
      </w:r>
      <w:proofErr w:type="spellEnd"/>
      <w:r w:rsidRPr="003C35F0">
        <w:rPr>
          <w:rFonts w:ascii="Arial" w:hAnsi="Arial" w:cs="Arial"/>
          <w:i/>
          <w:iCs/>
          <w:sz w:val="24"/>
          <w:lang w:val="en-US"/>
        </w:rPr>
        <w:t xml:space="preserve"> NOVA de Lisboa.</w:t>
      </w:r>
    </w:p>
    <w:p w14:paraId="5811FBC4" w14:textId="20E62F18" w:rsidR="007C4BBA" w:rsidRPr="003C35F0" w:rsidRDefault="007C4BBA"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Government of Canada (2025) Textile Labelling and Advertising Regulations. Available at: </w:t>
      </w:r>
      <w:hyperlink r:id="rId14" w:history="1">
        <w:r w:rsidRPr="003C35F0">
          <w:rPr>
            <w:rStyle w:val="Hyperlink"/>
            <w:rFonts w:ascii="Arial" w:hAnsi="Arial" w:cs="Arial"/>
            <w:i/>
            <w:iCs/>
            <w:sz w:val="24"/>
            <w:lang w:val="en-US"/>
          </w:rPr>
          <w:t>https://www.canada.ca</w:t>
        </w:r>
      </w:hyperlink>
      <w:r w:rsidRPr="003C35F0">
        <w:rPr>
          <w:rFonts w:ascii="Arial" w:hAnsi="Arial" w:cs="Arial"/>
          <w:i/>
          <w:iCs/>
          <w:sz w:val="24"/>
          <w:lang w:val="en-US"/>
        </w:rPr>
        <w:t xml:space="preserve"> (Accessed: 4 August 2026).</w:t>
      </w:r>
    </w:p>
    <w:p w14:paraId="25FCD6D1"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Ghoshal, S., 2023. Global strategy: an organizing framework. In: International Strategic Management. Routledge, pp.3–20.</w:t>
      </w:r>
    </w:p>
    <w:p w14:paraId="76783206" w14:textId="7C240CA2" w:rsidR="009C0FE8" w:rsidRPr="003C35F0" w:rsidRDefault="00490224" w:rsidP="009C0FE8">
      <w:pPr>
        <w:spacing w:after="0" w:line="360" w:lineRule="auto"/>
        <w:ind w:firstLine="720"/>
        <w:rPr>
          <w:rFonts w:ascii="Arial" w:hAnsi="Arial" w:cs="Arial"/>
          <w:i/>
          <w:iCs/>
          <w:sz w:val="24"/>
          <w:lang w:val="en-US"/>
        </w:rPr>
      </w:pPr>
      <w:r w:rsidRPr="003C35F0">
        <w:rPr>
          <w:rFonts w:ascii="Arial" w:hAnsi="Arial" w:cs="Arial"/>
          <w:i/>
          <w:iCs/>
          <w:sz w:val="24"/>
          <w:lang w:val="en-US"/>
        </w:rPr>
        <w:t>Herz, B. and Thomson, R., 2021. Retail Foreign Direct Investment Brand Manufacturer. Journal of Economics &amp; Management Strategy.</w:t>
      </w:r>
    </w:p>
    <w:p w14:paraId="2AB613F4"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John-Mariadoss, B., 2023. 12.5 International Entry Modes. In: Core Principles of Strategic Marketing.</w:t>
      </w:r>
    </w:p>
    <w:p w14:paraId="26284066" w14:textId="77777777" w:rsidR="00490224" w:rsidRPr="003C35F0" w:rsidRDefault="00490224" w:rsidP="003C35F0">
      <w:pPr>
        <w:spacing w:after="0" w:line="360" w:lineRule="auto"/>
        <w:ind w:firstLine="720"/>
        <w:rPr>
          <w:rFonts w:ascii="Arial" w:hAnsi="Arial" w:cs="Arial"/>
          <w:i/>
          <w:iCs/>
          <w:sz w:val="24"/>
          <w:lang w:val="en-US"/>
        </w:rPr>
      </w:pPr>
      <w:proofErr w:type="spellStart"/>
      <w:r w:rsidRPr="003C35F0">
        <w:rPr>
          <w:rFonts w:ascii="Arial" w:hAnsi="Arial" w:cs="Arial"/>
          <w:i/>
          <w:iCs/>
          <w:sz w:val="24"/>
          <w:lang w:val="en-US"/>
        </w:rPr>
        <w:t>Kardes</w:t>
      </w:r>
      <w:proofErr w:type="spellEnd"/>
      <w:r w:rsidRPr="003C35F0">
        <w:rPr>
          <w:rFonts w:ascii="Arial" w:hAnsi="Arial" w:cs="Arial"/>
          <w:i/>
          <w:iCs/>
          <w:sz w:val="24"/>
          <w:lang w:val="en-US"/>
        </w:rPr>
        <w:t>, I., Tran, J.M., Mathur, M., Flynn, L.R. and Dugan, M.T., 2024. Digital opportunity assessment in international markets. International Journal of Trade and Global Markets, 20(1–2), pp.25–49.</w:t>
      </w:r>
    </w:p>
    <w:p w14:paraId="713B4AD7"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Mabitsela, T.L., 2021. A Framework for Penetrating Engineering Related Markets Developing Countries. University of Johannesburg.</w:t>
      </w:r>
    </w:p>
    <w:p w14:paraId="0AB30661"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Martín Alonso, L., 2026. </w:t>
      </w:r>
      <w:proofErr w:type="spellStart"/>
      <w:r w:rsidRPr="003C35F0">
        <w:rPr>
          <w:rFonts w:ascii="Arial" w:hAnsi="Arial" w:cs="Arial"/>
          <w:i/>
          <w:iCs/>
          <w:sz w:val="24"/>
          <w:lang w:val="en-US"/>
        </w:rPr>
        <w:t>Internacionalización</w:t>
      </w:r>
      <w:proofErr w:type="spellEnd"/>
      <w:r w:rsidRPr="003C35F0">
        <w:rPr>
          <w:rFonts w:ascii="Arial" w:hAnsi="Arial" w:cs="Arial"/>
          <w:i/>
          <w:iCs/>
          <w:sz w:val="24"/>
          <w:lang w:val="en-US"/>
        </w:rPr>
        <w:t xml:space="preserve"> de la </w:t>
      </w:r>
      <w:proofErr w:type="spellStart"/>
      <w:r w:rsidRPr="003C35F0">
        <w:rPr>
          <w:rFonts w:ascii="Arial" w:hAnsi="Arial" w:cs="Arial"/>
          <w:i/>
          <w:iCs/>
          <w:sz w:val="24"/>
          <w:lang w:val="en-US"/>
        </w:rPr>
        <w:t>marca</w:t>
      </w:r>
      <w:proofErr w:type="spellEnd"/>
      <w:r w:rsidRPr="003C35F0">
        <w:rPr>
          <w:rFonts w:ascii="Arial" w:hAnsi="Arial" w:cs="Arial"/>
          <w:i/>
          <w:iCs/>
          <w:sz w:val="24"/>
          <w:lang w:val="en-US"/>
        </w:rPr>
        <w:t xml:space="preserve"> Renatta and Go </w:t>
      </w:r>
      <w:proofErr w:type="spellStart"/>
      <w:r w:rsidRPr="003C35F0">
        <w:rPr>
          <w:rFonts w:ascii="Arial" w:hAnsi="Arial" w:cs="Arial"/>
          <w:i/>
          <w:iCs/>
          <w:sz w:val="24"/>
          <w:lang w:val="en-US"/>
        </w:rPr>
        <w:t>en</w:t>
      </w:r>
      <w:proofErr w:type="spellEnd"/>
      <w:r w:rsidRPr="003C35F0">
        <w:rPr>
          <w:rFonts w:ascii="Arial" w:hAnsi="Arial" w:cs="Arial"/>
          <w:i/>
          <w:iCs/>
          <w:sz w:val="24"/>
          <w:lang w:val="en-US"/>
        </w:rPr>
        <w:t xml:space="preserve"> Europa.</w:t>
      </w:r>
    </w:p>
    <w:p w14:paraId="11087CDA"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Moradlou, H., Skipworth, H., Bals, L., Aktas, E. and Roscoe, S., 2025. Geopolitical disruptions and supply chain structural ambidexterity. International Journal of Operations &amp; Production Management, 45(4), pp.836–862.</w:t>
      </w:r>
    </w:p>
    <w:p w14:paraId="0DAA60DC"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Nabilah, A.H., 2025. Module 7 Assignment 1: Global Strategy Analysis Final Report Sweetgreen’s International Expansion.</w:t>
      </w:r>
    </w:p>
    <w:p w14:paraId="5C528B19"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NADEEM, K., 2024. Strategic Gateways to International Markets: A Contextual Approach to Entry Mode Selection.</w:t>
      </w:r>
    </w:p>
    <w:p w14:paraId="65AF1A3E"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Narula, R. and Lee, J.M., 2020. The theories of the multinational enterprise. In: Encyclopedia of International Economics and Global Trade, 1, p.1.</w:t>
      </w:r>
    </w:p>
    <w:p w14:paraId="098EA667" w14:textId="77777777" w:rsidR="00490224" w:rsidRDefault="00490224" w:rsidP="003C35F0">
      <w:pPr>
        <w:spacing w:after="0" w:line="360" w:lineRule="auto"/>
        <w:ind w:firstLine="720"/>
        <w:rPr>
          <w:rFonts w:ascii="Arial" w:hAnsi="Arial" w:cs="Arial"/>
          <w:i/>
          <w:iCs/>
          <w:sz w:val="24"/>
          <w:lang w:val="en-US"/>
        </w:rPr>
      </w:pPr>
      <w:proofErr w:type="spellStart"/>
      <w:r w:rsidRPr="003C35F0">
        <w:rPr>
          <w:rFonts w:ascii="Arial" w:hAnsi="Arial" w:cs="Arial"/>
          <w:i/>
          <w:iCs/>
          <w:sz w:val="24"/>
          <w:lang w:val="en-US"/>
        </w:rPr>
        <w:t>Nyamboga</w:t>
      </w:r>
      <w:proofErr w:type="spellEnd"/>
      <w:r w:rsidRPr="003C35F0">
        <w:rPr>
          <w:rFonts w:ascii="Arial" w:hAnsi="Arial" w:cs="Arial"/>
          <w:i/>
          <w:iCs/>
          <w:sz w:val="24"/>
          <w:lang w:val="en-US"/>
        </w:rPr>
        <w:t xml:space="preserve">, O.T. and Kampala International University, WC School of Business and Management, 2024. </w:t>
      </w:r>
      <w:proofErr w:type="spellStart"/>
      <w:r w:rsidRPr="003C35F0">
        <w:rPr>
          <w:rFonts w:ascii="Arial" w:hAnsi="Arial" w:cs="Arial"/>
          <w:i/>
          <w:iCs/>
          <w:sz w:val="24"/>
          <w:lang w:val="en-US"/>
        </w:rPr>
        <w:t>Liberal</w:t>
      </w:r>
      <w:r w:rsidR="00CD0345" w:rsidRPr="003C35F0">
        <w:rPr>
          <w:rFonts w:ascii="Arial" w:hAnsi="Arial" w:cs="Arial"/>
          <w:i/>
          <w:iCs/>
          <w:sz w:val="24"/>
          <w:lang w:val="en-US"/>
        </w:rPr>
        <w:t>isat</w:t>
      </w:r>
      <w:r w:rsidRPr="003C35F0">
        <w:rPr>
          <w:rFonts w:ascii="Arial" w:hAnsi="Arial" w:cs="Arial"/>
          <w:i/>
          <w:iCs/>
          <w:sz w:val="24"/>
          <w:lang w:val="en-US"/>
        </w:rPr>
        <w:t>ion</w:t>
      </w:r>
      <w:proofErr w:type="spellEnd"/>
      <w:r w:rsidRPr="003C35F0">
        <w:rPr>
          <w:rFonts w:ascii="Arial" w:hAnsi="Arial" w:cs="Arial"/>
          <w:i/>
          <w:iCs/>
          <w:sz w:val="24"/>
          <w:lang w:val="en-US"/>
        </w:rPr>
        <w:t xml:space="preserve"> and global business dilemma in third world countries: A PEST analysis. International Journal of Multidisciplinary Research and Analysis, 7(03).</w:t>
      </w:r>
    </w:p>
    <w:p w14:paraId="079DF53C" w14:textId="0C6483FE" w:rsidR="009C0FE8" w:rsidRPr="003C35F0" w:rsidRDefault="009C0FE8" w:rsidP="003C35F0">
      <w:pPr>
        <w:spacing w:after="0" w:line="360" w:lineRule="auto"/>
        <w:ind w:firstLine="720"/>
        <w:rPr>
          <w:rFonts w:ascii="Arial" w:hAnsi="Arial" w:cs="Arial"/>
          <w:i/>
          <w:iCs/>
          <w:sz w:val="24"/>
          <w:lang w:val="en-US"/>
        </w:rPr>
      </w:pPr>
      <w:r>
        <w:rPr>
          <w:rFonts w:ascii="Arial" w:hAnsi="Arial" w:cs="Arial"/>
          <w:i/>
          <w:iCs/>
          <w:sz w:val="24"/>
          <w:lang w:val="en-US"/>
        </w:rPr>
        <w:t xml:space="preserve">Primark (2025) Primark – Company Profile. Available at: </w:t>
      </w:r>
      <w:hyperlink r:id="rId15" w:history="1">
        <w:r w:rsidRPr="00E36B51">
          <w:rPr>
            <w:rStyle w:val="Hyperlink"/>
            <w:rFonts w:ascii="Arial" w:hAnsi="Arial" w:cs="Arial"/>
            <w:i/>
            <w:iCs/>
            <w:sz w:val="24"/>
            <w:lang w:val="en-US"/>
          </w:rPr>
          <w:t>https://primark.com</w:t>
        </w:r>
      </w:hyperlink>
      <w:r>
        <w:rPr>
          <w:rFonts w:ascii="Arial" w:hAnsi="Arial" w:cs="Arial"/>
          <w:i/>
          <w:iCs/>
          <w:sz w:val="24"/>
          <w:lang w:val="en-US"/>
        </w:rPr>
        <w:t xml:space="preserve"> (Accessed: 5 August 2026).</w:t>
      </w:r>
    </w:p>
    <w:p w14:paraId="409263C8" w14:textId="77777777" w:rsidR="00490224" w:rsidRPr="003C35F0" w:rsidRDefault="00490224" w:rsidP="003C35F0">
      <w:pPr>
        <w:spacing w:after="0" w:line="360" w:lineRule="auto"/>
        <w:ind w:firstLine="720"/>
        <w:rPr>
          <w:rFonts w:ascii="Arial" w:hAnsi="Arial" w:cs="Arial"/>
          <w:i/>
          <w:iCs/>
          <w:sz w:val="24"/>
          <w:lang w:val="en-US"/>
        </w:rPr>
      </w:pPr>
      <w:proofErr w:type="spellStart"/>
      <w:r w:rsidRPr="003C35F0">
        <w:rPr>
          <w:rFonts w:ascii="Arial" w:hAnsi="Arial" w:cs="Arial"/>
          <w:i/>
          <w:iCs/>
          <w:sz w:val="24"/>
          <w:lang w:val="en-US"/>
        </w:rPr>
        <w:t>Rahmanifar</w:t>
      </w:r>
      <w:proofErr w:type="spellEnd"/>
      <w:r w:rsidRPr="003C35F0">
        <w:rPr>
          <w:rFonts w:ascii="Arial" w:hAnsi="Arial" w:cs="Arial"/>
          <w:i/>
          <w:iCs/>
          <w:sz w:val="24"/>
          <w:lang w:val="en-US"/>
        </w:rPr>
        <w:t>, A., 2024. Exploring Factors Influencing Economy's Long-Term Growth and Wellbeing. Available at SSRN 5675782.</w:t>
      </w:r>
    </w:p>
    <w:p w14:paraId="4B0AC97F"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Ramani, R.S. and </w:t>
      </w:r>
      <w:proofErr w:type="spellStart"/>
      <w:r w:rsidRPr="003C35F0">
        <w:rPr>
          <w:rFonts w:ascii="Arial" w:hAnsi="Arial" w:cs="Arial"/>
          <w:i/>
          <w:iCs/>
          <w:sz w:val="24"/>
          <w:lang w:val="en-US"/>
        </w:rPr>
        <w:t>Aguinis</w:t>
      </w:r>
      <w:proofErr w:type="spellEnd"/>
      <w:r w:rsidRPr="003C35F0">
        <w:rPr>
          <w:rFonts w:ascii="Arial" w:hAnsi="Arial" w:cs="Arial"/>
          <w:i/>
          <w:iCs/>
          <w:sz w:val="24"/>
          <w:lang w:val="en-US"/>
        </w:rPr>
        <w:t>, H., 2023. Using field and quasi experiments and text-based analysis to advance international business theory. Journal of World Business, 58(5), p.101463.</w:t>
      </w:r>
    </w:p>
    <w:p w14:paraId="362DDF5D" w14:textId="5ECF9D8F" w:rsidR="007C4BBA" w:rsidRPr="003C35F0" w:rsidRDefault="007C4BBA"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Retail Council of Canada (2025) Canada Shopping </w:t>
      </w:r>
      <w:r w:rsidR="00821F18" w:rsidRPr="003C35F0">
        <w:rPr>
          <w:rFonts w:ascii="Arial" w:hAnsi="Arial" w:cs="Arial"/>
          <w:i/>
          <w:iCs/>
          <w:sz w:val="24"/>
          <w:lang w:val="en-US"/>
        </w:rPr>
        <w:t>Trends Report 2025. Retail Council of Canada.</w:t>
      </w:r>
    </w:p>
    <w:p w14:paraId="77E0DECE"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 xml:space="preserve">Rocha, R.V.D.F., 2023. </w:t>
      </w:r>
      <w:proofErr w:type="spellStart"/>
      <w:r w:rsidRPr="003C35F0">
        <w:rPr>
          <w:rFonts w:ascii="Arial" w:hAnsi="Arial" w:cs="Arial"/>
          <w:i/>
          <w:iCs/>
          <w:sz w:val="24"/>
          <w:lang w:val="en-US"/>
        </w:rPr>
        <w:t>Lasciate</w:t>
      </w:r>
      <w:proofErr w:type="spellEnd"/>
      <w:r w:rsidRPr="003C35F0">
        <w:rPr>
          <w:rFonts w:ascii="Arial" w:hAnsi="Arial" w:cs="Arial"/>
          <w:i/>
          <w:iCs/>
          <w:sz w:val="24"/>
          <w:lang w:val="en-US"/>
        </w:rPr>
        <w:t xml:space="preserve"> ogni </w:t>
      </w:r>
      <w:proofErr w:type="spellStart"/>
      <w:r w:rsidRPr="003C35F0">
        <w:rPr>
          <w:rFonts w:ascii="Arial" w:hAnsi="Arial" w:cs="Arial"/>
          <w:i/>
          <w:iCs/>
          <w:sz w:val="24"/>
          <w:lang w:val="en-US"/>
        </w:rPr>
        <w:t>speranza</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voi</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ch’entrate</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Acesso</w:t>
      </w:r>
      <w:proofErr w:type="spellEnd"/>
      <w:r w:rsidRPr="003C35F0">
        <w:rPr>
          <w:rFonts w:ascii="Arial" w:hAnsi="Arial" w:cs="Arial"/>
          <w:i/>
          <w:iCs/>
          <w:sz w:val="24"/>
          <w:lang w:val="en-US"/>
        </w:rPr>
        <w:t xml:space="preserve"> à </w:t>
      </w:r>
      <w:proofErr w:type="spellStart"/>
      <w:r w:rsidRPr="003C35F0">
        <w:rPr>
          <w:rFonts w:ascii="Arial" w:hAnsi="Arial" w:cs="Arial"/>
          <w:i/>
          <w:iCs/>
          <w:sz w:val="24"/>
          <w:lang w:val="en-US"/>
        </w:rPr>
        <w:t>justiça</w:t>
      </w:r>
      <w:proofErr w:type="spellEnd"/>
      <w:r w:rsidRPr="003C35F0">
        <w:rPr>
          <w:rFonts w:ascii="Arial" w:hAnsi="Arial" w:cs="Arial"/>
          <w:i/>
          <w:iCs/>
          <w:sz w:val="24"/>
          <w:lang w:val="en-US"/>
        </w:rPr>
        <w:t xml:space="preserve"> e o </w:t>
      </w:r>
      <w:proofErr w:type="spellStart"/>
      <w:r w:rsidRPr="003C35F0">
        <w:rPr>
          <w:rFonts w:ascii="Arial" w:hAnsi="Arial" w:cs="Arial"/>
          <w:i/>
          <w:iCs/>
          <w:sz w:val="24"/>
          <w:lang w:val="en-US"/>
        </w:rPr>
        <w:t>exercício</w:t>
      </w:r>
      <w:proofErr w:type="spellEnd"/>
      <w:r w:rsidRPr="003C35F0">
        <w:rPr>
          <w:rFonts w:ascii="Arial" w:hAnsi="Arial" w:cs="Arial"/>
          <w:i/>
          <w:iCs/>
          <w:sz w:val="24"/>
          <w:lang w:val="en-US"/>
        </w:rPr>
        <w:t xml:space="preserve"> da </w:t>
      </w:r>
      <w:proofErr w:type="spellStart"/>
      <w:r w:rsidRPr="003C35F0">
        <w:rPr>
          <w:rFonts w:ascii="Arial" w:hAnsi="Arial" w:cs="Arial"/>
          <w:i/>
          <w:iCs/>
          <w:sz w:val="24"/>
          <w:lang w:val="en-US"/>
        </w:rPr>
        <w:t>jurisdição</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em</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casos</w:t>
      </w:r>
      <w:proofErr w:type="spellEnd"/>
      <w:r w:rsidRPr="003C35F0">
        <w:rPr>
          <w:rFonts w:ascii="Arial" w:hAnsi="Arial" w:cs="Arial"/>
          <w:i/>
          <w:iCs/>
          <w:sz w:val="24"/>
          <w:lang w:val="en-US"/>
        </w:rPr>
        <w:t xml:space="preserve"> de </w:t>
      </w:r>
      <w:proofErr w:type="spellStart"/>
      <w:r w:rsidRPr="003C35F0">
        <w:rPr>
          <w:rFonts w:ascii="Arial" w:hAnsi="Arial" w:cs="Arial"/>
          <w:i/>
          <w:iCs/>
          <w:sz w:val="24"/>
          <w:lang w:val="en-US"/>
        </w:rPr>
        <w:t>violações</w:t>
      </w:r>
      <w:proofErr w:type="spellEnd"/>
      <w:r w:rsidRPr="003C35F0">
        <w:rPr>
          <w:rFonts w:ascii="Arial" w:hAnsi="Arial" w:cs="Arial"/>
          <w:i/>
          <w:iCs/>
          <w:sz w:val="24"/>
          <w:lang w:val="en-US"/>
        </w:rPr>
        <w:t xml:space="preserve"> de </w:t>
      </w:r>
      <w:proofErr w:type="spellStart"/>
      <w:r w:rsidRPr="003C35F0">
        <w:rPr>
          <w:rFonts w:ascii="Arial" w:hAnsi="Arial" w:cs="Arial"/>
          <w:i/>
          <w:iCs/>
          <w:sz w:val="24"/>
          <w:lang w:val="en-US"/>
        </w:rPr>
        <w:t>direitos</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humanos</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cometidos</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por</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empresas</w:t>
      </w:r>
      <w:proofErr w:type="spellEnd"/>
      <w:r w:rsidRPr="003C35F0">
        <w:rPr>
          <w:rFonts w:ascii="Arial" w:hAnsi="Arial" w:cs="Arial"/>
          <w:i/>
          <w:iCs/>
          <w:sz w:val="24"/>
          <w:lang w:val="en-US"/>
        </w:rPr>
        <w:t xml:space="preserve"> </w:t>
      </w:r>
      <w:proofErr w:type="spellStart"/>
      <w:r w:rsidRPr="003C35F0">
        <w:rPr>
          <w:rFonts w:ascii="Arial" w:hAnsi="Arial" w:cs="Arial"/>
          <w:i/>
          <w:iCs/>
          <w:sz w:val="24"/>
          <w:lang w:val="en-US"/>
        </w:rPr>
        <w:t>transnacionais</w:t>
      </w:r>
      <w:proofErr w:type="spellEnd"/>
      <w:r w:rsidRPr="003C35F0">
        <w:rPr>
          <w:rFonts w:ascii="Arial" w:hAnsi="Arial" w:cs="Arial"/>
          <w:i/>
          <w:iCs/>
          <w:sz w:val="24"/>
          <w:lang w:val="en-US"/>
        </w:rPr>
        <w:t>.</w:t>
      </w:r>
    </w:p>
    <w:p w14:paraId="08D08498"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Wahed, M.S., 2025. Multinational Enterprises in Labor-Intensive GVCs: Examining Aspects of Productivity, Linkage and Control Without Ownership. Doctoral dissertation, University of Reading.</w:t>
      </w:r>
    </w:p>
    <w:p w14:paraId="427B6328"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Zervas, S., 2023. Target's Retail Failed Entry into Canada (Case Study). Available at SSRN 4561045.</w:t>
      </w:r>
    </w:p>
    <w:p w14:paraId="1297C841" w14:textId="77777777" w:rsidR="00490224" w:rsidRPr="003C35F0" w:rsidRDefault="00490224" w:rsidP="003C35F0">
      <w:pPr>
        <w:spacing w:after="0" w:line="360" w:lineRule="auto"/>
        <w:ind w:firstLine="720"/>
        <w:rPr>
          <w:rFonts w:ascii="Arial" w:hAnsi="Arial" w:cs="Arial"/>
          <w:i/>
          <w:iCs/>
          <w:sz w:val="24"/>
          <w:lang w:val="en-US"/>
        </w:rPr>
      </w:pPr>
      <w:r w:rsidRPr="003C35F0">
        <w:rPr>
          <w:rFonts w:ascii="Arial" w:hAnsi="Arial" w:cs="Arial"/>
          <w:i/>
          <w:iCs/>
          <w:sz w:val="24"/>
          <w:lang w:val="en-US"/>
        </w:rPr>
        <w:t>Zhou, Y., Gomes, E. and Vendrell-Herrero, F., 2025. Optimizing international market selection: A dynamic approach integrating export and FDI entry modes. Thunderbird International Business Review, 67(6), pp.739–755.</w:t>
      </w:r>
    </w:p>
    <w:p w14:paraId="63EA2D78" w14:textId="77777777" w:rsidR="00373916" w:rsidRPr="003C35F0" w:rsidRDefault="00490224" w:rsidP="003C35F0">
      <w:pPr>
        <w:spacing w:after="0" w:line="360" w:lineRule="auto"/>
        <w:ind w:firstLine="720"/>
        <w:rPr>
          <w:rFonts w:ascii="Arial" w:hAnsi="Arial" w:cs="Arial"/>
          <w:i/>
          <w:iCs/>
          <w:sz w:val="24"/>
        </w:rPr>
      </w:pPr>
      <w:r w:rsidRPr="003C35F0">
        <w:rPr>
          <w:rFonts w:ascii="Arial" w:hAnsi="Arial" w:cs="Arial"/>
          <w:i/>
          <w:iCs/>
          <w:sz w:val="24"/>
          <w:lang w:val="en-US"/>
        </w:rPr>
        <w:t>Zlatev, V., 2025. Decisions in International Trade and Logistics: Corporate Diplomacy, Strategies, and Operations. Springer Nature.</w:t>
      </w:r>
      <w:r w:rsidR="00C861BA" w:rsidRPr="003C35F0">
        <w:rPr>
          <w:rFonts w:ascii="Arial" w:hAnsi="Arial" w:cs="Arial"/>
          <w:i/>
          <w:iCs/>
          <w:sz w:val="24"/>
        </w:rPr>
        <w:t xml:space="preserve"> </w:t>
      </w:r>
    </w:p>
    <w:sectPr w:rsidR="00373916" w:rsidRPr="003C35F0" w:rsidSect="00E63983">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629BE" w14:textId="77777777" w:rsidR="006C1262" w:rsidRDefault="006C1262" w:rsidP="001003CA">
      <w:pPr>
        <w:spacing w:after="0" w:line="240" w:lineRule="auto"/>
      </w:pPr>
      <w:r>
        <w:separator/>
      </w:r>
    </w:p>
  </w:endnote>
  <w:endnote w:type="continuationSeparator" w:id="0">
    <w:p w14:paraId="6F7250A6" w14:textId="77777777" w:rsidR="006C1262" w:rsidRDefault="006C1262" w:rsidP="00100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9919D" w14:textId="77777777" w:rsidR="00182A7F" w:rsidRDefault="00182A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563558"/>
      <w:docPartObj>
        <w:docPartGallery w:val="Page Numbers (Bottom of Page)"/>
        <w:docPartUnique/>
      </w:docPartObj>
    </w:sdtPr>
    <w:sdtEndPr>
      <w:rPr>
        <w:color w:val="7F7F7F" w:themeColor="background1" w:themeShade="7F"/>
        <w:spacing w:val="60"/>
      </w:rPr>
    </w:sdtEndPr>
    <w:sdtContent>
      <w:p w14:paraId="5895478E" w14:textId="77777777" w:rsidR="00E63983" w:rsidRDefault="00E63983">
        <w:pPr>
          <w:pStyle w:val="Footer"/>
          <w:pBdr>
            <w:top w:val="single" w:sz="4" w:space="1" w:color="D9D9D9" w:themeColor="background1" w:themeShade="D9"/>
          </w:pBdr>
          <w:jc w:val="right"/>
        </w:pPr>
        <w:r>
          <w:fldChar w:fldCharType="begin"/>
        </w:r>
        <w:r>
          <w:instrText xml:space="preserve"> PAGE   \* MERGEFORMAT </w:instrText>
        </w:r>
        <w:r>
          <w:fldChar w:fldCharType="separate"/>
        </w:r>
        <w:r w:rsidR="00B45783">
          <w:rPr>
            <w:noProof/>
          </w:rPr>
          <w:t>2</w:t>
        </w:r>
        <w:r>
          <w:rPr>
            <w:noProof/>
          </w:rPr>
          <w:fldChar w:fldCharType="end"/>
        </w:r>
        <w:r>
          <w:t xml:space="preserve"> | </w:t>
        </w:r>
        <w:r>
          <w:rPr>
            <w:color w:val="7F7F7F" w:themeColor="background1" w:themeShade="7F"/>
            <w:spacing w:val="60"/>
          </w:rPr>
          <w:t>Page</w:t>
        </w:r>
      </w:p>
    </w:sdtContent>
  </w:sdt>
  <w:p w14:paraId="71E7018D" w14:textId="77777777" w:rsidR="00E63983" w:rsidRDefault="00E639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86CBE" w14:textId="77777777" w:rsidR="00182A7F" w:rsidRDefault="00182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4FAB2" w14:textId="77777777" w:rsidR="006C1262" w:rsidRDefault="006C1262" w:rsidP="001003CA">
      <w:pPr>
        <w:spacing w:after="0" w:line="240" w:lineRule="auto"/>
      </w:pPr>
      <w:r>
        <w:separator/>
      </w:r>
    </w:p>
  </w:footnote>
  <w:footnote w:type="continuationSeparator" w:id="0">
    <w:p w14:paraId="7483A046" w14:textId="77777777" w:rsidR="006C1262" w:rsidRDefault="006C1262" w:rsidP="00100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C7804" w14:textId="77777777" w:rsidR="00182A7F" w:rsidRDefault="00182A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9F1D1" w14:textId="77777777" w:rsidR="00182A7F" w:rsidRDefault="00182A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44CA0" w14:textId="77777777" w:rsidR="00182A7F" w:rsidRDefault="00182A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371A3"/>
    <w:multiLevelType w:val="hybridMultilevel"/>
    <w:tmpl w:val="53983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020D36"/>
    <w:multiLevelType w:val="hybridMultilevel"/>
    <w:tmpl w:val="CE182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8652072">
    <w:abstractNumId w:val="1"/>
  </w:num>
  <w:num w:numId="2" w16cid:durableId="2103868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916"/>
    <w:rsid w:val="00013B49"/>
    <w:rsid w:val="00036F69"/>
    <w:rsid w:val="000A05B1"/>
    <w:rsid w:val="000D2CA8"/>
    <w:rsid w:val="001003CA"/>
    <w:rsid w:val="0011087E"/>
    <w:rsid w:val="00115C13"/>
    <w:rsid w:val="001604A5"/>
    <w:rsid w:val="00182A7F"/>
    <w:rsid w:val="001F62B9"/>
    <w:rsid w:val="0020266E"/>
    <w:rsid w:val="00217A78"/>
    <w:rsid w:val="00295ED7"/>
    <w:rsid w:val="00296432"/>
    <w:rsid w:val="00296DCE"/>
    <w:rsid w:val="002A2319"/>
    <w:rsid w:val="002D541C"/>
    <w:rsid w:val="002E0D9E"/>
    <w:rsid w:val="002E3E49"/>
    <w:rsid w:val="002F29D8"/>
    <w:rsid w:val="003055D2"/>
    <w:rsid w:val="0032759C"/>
    <w:rsid w:val="003334CE"/>
    <w:rsid w:val="00373916"/>
    <w:rsid w:val="00380CDC"/>
    <w:rsid w:val="00385D7D"/>
    <w:rsid w:val="003C157B"/>
    <w:rsid w:val="003C2E24"/>
    <w:rsid w:val="003C35F0"/>
    <w:rsid w:val="003D21F4"/>
    <w:rsid w:val="003E24E1"/>
    <w:rsid w:val="003F63F4"/>
    <w:rsid w:val="00423E92"/>
    <w:rsid w:val="00450CAE"/>
    <w:rsid w:val="00490224"/>
    <w:rsid w:val="00492037"/>
    <w:rsid w:val="004A7360"/>
    <w:rsid w:val="004E42D1"/>
    <w:rsid w:val="004F7417"/>
    <w:rsid w:val="005001D3"/>
    <w:rsid w:val="00575377"/>
    <w:rsid w:val="005C785B"/>
    <w:rsid w:val="006A075E"/>
    <w:rsid w:val="006C0E13"/>
    <w:rsid w:val="006C1262"/>
    <w:rsid w:val="006F13DE"/>
    <w:rsid w:val="00701170"/>
    <w:rsid w:val="00717204"/>
    <w:rsid w:val="00722BCD"/>
    <w:rsid w:val="00745E36"/>
    <w:rsid w:val="007913EB"/>
    <w:rsid w:val="007C4BBA"/>
    <w:rsid w:val="007D777F"/>
    <w:rsid w:val="00821F18"/>
    <w:rsid w:val="00842B30"/>
    <w:rsid w:val="00845127"/>
    <w:rsid w:val="00887726"/>
    <w:rsid w:val="00893555"/>
    <w:rsid w:val="0089462D"/>
    <w:rsid w:val="00912E3E"/>
    <w:rsid w:val="00922F61"/>
    <w:rsid w:val="00956CE2"/>
    <w:rsid w:val="009B6229"/>
    <w:rsid w:val="009C0FE8"/>
    <w:rsid w:val="00A01EFD"/>
    <w:rsid w:val="00A152B2"/>
    <w:rsid w:val="00A61BCC"/>
    <w:rsid w:val="00A779FA"/>
    <w:rsid w:val="00A850A9"/>
    <w:rsid w:val="00A95A64"/>
    <w:rsid w:val="00B360F1"/>
    <w:rsid w:val="00B45783"/>
    <w:rsid w:val="00B953DA"/>
    <w:rsid w:val="00C10427"/>
    <w:rsid w:val="00C2695C"/>
    <w:rsid w:val="00C776FD"/>
    <w:rsid w:val="00C861BA"/>
    <w:rsid w:val="00CB34D0"/>
    <w:rsid w:val="00CC38FF"/>
    <w:rsid w:val="00CC4CEF"/>
    <w:rsid w:val="00CD0345"/>
    <w:rsid w:val="00CE3E19"/>
    <w:rsid w:val="00CE69C3"/>
    <w:rsid w:val="00CF24D0"/>
    <w:rsid w:val="00D0674B"/>
    <w:rsid w:val="00D21F83"/>
    <w:rsid w:val="00D33FE1"/>
    <w:rsid w:val="00D47A89"/>
    <w:rsid w:val="00D6585C"/>
    <w:rsid w:val="00D942AE"/>
    <w:rsid w:val="00E0553F"/>
    <w:rsid w:val="00E07603"/>
    <w:rsid w:val="00E63983"/>
    <w:rsid w:val="00E808D8"/>
    <w:rsid w:val="00ED24CD"/>
    <w:rsid w:val="00ED4D1E"/>
    <w:rsid w:val="00F1156B"/>
    <w:rsid w:val="00F65D47"/>
    <w:rsid w:val="00F71C8C"/>
    <w:rsid w:val="00F7559B"/>
    <w:rsid w:val="00F77EFF"/>
    <w:rsid w:val="00FB6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DC647"/>
  <w15:chartTrackingRefBased/>
  <w15:docId w15:val="{85DFF0AD-8F21-4538-B461-06DFBD75E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33FE1"/>
    <w:pPr>
      <w:keepNext/>
      <w:keepLines/>
      <w:spacing w:before="360" w:after="12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D33FE1"/>
    <w:pPr>
      <w:keepNext/>
      <w:keepLines/>
      <w:spacing w:before="160" w:after="120"/>
      <w:jc w:val="both"/>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semiHidden/>
    <w:unhideWhenUsed/>
    <w:qFormat/>
    <w:rsid w:val="0049022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3FE1"/>
    <w:rPr>
      <w:rFonts w:ascii="Arial" w:eastAsiaTheme="majorEastAsia" w:hAnsi="Arial" w:cstheme="majorBidi"/>
      <w:b/>
      <w:color w:val="000000" w:themeColor="text1"/>
      <w:sz w:val="24"/>
      <w:szCs w:val="26"/>
      <w:lang w:val="en-GB"/>
    </w:rPr>
  </w:style>
  <w:style w:type="character" w:customStyle="1" w:styleId="Heading1Char">
    <w:name w:val="Heading 1 Char"/>
    <w:basedOn w:val="DefaultParagraphFont"/>
    <w:link w:val="Heading1"/>
    <w:uiPriority w:val="9"/>
    <w:rsid w:val="00D33FE1"/>
    <w:rPr>
      <w:rFonts w:ascii="Arial" w:eastAsiaTheme="majorEastAsia" w:hAnsi="Arial" w:cstheme="majorBidi"/>
      <w:b/>
      <w:color w:val="000000" w:themeColor="text1"/>
      <w:sz w:val="28"/>
      <w:szCs w:val="32"/>
      <w:lang w:val="en-GB"/>
    </w:rPr>
  </w:style>
  <w:style w:type="paragraph" w:styleId="Header">
    <w:name w:val="header"/>
    <w:basedOn w:val="Normal"/>
    <w:link w:val="HeaderChar"/>
    <w:uiPriority w:val="99"/>
    <w:unhideWhenUsed/>
    <w:rsid w:val="001003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03CA"/>
    <w:rPr>
      <w:lang w:val="en-GB"/>
    </w:rPr>
  </w:style>
  <w:style w:type="paragraph" w:styleId="Footer">
    <w:name w:val="footer"/>
    <w:basedOn w:val="Normal"/>
    <w:link w:val="FooterChar"/>
    <w:uiPriority w:val="99"/>
    <w:unhideWhenUsed/>
    <w:rsid w:val="001003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3CA"/>
    <w:rPr>
      <w:lang w:val="en-GB"/>
    </w:rPr>
  </w:style>
  <w:style w:type="character" w:customStyle="1" w:styleId="Heading3Char">
    <w:name w:val="Heading 3 Char"/>
    <w:basedOn w:val="DefaultParagraphFont"/>
    <w:link w:val="Heading3"/>
    <w:uiPriority w:val="9"/>
    <w:semiHidden/>
    <w:rsid w:val="00490224"/>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E63983"/>
    <w:pPr>
      <w:spacing w:before="240" w:after="0"/>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63983"/>
    <w:pPr>
      <w:spacing w:after="100"/>
    </w:pPr>
  </w:style>
  <w:style w:type="paragraph" w:styleId="TOC2">
    <w:name w:val="toc 2"/>
    <w:basedOn w:val="Normal"/>
    <w:next w:val="Normal"/>
    <w:autoRedefine/>
    <w:uiPriority w:val="39"/>
    <w:unhideWhenUsed/>
    <w:rsid w:val="00E63983"/>
    <w:pPr>
      <w:spacing w:after="100"/>
      <w:ind w:left="220"/>
    </w:pPr>
  </w:style>
  <w:style w:type="character" w:styleId="Hyperlink">
    <w:name w:val="Hyperlink"/>
    <w:basedOn w:val="DefaultParagraphFont"/>
    <w:uiPriority w:val="99"/>
    <w:unhideWhenUsed/>
    <w:rsid w:val="00E63983"/>
    <w:rPr>
      <w:color w:val="0563C1" w:themeColor="hyperlink"/>
      <w:u w:val="single"/>
    </w:rPr>
  </w:style>
  <w:style w:type="paragraph" w:styleId="ListParagraph">
    <w:name w:val="List Paragraph"/>
    <w:basedOn w:val="Normal"/>
    <w:uiPriority w:val="34"/>
    <w:qFormat/>
    <w:rsid w:val="006F13DE"/>
    <w:pPr>
      <w:ind w:left="720"/>
      <w:contextualSpacing/>
    </w:pPr>
  </w:style>
  <w:style w:type="character" w:styleId="UnresolvedMention">
    <w:name w:val="Unresolved Mention"/>
    <w:basedOn w:val="DefaultParagraphFont"/>
    <w:uiPriority w:val="99"/>
    <w:semiHidden/>
    <w:unhideWhenUsed/>
    <w:rsid w:val="00036F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454475">
      <w:bodyDiv w:val="1"/>
      <w:marLeft w:val="0"/>
      <w:marRight w:val="0"/>
      <w:marTop w:val="0"/>
      <w:marBottom w:val="0"/>
      <w:divBdr>
        <w:top w:val="none" w:sz="0" w:space="0" w:color="auto"/>
        <w:left w:val="none" w:sz="0" w:space="0" w:color="auto"/>
        <w:bottom w:val="none" w:sz="0" w:space="0" w:color="auto"/>
        <w:right w:val="none" w:sz="0" w:space="0" w:color="auto"/>
      </w:divBdr>
    </w:div>
    <w:div w:id="377053467">
      <w:bodyDiv w:val="1"/>
      <w:marLeft w:val="0"/>
      <w:marRight w:val="0"/>
      <w:marTop w:val="0"/>
      <w:marBottom w:val="0"/>
      <w:divBdr>
        <w:top w:val="none" w:sz="0" w:space="0" w:color="auto"/>
        <w:left w:val="none" w:sz="0" w:space="0" w:color="auto"/>
        <w:bottom w:val="none" w:sz="0" w:space="0" w:color="auto"/>
        <w:right w:val="none" w:sz="0" w:space="0" w:color="auto"/>
      </w:divBdr>
      <w:divsChild>
        <w:div w:id="1596594415">
          <w:marLeft w:val="0"/>
          <w:marRight w:val="0"/>
          <w:marTop w:val="0"/>
          <w:marBottom w:val="0"/>
          <w:divBdr>
            <w:top w:val="none" w:sz="0" w:space="0" w:color="auto"/>
            <w:left w:val="none" w:sz="0" w:space="0" w:color="auto"/>
            <w:bottom w:val="none" w:sz="0" w:space="0" w:color="auto"/>
            <w:right w:val="none" w:sz="0" w:space="0" w:color="auto"/>
          </w:divBdr>
          <w:divsChild>
            <w:div w:id="1493064022">
              <w:marLeft w:val="0"/>
              <w:marRight w:val="0"/>
              <w:marTop w:val="0"/>
              <w:marBottom w:val="0"/>
              <w:divBdr>
                <w:top w:val="none" w:sz="0" w:space="0" w:color="auto"/>
                <w:left w:val="none" w:sz="0" w:space="0" w:color="auto"/>
                <w:bottom w:val="none" w:sz="0" w:space="0" w:color="auto"/>
                <w:right w:val="none" w:sz="0" w:space="0" w:color="auto"/>
              </w:divBdr>
            </w:div>
          </w:divsChild>
        </w:div>
        <w:div w:id="1173489267">
          <w:marLeft w:val="0"/>
          <w:marRight w:val="0"/>
          <w:marTop w:val="0"/>
          <w:marBottom w:val="0"/>
          <w:divBdr>
            <w:top w:val="none" w:sz="0" w:space="0" w:color="auto"/>
            <w:left w:val="none" w:sz="0" w:space="0" w:color="auto"/>
            <w:bottom w:val="none" w:sz="0" w:space="0" w:color="auto"/>
            <w:right w:val="none" w:sz="0" w:space="0" w:color="auto"/>
          </w:divBdr>
          <w:divsChild>
            <w:div w:id="148448364">
              <w:marLeft w:val="0"/>
              <w:marRight w:val="0"/>
              <w:marTop w:val="0"/>
              <w:marBottom w:val="0"/>
              <w:divBdr>
                <w:top w:val="none" w:sz="0" w:space="0" w:color="auto"/>
                <w:left w:val="none" w:sz="0" w:space="0" w:color="auto"/>
                <w:bottom w:val="none" w:sz="0" w:space="0" w:color="auto"/>
                <w:right w:val="none" w:sz="0" w:space="0" w:color="auto"/>
              </w:divBdr>
            </w:div>
          </w:divsChild>
        </w:div>
        <w:div w:id="672533593">
          <w:marLeft w:val="0"/>
          <w:marRight w:val="0"/>
          <w:marTop w:val="0"/>
          <w:marBottom w:val="0"/>
          <w:divBdr>
            <w:top w:val="none" w:sz="0" w:space="0" w:color="auto"/>
            <w:left w:val="none" w:sz="0" w:space="0" w:color="auto"/>
            <w:bottom w:val="none" w:sz="0" w:space="0" w:color="auto"/>
            <w:right w:val="none" w:sz="0" w:space="0" w:color="auto"/>
          </w:divBdr>
          <w:divsChild>
            <w:div w:id="18629918">
              <w:marLeft w:val="0"/>
              <w:marRight w:val="0"/>
              <w:marTop w:val="0"/>
              <w:marBottom w:val="0"/>
              <w:divBdr>
                <w:top w:val="none" w:sz="0" w:space="0" w:color="auto"/>
                <w:left w:val="none" w:sz="0" w:space="0" w:color="auto"/>
                <w:bottom w:val="none" w:sz="0" w:space="0" w:color="auto"/>
                <w:right w:val="none" w:sz="0" w:space="0" w:color="auto"/>
              </w:divBdr>
            </w:div>
          </w:divsChild>
        </w:div>
        <w:div w:id="2060543096">
          <w:marLeft w:val="0"/>
          <w:marRight w:val="0"/>
          <w:marTop w:val="0"/>
          <w:marBottom w:val="0"/>
          <w:divBdr>
            <w:top w:val="none" w:sz="0" w:space="0" w:color="auto"/>
            <w:left w:val="none" w:sz="0" w:space="0" w:color="auto"/>
            <w:bottom w:val="none" w:sz="0" w:space="0" w:color="auto"/>
            <w:right w:val="none" w:sz="0" w:space="0" w:color="auto"/>
          </w:divBdr>
          <w:divsChild>
            <w:div w:id="1052924180">
              <w:marLeft w:val="0"/>
              <w:marRight w:val="0"/>
              <w:marTop w:val="0"/>
              <w:marBottom w:val="0"/>
              <w:divBdr>
                <w:top w:val="none" w:sz="0" w:space="0" w:color="auto"/>
                <w:left w:val="none" w:sz="0" w:space="0" w:color="auto"/>
                <w:bottom w:val="none" w:sz="0" w:space="0" w:color="auto"/>
                <w:right w:val="none" w:sz="0" w:space="0" w:color="auto"/>
              </w:divBdr>
            </w:div>
          </w:divsChild>
        </w:div>
        <w:div w:id="896012103">
          <w:marLeft w:val="0"/>
          <w:marRight w:val="0"/>
          <w:marTop w:val="0"/>
          <w:marBottom w:val="0"/>
          <w:divBdr>
            <w:top w:val="none" w:sz="0" w:space="0" w:color="auto"/>
            <w:left w:val="none" w:sz="0" w:space="0" w:color="auto"/>
            <w:bottom w:val="none" w:sz="0" w:space="0" w:color="auto"/>
            <w:right w:val="none" w:sz="0" w:space="0" w:color="auto"/>
          </w:divBdr>
          <w:divsChild>
            <w:div w:id="25176745">
              <w:marLeft w:val="0"/>
              <w:marRight w:val="0"/>
              <w:marTop w:val="0"/>
              <w:marBottom w:val="0"/>
              <w:divBdr>
                <w:top w:val="none" w:sz="0" w:space="0" w:color="auto"/>
                <w:left w:val="none" w:sz="0" w:space="0" w:color="auto"/>
                <w:bottom w:val="none" w:sz="0" w:space="0" w:color="auto"/>
                <w:right w:val="none" w:sz="0" w:space="0" w:color="auto"/>
              </w:divBdr>
            </w:div>
          </w:divsChild>
        </w:div>
        <w:div w:id="1255892881">
          <w:marLeft w:val="0"/>
          <w:marRight w:val="0"/>
          <w:marTop w:val="0"/>
          <w:marBottom w:val="0"/>
          <w:divBdr>
            <w:top w:val="none" w:sz="0" w:space="0" w:color="auto"/>
            <w:left w:val="none" w:sz="0" w:space="0" w:color="auto"/>
            <w:bottom w:val="none" w:sz="0" w:space="0" w:color="auto"/>
            <w:right w:val="none" w:sz="0" w:space="0" w:color="auto"/>
          </w:divBdr>
          <w:divsChild>
            <w:div w:id="55883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490239">
      <w:bodyDiv w:val="1"/>
      <w:marLeft w:val="0"/>
      <w:marRight w:val="0"/>
      <w:marTop w:val="0"/>
      <w:marBottom w:val="0"/>
      <w:divBdr>
        <w:top w:val="none" w:sz="0" w:space="0" w:color="auto"/>
        <w:left w:val="none" w:sz="0" w:space="0" w:color="auto"/>
        <w:bottom w:val="none" w:sz="0" w:space="0" w:color="auto"/>
        <w:right w:val="none" w:sz="0" w:space="0" w:color="auto"/>
      </w:divBdr>
      <w:divsChild>
        <w:div w:id="643852922">
          <w:marLeft w:val="0"/>
          <w:marRight w:val="0"/>
          <w:marTop w:val="0"/>
          <w:marBottom w:val="0"/>
          <w:divBdr>
            <w:top w:val="none" w:sz="0" w:space="0" w:color="auto"/>
            <w:left w:val="none" w:sz="0" w:space="0" w:color="auto"/>
            <w:bottom w:val="none" w:sz="0" w:space="0" w:color="auto"/>
            <w:right w:val="none" w:sz="0" w:space="0" w:color="auto"/>
          </w:divBdr>
          <w:divsChild>
            <w:div w:id="1510946183">
              <w:marLeft w:val="0"/>
              <w:marRight w:val="0"/>
              <w:marTop w:val="0"/>
              <w:marBottom w:val="0"/>
              <w:divBdr>
                <w:top w:val="none" w:sz="0" w:space="0" w:color="auto"/>
                <w:left w:val="none" w:sz="0" w:space="0" w:color="auto"/>
                <w:bottom w:val="none" w:sz="0" w:space="0" w:color="auto"/>
                <w:right w:val="none" w:sz="0" w:space="0" w:color="auto"/>
              </w:divBdr>
            </w:div>
          </w:divsChild>
        </w:div>
        <w:div w:id="1488862583">
          <w:marLeft w:val="0"/>
          <w:marRight w:val="0"/>
          <w:marTop w:val="0"/>
          <w:marBottom w:val="0"/>
          <w:divBdr>
            <w:top w:val="none" w:sz="0" w:space="0" w:color="auto"/>
            <w:left w:val="none" w:sz="0" w:space="0" w:color="auto"/>
            <w:bottom w:val="none" w:sz="0" w:space="0" w:color="auto"/>
            <w:right w:val="none" w:sz="0" w:space="0" w:color="auto"/>
          </w:divBdr>
          <w:divsChild>
            <w:div w:id="48572214">
              <w:marLeft w:val="0"/>
              <w:marRight w:val="0"/>
              <w:marTop w:val="0"/>
              <w:marBottom w:val="0"/>
              <w:divBdr>
                <w:top w:val="none" w:sz="0" w:space="0" w:color="auto"/>
                <w:left w:val="none" w:sz="0" w:space="0" w:color="auto"/>
                <w:bottom w:val="none" w:sz="0" w:space="0" w:color="auto"/>
                <w:right w:val="none" w:sz="0" w:space="0" w:color="auto"/>
              </w:divBdr>
            </w:div>
          </w:divsChild>
        </w:div>
        <w:div w:id="1820417845">
          <w:marLeft w:val="0"/>
          <w:marRight w:val="0"/>
          <w:marTop w:val="0"/>
          <w:marBottom w:val="0"/>
          <w:divBdr>
            <w:top w:val="none" w:sz="0" w:space="0" w:color="auto"/>
            <w:left w:val="none" w:sz="0" w:space="0" w:color="auto"/>
            <w:bottom w:val="none" w:sz="0" w:space="0" w:color="auto"/>
            <w:right w:val="none" w:sz="0" w:space="0" w:color="auto"/>
          </w:divBdr>
          <w:divsChild>
            <w:div w:id="479273609">
              <w:marLeft w:val="0"/>
              <w:marRight w:val="0"/>
              <w:marTop w:val="0"/>
              <w:marBottom w:val="0"/>
              <w:divBdr>
                <w:top w:val="none" w:sz="0" w:space="0" w:color="auto"/>
                <w:left w:val="none" w:sz="0" w:space="0" w:color="auto"/>
                <w:bottom w:val="none" w:sz="0" w:space="0" w:color="auto"/>
                <w:right w:val="none" w:sz="0" w:space="0" w:color="auto"/>
              </w:divBdr>
            </w:div>
          </w:divsChild>
        </w:div>
        <w:div w:id="231355464">
          <w:marLeft w:val="0"/>
          <w:marRight w:val="0"/>
          <w:marTop w:val="0"/>
          <w:marBottom w:val="0"/>
          <w:divBdr>
            <w:top w:val="none" w:sz="0" w:space="0" w:color="auto"/>
            <w:left w:val="none" w:sz="0" w:space="0" w:color="auto"/>
            <w:bottom w:val="none" w:sz="0" w:space="0" w:color="auto"/>
            <w:right w:val="none" w:sz="0" w:space="0" w:color="auto"/>
          </w:divBdr>
          <w:divsChild>
            <w:div w:id="60269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637239">
      <w:bodyDiv w:val="1"/>
      <w:marLeft w:val="0"/>
      <w:marRight w:val="0"/>
      <w:marTop w:val="0"/>
      <w:marBottom w:val="0"/>
      <w:divBdr>
        <w:top w:val="none" w:sz="0" w:space="0" w:color="auto"/>
        <w:left w:val="none" w:sz="0" w:space="0" w:color="auto"/>
        <w:bottom w:val="none" w:sz="0" w:space="0" w:color="auto"/>
        <w:right w:val="none" w:sz="0" w:space="0" w:color="auto"/>
      </w:divBdr>
    </w:div>
    <w:div w:id="487790846">
      <w:bodyDiv w:val="1"/>
      <w:marLeft w:val="0"/>
      <w:marRight w:val="0"/>
      <w:marTop w:val="0"/>
      <w:marBottom w:val="0"/>
      <w:divBdr>
        <w:top w:val="none" w:sz="0" w:space="0" w:color="auto"/>
        <w:left w:val="none" w:sz="0" w:space="0" w:color="auto"/>
        <w:bottom w:val="none" w:sz="0" w:space="0" w:color="auto"/>
        <w:right w:val="none" w:sz="0" w:space="0" w:color="auto"/>
      </w:divBdr>
    </w:div>
    <w:div w:id="570969495">
      <w:bodyDiv w:val="1"/>
      <w:marLeft w:val="0"/>
      <w:marRight w:val="0"/>
      <w:marTop w:val="0"/>
      <w:marBottom w:val="0"/>
      <w:divBdr>
        <w:top w:val="none" w:sz="0" w:space="0" w:color="auto"/>
        <w:left w:val="none" w:sz="0" w:space="0" w:color="auto"/>
        <w:bottom w:val="none" w:sz="0" w:space="0" w:color="auto"/>
        <w:right w:val="none" w:sz="0" w:space="0" w:color="auto"/>
      </w:divBdr>
    </w:div>
    <w:div w:id="779226796">
      <w:bodyDiv w:val="1"/>
      <w:marLeft w:val="0"/>
      <w:marRight w:val="0"/>
      <w:marTop w:val="0"/>
      <w:marBottom w:val="0"/>
      <w:divBdr>
        <w:top w:val="none" w:sz="0" w:space="0" w:color="auto"/>
        <w:left w:val="none" w:sz="0" w:space="0" w:color="auto"/>
        <w:bottom w:val="none" w:sz="0" w:space="0" w:color="auto"/>
        <w:right w:val="none" w:sz="0" w:space="0" w:color="auto"/>
      </w:divBdr>
    </w:div>
    <w:div w:id="865600498">
      <w:bodyDiv w:val="1"/>
      <w:marLeft w:val="0"/>
      <w:marRight w:val="0"/>
      <w:marTop w:val="0"/>
      <w:marBottom w:val="0"/>
      <w:divBdr>
        <w:top w:val="none" w:sz="0" w:space="0" w:color="auto"/>
        <w:left w:val="none" w:sz="0" w:space="0" w:color="auto"/>
        <w:bottom w:val="none" w:sz="0" w:space="0" w:color="auto"/>
        <w:right w:val="none" w:sz="0" w:space="0" w:color="auto"/>
      </w:divBdr>
    </w:div>
    <w:div w:id="952437343">
      <w:bodyDiv w:val="1"/>
      <w:marLeft w:val="0"/>
      <w:marRight w:val="0"/>
      <w:marTop w:val="0"/>
      <w:marBottom w:val="0"/>
      <w:divBdr>
        <w:top w:val="none" w:sz="0" w:space="0" w:color="auto"/>
        <w:left w:val="none" w:sz="0" w:space="0" w:color="auto"/>
        <w:bottom w:val="none" w:sz="0" w:space="0" w:color="auto"/>
        <w:right w:val="none" w:sz="0" w:space="0" w:color="auto"/>
      </w:divBdr>
    </w:div>
    <w:div w:id="955331988">
      <w:bodyDiv w:val="1"/>
      <w:marLeft w:val="0"/>
      <w:marRight w:val="0"/>
      <w:marTop w:val="0"/>
      <w:marBottom w:val="0"/>
      <w:divBdr>
        <w:top w:val="none" w:sz="0" w:space="0" w:color="auto"/>
        <w:left w:val="none" w:sz="0" w:space="0" w:color="auto"/>
        <w:bottom w:val="none" w:sz="0" w:space="0" w:color="auto"/>
        <w:right w:val="none" w:sz="0" w:space="0" w:color="auto"/>
      </w:divBdr>
      <w:divsChild>
        <w:div w:id="1396854247">
          <w:marLeft w:val="0"/>
          <w:marRight w:val="0"/>
          <w:marTop w:val="0"/>
          <w:marBottom w:val="0"/>
          <w:divBdr>
            <w:top w:val="none" w:sz="0" w:space="0" w:color="auto"/>
            <w:left w:val="none" w:sz="0" w:space="0" w:color="auto"/>
            <w:bottom w:val="none" w:sz="0" w:space="0" w:color="auto"/>
            <w:right w:val="none" w:sz="0" w:space="0" w:color="auto"/>
          </w:divBdr>
          <w:divsChild>
            <w:div w:id="932131419">
              <w:marLeft w:val="0"/>
              <w:marRight w:val="0"/>
              <w:marTop w:val="0"/>
              <w:marBottom w:val="0"/>
              <w:divBdr>
                <w:top w:val="none" w:sz="0" w:space="0" w:color="auto"/>
                <w:left w:val="none" w:sz="0" w:space="0" w:color="auto"/>
                <w:bottom w:val="none" w:sz="0" w:space="0" w:color="auto"/>
                <w:right w:val="none" w:sz="0" w:space="0" w:color="auto"/>
              </w:divBdr>
              <w:divsChild>
                <w:div w:id="1530412852">
                  <w:marLeft w:val="0"/>
                  <w:marRight w:val="0"/>
                  <w:marTop w:val="0"/>
                  <w:marBottom w:val="0"/>
                  <w:divBdr>
                    <w:top w:val="none" w:sz="0" w:space="0" w:color="auto"/>
                    <w:left w:val="none" w:sz="0" w:space="0" w:color="auto"/>
                    <w:bottom w:val="none" w:sz="0" w:space="0" w:color="auto"/>
                    <w:right w:val="none" w:sz="0" w:space="0" w:color="auto"/>
                  </w:divBdr>
                  <w:divsChild>
                    <w:div w:id="2012021989">
                      <w:marLeft w:val="0"/>
                      <w:marRight w:val="0"/>
                      <w:marTop w:val="0"/>
                      <w:marBottom w:val="0"/>
                      <w:divBdr>
                        <w:top w:val="none" w:sz="0" w:space="0" w:color="auto"/>
                        <w:left w:val="none" w:sz="0" w:space="0" w:color="auto"/>
                        <w:bottom w:val="none" w:sz="0" w:space="0" w:color="auto"/>
                        <w:right w:val="none" w:sz="0" w:space="0" w:color="auto"/>
                      </w:divBdr>
                      <w:divsChild>
                        <w:div w:id="773329314">
                          <w:marLeft w:val="0"/>
                          <w:marRight w:val="0"/>
                          <w:marTop w:val="0"/>
                          <w:marBottom w:val="0"/>
                          <w:divBdr>
                            <w:top w:val="none" w:sz="0" w:space="0" w:color="auto"/>
                            <w:left w:val="none" w:sz="0" w:space="0" w:color="auto"/>
                            <w:bottom w:val="none" w:sz="0" w:space="0" w:color="auto"/>
                            <w:right w:val="none" w:sz="0" w:space="0" w:color="auto"/>
                          </w:divBdr>
                          <w:divsChild>
                            <w:div w:id="1469324271">
                              <w:marLeft w:val="0"/>
                              <w:marRight w:val="0"/>
                              <w:marTop w:val="0"/>
                              <w:marBottom w:val="0"/>
                              <w:divBdr>
                                <w:top w:val="none" w:sz="0" w:space="0" w:color="auto"/>
                                <w:left w:val="none" w:sz="0" w:space="0" w:color="auto"/>
                                <w:bottom w:val="none" w:sz="0" w:space="0" w:color="auto"/>
                                <w:right w:val="none" w:sz="0" w:space="0" w:color="auto"/>
                              </w:divBdr>
                              <w:divsChild>
                                <w:div w:id="1142965328">
                                  <w:marLeft w:val="0"/>
                                  <w:marRight w:val="0"/>
                                  <w:marTop w:val="0"/>
                                  <w:marBottom w:val="0"/>
                                  <w:divBdr>
                                    <w:top w:val="none" w:sz="0" w:space="0" w:color="auto"/>
                                    <w:left w:val="none" w:sz="0" w:space="0" w:color="auto"/>
                                    <w:bottom w:val="none" w:sz="0" w:space="0" w:color="auto"/>
                                    <w:right w:val="none" w:sz="0" w:space="0" w:color="auto"/>
                                  </w:divBdr>
                                  <w:divsChild>
                                    <w:div w:id="738136801">
                                      <w:marLeft w:val="0"/>
                                      <w:marRight w:val="0"/>
                                      <w:marTop w:val="0"/>
                                      <w:marBottom w:val="0"/>
                                      <w:divBdr>
                                        <w:top w:val="none" w:sz="0" w:space="0" w:color="auto"/>
                                        <w:left w:val="none" w:sz="0" w:space="0" w:color="auto"/>
                                        <w:bottom w:val="none" w:sz="0" w:space="0" w:color="auto"/>
                                        <w:right w:val="none" w:sz="0" w:space="0" w:color="auto"/>
                                      </w:divBdr>
                                      <w:divsChild>
                                        <w:div w:id="678391621">
                                          <w:marLeft w:val="0"/>
                                          <w:marRight w:val="0"/>
                                          <w:marTop w:val="0"/>
                                          <w:marBottom w:val="0"/>
                                          <w:divBdr>
                                            <w:top w:val="none" w:sz="0" w:space="0" w:color="auto"/>
                                            <w:left w:val="none" w:sz="0" w:space="0" w:color="auto"/>
                                            <w:bottom w:val="none" w:sz="0" w:space="0" w:color="auto"/>
                                            <w:right w:val="none" w:sz="0" w:space="0" w:color="auto"/>
                                          </w:divBdr>
                                          <w:divsChild>
                                            <w:div w:id="1848906597">
                                              <w:marLeft w:val="0"/>
                                              <w:marRight w:val="0"/>
                                              <w:marTop w:val="0"/>
                                              <w:marBottom w:val="0"/>
                                              <w:divBdr>
                                                <w:top w:val="none" w:sz="0" w:space="0" w:color="auto"/>
                                                <w:left w:val="none" w:sz="0" w:space="0" w:color="auto"/>
                                                <w:bottom w:val="none" w:sz="0" w:space="0" w:color="auto"/>
                                                <w:right w:val="none" w:sz="0" w:space="0" w:color="auto"/>
                                              </w:divBdr>
                                            </w:div>
                                          </w:divsChild>
                                        </w:div>
                                        <w:div w:id="1686863004">
                                          <w:marLeft w:val="0"/>
                                          <w:marRight w:val="0"/>
                                          <w:marTop w:val="0"/>
                                          <w:marBottom w:val="0"/>
                                          <w:divBdr>
                                            <w:top w:val="none" w:sz="0" w:space="0" w:color="auto"/>
                                            <w:left w:val="none" w:sz="0" w:space="0" w:color="auto"/>
                                            <w:bottom w:val="none" w:sz="0" w:space="0" w:color="auto"/>
                                            <w:right w:val="none" w:sz="0" w:space="0" w:color="auto"/>
                                          </w:divBdr>
                                          <w:divsChild>
                                            <w:div w:id="17150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9686963">
      <w:bodyDiv w:val="1"/>
      <w:marLeft w:val="0"/>
      <w:marRight w:val="0"/>
      <w:marTop w:val="0"/>
      <w:marBottom w:val="0"/>
      <w:divBdr>
        <w:top w:val="none" w:sz="0" w:space="0" w:color="auto"/>
        <w:left w:val="none" w:sz="0" w:space="0" w:color="auto"/>
        <w:bottom w:val="none" w:sz="0" w:space="0" w:color="auto"/>
        <w:right w:val="none" w:sz="0" w:space="0" w:color="auto"/>
      </w:divBdr>
    </w:div>
    <w:div w:id="1193422429">
      <w:bodyDiv w:val="1"/>
      <w:marLeft w:val="0"/>
      <w:marRight w:val="0"/>
      <w:marTop w:val="0"/>
      <w:marBottom w:val="0"/>
      <w:divBdr>
        <w:top w:val="none" w:sz="0" w:space="0" w:color="auto"/>
        <w:left w:val="none" w:sz="0" w:space="0" w:color="auto"/>
        <w:bottom w:val="none" w:sz="0" w:space="0" w:color="auto"/>
        <w:right w:val="none" w:sz="0" w:space="0" w:color="auto"/>
      </w:divBdr>
    </w:div>
    <w:div w:id="1207453129">
      <w:bodyDiv w:val="1"/>
      <w:marLeft w:val="0"/>
      <w:marRight w:val="0"/>
      <w:marTop w:val="0"/>
      <w:marBottom w:val="0"/>
      <w:divBdr>
        <w:top w:val="none" w:sz="0" w:space="0" w:color="auto"/>
        <w:left w:val="none" w:sz="0" w:space="0" w:color="auto"/>
        <w:bottom w:val="none" w:sz="0" w:space="0" w:color="auto"/>
        <w:right w:val="none" w:sz="0" w:space="0" w:color="auto"/>
      </w:divBdr>
    </w:div>
    <w:div w:id="1212031963">
      <w:bodyDiv w:val="1"/>
      <w:marLeft w:val="0"/>
      <w:marRight w:val="0"/>
      <w:marTop w:val="0"/>
      <w:marBottom w:val="0"/>
      <w:divBdr>
        <w:top w:val="none" w:sz="0" w:space="0" w:color="auto"/>
        <w:left w:val="none" w:sz="0" w:space="0" w:color="auto"/>
        <w:bottom w:val="none" w:sz="0" w:space="0" w:color="auto"/>
        <w:right w:val="none" w:sz="0" w:space="0" w:color="auto"/>
      </w:divBdr>
    </w:div>
    <w:div w:id="1324309749">
      <w:bodyDiv w:val="1"/>
      <w:marLeft w:val="0"/>
      <w:marRight w:val="0"/>
      <w:marTop w:val="0"/>
      <w:marBottom w:val="0"/>
      <w:divBdr>
        <w:top w:val="none" w:sz="0" w:space="0" w:color="auto"/>
        <w:left w:val="none" w:sz="0" w:space="0" w:color="auto"/>
        <w:bottom w:val="none" w:sz="0" w:space="0" w:color="auto"/>
        <w:right w:val="none" w:sz="0" w:space="0" w:color="auto"/>
      </w:divBdr>
    </w:div>
    <w:div w:id="1409959659">
      <w:bodyDiv w:val="1"/>
      <w:marLeft w:val="0"/>
      <w:marRight w:val="0"/>
      <w:marTop w:val="0"/>
      <w:marBottom w:val="0"/>
      <w:divBdr>
        <w:top w:val="none" w:sz="0" w:space="0" w:color="auto"/>
        <w:left w:val="none" w:sz="0" w:space="0" w:color="auto"/>
        <w:bottom w:val="none" w:sz="0" w:space="0" w:color="auto"/>
        <w:right w:val="none" w:sz="0" w:space="0" w:color="auto"/>
      </w:divBdr>
      <w:divsChild>
        <w:div w:id="576746833">
          <w:marLeft w:val="0"/>
          <w:marRight w:val="0"/>
          <w:marTop w:val="0"/>
          <w:marBottom w:val="0"/>
          <w:divBdr>
            <w:top w:val="none" w:sz="0" w:space="0" w:color="auto"/>
            <w:left w:val="none" w:sz="0" w:space="0" w:color="auto"/>
            <w:bottom w:val="none" w:sz="0" w:space="0" w:color="auto"/>
            <w:right w:val="none" w:sz="0" w:space="0" w:color="auto"/>
          </w:divBdr>
          <w:divsChild>
            <w:div w:id="306790639">
              <w:marLeft w:val="0"/>
              <w:marRight w:val="0"/>
              <w:marTop w:val="0"/>
              <w:marBottom w:val="0"/>
              <w:divBdr>
                <w:top w:val="none" w:sz="0" w:space="0" w:color="auto"/>
                <w:left w:val="none" w:sz="0" w:space="0" w:color="auto"/>
                <w:bottom w:val="none" w:sz="0" w:space="0" w:color="auto"/>
                <w:right w:val="none" w:sz="0" w:space="0" w:color="auto"/>
              </w:divBdr>
              <w:divsChild>
                <w:div w:id="1565675242">
                  <w:marLeft w:val="0"/>
                  <w:marRight w:val="0"/>
                  <w:marTop w:val="0"/>
                  <w:marBottom w:val="0"/>
                  <w:divBdr>
                    <w:top w:val="none" w:sz="0" w:space="0" w:color="auto"/>
                    <w:left w:val="none" w:sz="0" w:space="0" w:color="auto"/>
                    <w:bottom w:val="none" w:sz="0" w:space="0" w:color="auto"/>
                    <w:right w:val="none" w:sz="0" w:space="0" w:color="auto"/>
                  </w:divBdr>
                  <w:divsChild>
                    <w:div w:id="979848710">
                      <w:marLeft w:val="0"/>
                      <w:marRight w:val="0"/>
                      <w:marTop w:val="0"/>
                      <w:marBottom w:val="0"/>
                      <w:divBdr>
                        <w:top w:val="none" w:sz="0" w:space="0" w:color="auto"/>
                        <w:left w:val="none" w:sz="0" w:space="0" w:color="auto"/>
                        <w:bottom w:val="none" w:sz="0" w:space="0" w:color="auto"/>
                        <w:right w:val="none" w:sz="0" w:space="0" w:color="auto"/>
                      </w:divBdr>
                      <w:divsChild>
                        <w:div w:id="1635713550">
                          <w:marLeft w:val="0"/>
                          <w:marRight w:val="0"/>
                          <w:marTop w:val="0"/>
                          <w:marBottom w:val="0"/>
                          <w:divBdr>
                            <w:top w:val="none" w:sz="0" w:space="0" w:color="auto"/>
                            <w:left w:val="none" w:sz="0" w:space="0" w:color="auto"/>
                            <w:bottom w:val="none" w:sz="0" w:space="0" w:color="auto"/>
                            <w:right w:val="none" w:sz="0" w:space="0" w:color="auto"/>
                          </w:divBdr>
                          <w:divsChild>
                            <w:div w:id="633950860">
                              <w:marLeft w:val="0"/>
                              <w:marRight w:val="0"/>
                              <w:marTop w:val="0"/>
                              <w:marBottom w:val="0"/>
                              <w:divBdr>
                                <w:top w:val="none" w:sz="0" w:space="0" w:color="auto"/>
                                <w:left w:val="none" w:sz="0" w:space="0" w:color="auto"/>
                                <w:bottom w:val="none" w:sz="0" w:space="0" w:color="auto"/>
                                <w:right w:val="none" w:sz="0" w:space="0" w:color="auto"/>
                              </w:divBdr>
                              <w:divsChild>
                                <w:div w:id="1504853094">
                                  <w:marLeft w:val="0"/>
                                  <w:marRight w:val="0"/>
                                  <w:marTop w:val="0"/>
                                  <w:marBottom w:val="0"/>
                                  <w:divBdr>
                                    <w:top w:val="none" w:sz="0" w:space="0" w:color="auto"/>
                                    <w:left w:val="none" w:sz="0" w:space="0" w:color="auto"/>
                                    <w:bottom w:val="none" w:sz="0" w:space="0" w:color="auto"/>
                                    <w:right w:val="none" w:sz="0" w:space="0" w:color="auto"/>
                                  </w:divBdr>
                                  <w:divsChild>
                                    <w:div w:id="4218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370609">
                          <w:marLeft w:val="0"/>
                          <w:marRight w:val="0"/>
                          <w:marTop w:val="0"/>
                          <w:marBottom w:val="0"/>
                          <w:divBdr>
                            <w:top w:val="none" w:sz="0" w:space="0" w:color="auto"/>
                            <w:left w:val="none" w:sz="0" w:space="0" w:color="auto"/>
                            <w:bottom w:val="none" w:sz="0" w:space="0" w:color="auto"/>
                            <w:right w:val="none" w:sz="0" w:space="0" w:color="auto"/>
                          </w:divBdr>
                          <w:divsChild>
                            <w:div w:id="280579660">
                              <w:marLeft w:val="0"/>
                              <w:marRight w:val="0"/>
                              <w:marTop w:val="0"/>
                              <w:marBottom w:val="0"/>
                              <w:divBdr>
                                <w:top w:val="none" w:sz="0" w:space="0" w:color="auto"/>
                                <w:left w:val="none" w:sz="0" w:space="0" w:color="auto"/>
                                <w:bottom w:val="none" w:sz="0" w:space="0" w:color="auto"/>
                                <w:right w:val="none" w:sz="0" w:space="0" w:color="auto"/>
                              </w:divBdr>
                              <w:divsChild>
                                <w:div w:id="1339389614">
                                  <w:marLeft w:val="0"/>
                                  <w:marRight w:val="0"/>
                                  <w:marTop w:val="0"/>
                                  <w:marBottom w:val="0"/>
                                  <w:divBdr>
                                    <w:top w:val="none" w:sz="0" w:space="0" w:color="auto"/>
                                    <w:left w:val="none" w:sz="0" w:space="0" w:color="auto"/>
                                    <w:bottom w:val="none" w:sz="0" w:space="0" w:color="auto"/>
                                    <w:right w:val="none" w:sz="0" w:space="0" w:color="auto"/>
                                  </w:divBdr>
                                </w:div>
                                <w:div w:id="1608930620">
                                  <w:marLeft w:val="0"/>
                                  <w:marRight w:val="0"/>
                                  <w:marTop w:val="0"/>
                                  <w:marBottom w:val="0"/>
                                  <w:divBdr>
                                    <w:top w:val="none" w:sz="0" w:space="0" w:color="auto"/>
                                    <w:left w:val="none" w:sz="0" w:space="0" w:color="auto"/>
                                    <w:bottom w:val="none" w:sz="0" w:space="0" w:color="auto"/>
                                    <w:right w:val="none" w:sz="0" w:space="0" w:color="auto"/>
                                  </w:divBdr>
                                  <w:divsChild>
                                    <w:div w:id="69083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281117">
      <w:bodyDiv w:val="1"/>
      <w:marLeft w:val="0"/>
      <w:marRight w:val="0"/>
      <w:marTop w:val="0"/>
      <w:marBottom w:val="0"/>
      <w:divBdr>
        <w:top w:val="none" w:sz="0" w:space="0" w:color="auto"/>
        <w:left w:val="none" w:sz="0" w:space="0" w:color="auto"/>
        <w:bottom w:val="none" w:sz="0" w:space="0" w:color="auto"/>
        <w:right w:val="none" w:sz="0" w:space="0" w:color="auto"/>
      </w:divBdr>
    </w:div>
    <w:div w:id="1551527296">
      <w:bodyDiv w:val="1"/>
      <w:marLeft w:val="0"/>
      <w:marRight w:val="0"/>
      <w:marTop w:val="0"/>
      <w:marBottom w:val="0"/>
      <w:divBdr>
        <w:top w:val="none" w:sz="0" w:space="0" w:color="auto"/>
        <w:left w:val="none" w:sz="0" w:space="0" w:color="auto"/>
        <w:bottom w:val="none" w:sz="0" w:space="0" w:color="auto"/>
        <w:right w:val="none" w:sz="0" w:space="0" w:color="auto"/>
      </w:divBdr>
      <w:divsChild>
        <w:div w:id="1922180044">
          <w:marLeft w:val="0"/>
          <w:marRight w:val="0"/>
          <w:marTop w:val="0"/>
          <w:marBottom w:val="0"/>
          <w:divBdr>
            <w:top w:val="none" w:sz="0" w:space="0" w:color="auto"/>
            <w:left w:val="none" w:sz="0" w:space="0" w:color="auto"/>
            <w:bottom w:val="none" w:sz="0" w:space="0" w:color="auto"/>
            <w:right w:val="none" w:sz="0" w:space="0" w:color="auto"/>
          </w:divBdr>
          <w:divsChild>
            <w:div w:id="1961185222">
              <w:marLeft w:val="0"/>
              <w:marRight w:val="0"/>
              <w:marTop w:val="0"/>
              <w:marBottom w:val="0"/>
              <w:divBdr>
                <w:top w:val="none" w:sz="0" w:space="0" w:color="auto"/>
                <w:left w:val="none" w:sz="0" w:space="0" w:color="auto"/>
                <w:bottom w:val="none" w:sz="0" w:space="0" w:color="auto"/>
                <w:right w:val="none" w:sz="0" w:space="0" w:color="auto"/>
              </w:divBdr>
              <w:divsChild>
                <w:div w:id="1358043838">
                  <w:marLeft w:val="0"/>
                  <w:marRight w:val="0"/>
                  <w:marTop w:val="0"/>
                  <w:marBottom w:val="0"/>
                  <w:divBdr>
                    <w:top w:val="none" w:sz="0" w:space="0" w:color="auto"/>
                    <w:left w:val="none" w:sz="0" w:space="0" w:color="auto"/>
                    <w:bottom w:val="none" w:sz="0" w:space="0" w:color="auto"/>
                    <w:right w:val="none" w:sz="0" w:space="0" w:color="auto"/>
                  </w:divBdr>
                  <w:divsChild>
                    <w:div w:id="1090587958">
                      <w:marLeft w:val="0"/>
                      <w:marRight w:val="0"/>
                      <w:marTop w:val="0"/>
                      <w:marBottom w:val="0"/>
                      <w:divBdr>
                        <w:top w:val="none" w:sz="0" w:space="0" w:color="auto"/>
                        <w:left w:val="none" w:sz="0" w:space="0" w:color="auto"/>
                        <w:bottom w:val="none" w:sz="0" w:space="0" w:color="auto"/>
                        <w:right w:val="none" w:sz="0" w:space="0" w:color="auto"/>
                      </w:divBdr>
                      <w:divsChild>
                        <w:div w:id="786973812">
                          <w:marLeft w:val="0"/>
                          <w:marRight w:val="0"/>
                          <w:marTop w:val="0"/>
                          <w:marBottom w:val="0"/>
                          <w:divBdr>
                            <w:top w:val="none" w:sz="0" w:space="0" w:color="auto"/>
                            <w:left w:val="none" w:sz="0" w:space="0" w:color="auto"/>
                            <w:bottom w:val="none" w:sz="0" w:space="0" w:color="auto"/>
                            <w:right w:val="none" w:sz="0" w:space="0" w:color="auto"/>
                          </w:divBdr>
                          <w:divsChild>
                            <w:div w:id="315651145">
                              <w:marLeft w:val="0"/>
                              <w:marRight w:val="0"/>
                              <w:marTop w:val="0"/>
                              <w:marBottom w:val="0"/>
                              <w:divBdr>
                                <w:top w:val="none" w:sz="0" w:space="0" w:color="auto"/>
                                <w:left w:val="none" w:sz="0" w:space="0" w:color="auto"/>
                                <w:bottom w:val="none" w:sz="0" w:space="0" w:color="auto"/>
                                <w:right w:val="none" w:sz="0" w:space="0" w:color="auto"/>
                              </w:divBdr>
                              <w:divsChild>
                                <w:div w:id="1651641926">
                                  <w:marLeft w:val="0"/>
                                  <w:marRight w:val="0"/>
                                  <w:marTop w:val="0"/>
                                  <w:marBottom w:val="0"/>
                                  <w:divBdr>
                                    <w:top w:val="none" w:sz="0" w:space="0" w:color="auto"/>
                                    <w:left w:val="none" w:sz="0" w:space="0" w:color="auto"/>
                                    <w:bottom w:val="none" w:sz="0" w:space="0" w:color="auto"/>
                                    <w:right w:val="none" w:sz="0" w:space="0" w:color="auto"/>
                                  </w:divBdr>
                                  <w:divsChild>
                                    <w:div w:id="199066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904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primark.com" TargetMode="External"/><Relationship Id="rId23" Type="http://schemas.openxmlformats.org/officeDocument/2006/relationships/theme" Target="theme/theme1.xml"/><Relationship Id="rId10" Type="http://schemas.openxmlformats.org/officeDocument/2006/relationships/hyperlink" Target="https://www.microsoft.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hyperlink" Target="https://www.canada.c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4757</TotalTime>
  <Pages>26</Pages>
  <Words>6602</Words>
  <Characters>37632</Characters>
  <Application>Microsoft Office Word</Application>
  <DocSecurity>0</DocSecurity>
  <Lines>313</Lines>
  <Paragraphs>88</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vt:lpstr>
      <vt:lpstr>SECTION 1: STRATEGIC EVALUATION AND MARKET ENTRY</vt:lpstr>
      <vt:lpstr>1. Organizational Classification and Global Strategy</vt:lpstr>
      <vt:lpstr>    1.1 Introduction and Strategic Categorization</vt:lpstr>
      <vt:lpstr>    1.2 Global Configuration and Value Creation</vt:lpstr>
      <vt:lpstr>2. Macro-Environmental Appraisal and Market Attractiveness</vt:lpstr>
      <vt:lpstr>    2.1 Host Country Analysis: Canada</vt:lpstr>
      <vt:lpstr>    2.2 Market Entry Synthesis: Dunning's OLI Paradigm</vt:lpstr>
      <vt:lpstr>3. Entry Mode Strategy and Strategic Synthesis</vt:lpstr>
      <vt:lpstr>    3.1 Historical Pattern Recognition</vt:lpstr>
      <vt:lpstr>    3.2 Strategic Fit and Justification</vt:lpstr>
      <vt:lpstr>    3.3 Conclusion </vt:lpstr>
      <vt:lpstr>CONCLUSION</vt:lpstr>
      <vt:lpstr>REFERENCES</vt:lpstr>
    </vt:vector>
  </TitlesOfParts>
  <Company/>
  <LinksUpToDate>false</LinksUpToDate>
  <CharactersWithSpaces>44146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Maame P Bonsu</cp:lastModifiedBy>
  <cp:revision>10</cp:revision>
  <dcterms:created xsi:type="dcterms:W3CDTF">2026-07-31T10:16:00Z</dcterms:created>
  <dcterms:modified xsi:type="dcterms:W3CDTF">2026-08-11T17:24:00Z</dcterms:modified>
</cp:coreProperties>
</file>