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5B918" w14:textId="5C836866" w:rsidR="00191D3B" w:rsidRPr="00CB189A" w:rsidRDefault="00445A90" w:rsidP="00CB189A">
      <w:pPr>
        <w:jc w:val="center"/>
        <w:rPr>
          <w:b/>
          <w:bCs/>
          <w:sz w:val="32"/>
          <w:szCs w:val="32"/>
          <w:u w:val="single"/>
        </w:rPr>
      </w:pPr>
      <w:r w:rsidRPr="00CB189A">
        <w:rPr>
          <w:b/>
          <w:bCs/>
          <w:sz w:val="32"/>
          <w:szCs w:val="32"/>
          <w:u w:val="single"/>
        </w:rPr>
        <w:t>Week 3 – Tort Law notes</w:t>
      </w:r>
    </w:p>
    <w:p w14:paraId="3E490B1E" w14:textId="4BDBC465" w:rsidR="00CB189A" w:rsidRPr="009E4820" w:rsidRDefault="00CB189A" w:rsidP="00CB189A">
      <w:pPr>
        <w:rPr>
          <w:b/>
          <w:bCs/>
          <w:sz w:val="28"/>
          <w:szCs w:val="28"/>
          <w:u w:val="single"/>
        </w:rPr>
      </w:pPr>
      <w:r w:rsidRPr="009E4820">
        <w:rPr>
          <w:b/>
          <w:bCs/>
          <w:sz w:val="28"/>
          <w:szCs w:val="28"/>
          <w:u w:val="single"/>
        </w:rPr>
        <w:t>Breach</w:t>
      </w:r>
    </w:p>
    <w:p w14:paraId="2AF6347F" w14:textId="7E04210D" w:rsidR="00CB189A" w:rsidRPr="009E4820" w:rsidRDefault="00CB189A" w:rsidP="00CB189A">
      <w:pPr>
        <w:rPr>
          <w:sz w:val="28"/>
          <w:szCs w:val="28"/>
        </w:rPr>
      </w:pPr>
      <w:r w:rsidRPr="009E4820">
        <w:rPr>
          <w:sz w:val="28"/>
          <w:szCs w:val="28"/>
        </w:rPr>
        <w:t>Once we have established that there is a duty of care owed. We next need to look at was the duty of care breached.</w:t>
      </w:r>
    </w:p>
    <w:p w14:paraId="4248C261" w14:textId="0AB66C5C" w:rsidR="00CB189A" w:rsidRPr="009E4820" w:rsidRDefault="00CB189A" w:rsidP="00CB189A">
      <w:pPr>
        <w:rPr>
          <w:sz w:val="28"/>
          <w:szCs w:val="28"/>
        </w:rPr>
      </w:pPr>
      <w:r w:rsidRPr="009E4820">
        <w:rPr>
          <w:sz w:val="28"/>
          <w:szCs w:val="28"/>
        </w:rPr>
        <w:t xml:space="preserve">First thing we look at is the reasonable man test – ‘’Objective test’’- would a reasonable man in the same position have acted in the same way – if yes (No breach) – if no (Breach) </w:t>
      </w:r>
      <w:r w:rsidRPr="009E4820">
        <w:rPr>
          <w:b/>
          <w:bCs/>
          <w:color w:val="7030A0"/>
          <w:sz w:val="28"/>
          <w:szCs w:val="28"/>
        </w:rPr>
        <w:t>Hazell v British Transport Commission [1958]</w:t>
      </w:r>
      <w:r w:rsidRPr="009E4820">
        <w:rPr>
          <w:color w:val="7030A0"/>
          <w:sz w:val="28"/>
          <w:szCs w:val="28"/>
        </w:rPr>
        <w:t xml:space="preserve"> </w:t>
      </w:r>
    </w:p>
    <w:p w14:paraId="7C55DFB2" w14:textId="049B507F" w:rsidR="00CB189A" w:rsidRPr="009E4820" w:rsidRDefault="00CB189A" w:rsidP="00CB189A">
      <w:pPr>
        <w:rPr>
          <w:color w:val="7030A0"/>
          <w:sz w:val="28"/>
          <w:szCs w:val="28"/>
        </w:rPr>
      </w:pPr>
      <w:r w:rsidRPr="009E4820">
        <w:rPr>
          <w:sz w:val="28"/>
          <w:szCs w:val="28"/>
        </w:rPr>
        <w:t xml:space="preserve">Usually not concerned with personal characteristics - </w:t>
      </w:r>
      <w:r w:rsidRPr="009E4820">
        <w:rPr>
          <w:b/>
          <w:bCs/>
          <w:color w:val="7030A0"/>
          <w:sz w:val="28"/>
          <w:szCs w:val="28"/>
        </w:rPr>
        <w:t>Dunnage v Randall and Another [2015]</w:t>
      </w:r>
      <w:r w:rsidRPr="009E4820">
        <w:rPr>
          <w:sz w:val="28"/>
          <w:szCs w:val="28"/>
        </w:rPr>
        <w:t xml:space="preserve"> </w:t>
      </w:r>
      <w:r w:rsidR="006E4827" w:rsidRPr="009E4820">
        <w:rPr>
          <w:sz w:val="28"/>
          <w:szCs w:val="28"/>
        </w:rPr>
        <w:t xml:space="preserve">– </w:t>
      </w:r>
      <w:r w:rsidR="006E4827" w:rsidRPr="009E4820">
        <w:rPr>
          <w:color w:val="7030A0"/>
          <w:sz w:val="28"/>
          <w:szCs w:val="28"/>
        </w:rPr>
        <w:t>Uncle, schizophrenia, fire, burns, death, duty of care</w:t>
      </w:r>
      <w:r w:rsidRPr="009E4820">
        <w:rPr>
          <w:sz w:val="28"/>
          <w:szCs w:val="28"/>
        </w:rPr>
        <w:t>– but there has been flexibility</w:t>
      </w:r>
      <w:r w:rsidR="008E1EED" w:rsidRPr="009E4820">
        <w:rPr>
          <w:sz w:val="28"/>
          <w:szCs w:val="28"/>
        </w:rPr>
        <w:t xml:space="preserve"> – Mansfield  v W</w:t>
      </w:r>
      <w:r w:rsidR="00F623C5" w:rsidRPr="009E4820">
        <w:rPr>
          <w:sz w:val="28"/>
          <w:szCs w:val="28"/>
        </w:rPr>
        <w:t xml:space="preserve">eetabix LTD [1998] – </w:t>
      </w:r>
      <w:r w:rsidR="00F623C5" w:rsidRPr="009E4820">
        <w:rPr>
          <w:color w:val="7030A0"/>
          <w:sz w:val="28"/>
          <w:szCs w:val="28"/>
        </w:rPr>
        <w:t>not aware of illness</w:t>
      </w:r>
      <w:r w:rsidR="001A0226" w:rsidRPr="009E4820">
        <w:rPr>
          <w:color w:val="7030A0"/>
          <w:sz w:val="28"/>
          <w:szCs w:val="28"/>
        </w:rPr>
        <w:t xml:space="preserve"> – courts took this into consideration. </w:t>
      </w:r>
    </w:p>
    <w:p w14:paraId="25A0F560" w14:textId="210F2C83" w:rsidR="003E0816" w:rsidRPr="009E4820" w:rsidRDefault="003E0816" w:rsidP="00CB189A">
      <w:pPr>
        <w:rPr>
          <w:b/>
          <w:bCs/>
          <w:sz w:val="28"/>
          <w:szCs w:val="28"/>
          <w:u w:val="single"/>
        </w:rPr>
      </w:pPr>
      <w:r w:rsidRPr="009E4820">
        <w:rPr>
          <w:b/>
          <w:bCs/>
          <w:sz w:val="28"/>
          <w:szCs w:val="28"/>
          <w:u w:val="single"/>
        </w:rPr>
        <w:t>Characteristics taken into account</w:t>
      </w:r>
    </w:p>
    <w:p w14:paraId="0573B56A" w14:textId="77777777" w:rsidR="00CB189A" w:rsidRPr="009E4820" w:rsidRDefault="00CB189A" w:rsidP="00CB189A">
      <w:pPr>
        <w:rPr>
          <w:sz w:val="28"/>
          <w:szCs w:val="28"/>
        </w:rPr>
      </w:pPr>
      <w:r w:rsidRPr="009E4820">
        <w:rPr>
          <w:b/>
          <w:bCs/>
          <w:sz w:val="28"/>
          <w:szCs w:val="28"/>
        </w:rPr>
        <w:t>Children</w:t>
      </w:r>
      <w:r w:rsidRPr="009E4820">
        <w:rPr>
          <w:sz w:val="28"/>
          <w:szCs w:val="28"/>
        </w:rPr>
        <w:t xml:space="preserve"> – age </w:t>
      </w:r>
    </w:p>
    <w:p w14:paraId="43035FD3" w14:textId="1367B920" w:rsidR="00CB189A" w:rsidRPr="009E4820" w:rsidRDefault="00CB189A" w:rsidP="00CB189A">
      <w:pPr>
        <w:rPr>
          <w:sz w:val="28"/>
          <w:szCs w:val="28"/>
        </w:rPr>
      </w:pPr>
      <w:r w:rsidRPr="009E4820">
        <w:rPr>
          <w:b/>
          <w:bCs/>
          <w:color w:val="7030A0"/>
          <w:sz w:val="28"/>
          <w:szCs w:val="28"/>
        </w:rPr>
        <w:t>Orchard v Lee [2009]</w:t>
      </w:r>
      <w:r w:rsidR="000C4AF5" w:rsidRPr="009E4820">
        <w:rPr>
          <w:b/>
          <w:bCs/>
          <w:color w:val="7030A0"/>
          <w:sz w:val="28"/>
          <w:szCs w:val="28"/>
        </w:rPr>
        <w:t xml:space="preserve">- </w:t>
      </w:r>
      <w:r w:rsidR="000C4AF5" w:rsidRPr="009E4820">
        <w:rPr>
          <w:color w:val="7030A0"/>
          <w:sz w:val="28"/>
          <w:szCs w:val="28"/>
        </w:rPr>
        <w:t xml:space="preserve">Child, tag, serious injury. No duty of care, reasonable person same age would do same </w:t>
      </w:r>
      <w:r w:rsidRPr="009E4820">
        <w:rPr>
          <w:sz w:val="28"/>
          <w:szCs w:val="28"/>
        </w:rPr>
        <w:t xml:space="preserve">– child not liable. </w:t>
      </w:r>
    </w:p>
    <w:p w14:paraId="738003F5" w14:textId="77777777" w:rsidR="00CB189A" w:rsidRPr="009E4820" w:rsidRDefault="00CB189A" w:rsidP="00CB189A">
      <w:pPr>
        <w:rPr>
          <w:b/>
          <w:bCs/>
          <w:sz w:val="28"/>
          <w:szCs w:val="28"/>
        </w:rPr>
      </w:pPr>
      <w:r w:rsidRPr="009E4820">
        <w:rPr>
          <w:b/>
          <w:bCs/>
          <w:sz w:val="28"/>
          <w:szCs w:val="28"/>
        </w:rPr>
        <w:t xml:space="preserve">Level of skill – Increased </w:t>
      </w:r>
    </w:p>
    <w:p w14:paraId="26184EE6" w14:textId="29D565B0" w:rsidR="00141463" w:rsidRPr="009E4820" w:rsidRDefault="008C1856" w:rsidP="00141463">
      <w:pPr>
        <w:pStyle w:val="ListParagraph"/>
        <w:numPr>
          <w:ilvl w:val="0"/>
          <w:numId w:val="1"/>
        </w:numPr>
        <w:rPr>
          <w:color w:val="7030A0"/>
          <w:sz w:val="28"/>
          <w:szCs w:val="28"/>
        </w:rPr>
      </w:pPr>
      <w:r w:rsidRPr="009E4820">
        <w:rPr>
          <w:b/>
          <w:bCs/>
          <w:color w:val="7030A0"/>
          <w:sz w:val="28"/>
          <w:szCs w:val="28"/>
        </w:rPr>
        <w:t xml:space="preserve">Phillips v William Whiteley [1938] </w:t>
      </w:r>
      <w:r w:rsidRPr="009E4820">
        <w:rPr>
          <w:sz w:val="28"/>
          <w:szCs w:val="28"/>
        </w:rPr>
        <w:t xml:space="preserve">– </w:t>
      </w:r>
      <w:r w:rsidRPr="009E4820">
        <w:rPr>
          <w:color w:val="7030A0"/>
          <w:sz w:val="28"/>
          <w:szCs w:val="28"/>
        </w:rPr>
        <w:t>ear piercing/infection/ not liable</w:t>
      </w:r>
    </w:p>
    <w:p w14:paraId="130753E2" w14:textId="6BC6B64A" w:rsidR="00344CB8" w:rsidRPr="009E4820" w:rsidRDefault="00344CB8" w:rsidP="00141463">
      <w:pPr>
        <w:pStyle w:val="ListParagraph"/>
        <w:numPr>
          <w:ilvl w:val="0"/>
          <w:numId w:val="1"/>
        </w:numPr>
        <w:rPr>
          <w:color w:val="7030A0"/>
          <w:sz w:val="28"/>
          <w:szCs w:val="28"/>
        </w:rPr>
      </w:pPr>
      <w:r w:rsidRPr="009E4820">
        <w:rPr>
          <w:sz w:val="28"/>
          <w:szCs w:val="28"/>
        </w:rPr>
        <w:t xml:space="preserve"> liable common practice –</w:t>
      </w:r>
      <w:r w:rsidRPr="009E4820">
        <w:rPr>
          <w:color w:val="7030A0"/>
          <w:sz w:val="28"/>
          <w:szCs w:val="28"/>
        </w:rPr>
        <w:t xml:space="preserve"> </w:t>
      </w:r>
      <w:r w:rsidRPr="009E4820">
        <w:rPr>
          <w:sz w:val="28"/>
          <w:szCs w:val="28"/>
        </w:rPr>
        <w:t xml:space="preserve"> no defence.</w:t>
      </w:r>
    </w:p>
    <w:p w14:paraId="029C2B35" w14:textId="0AE523F7" w:rsidR="00140011" w:rsidRPr="009E4820" w:rsidRDefault="00CB189A" w:rsidP="00CB189A">
      <w:pPr>
        <w:pStyle w:val="ListParagraph"/>
        <w:numPr>
          <w:ilvl w:val="0"/>
          <w:numId w:val="1"/>
        </w:numPr>
        <w:rPr>
          <w:sz w:val="28"/>
          <w:szCs w:val="28"/>
        </w:rPr>
      </w:pPr>
      <w:r w:rsidRPr="009E4820">
        <w:rPr>
          <w:sz w:val="28"/>
          <w:szCs w:val="28"/>
        </w:rPr>
        <w:t xml:space="preserve">Judged against another professional – Confirmed in the case of </w:t>
      </w:r>
      <w:r w:rsidRPr="009E4820">
        <w:rPr>
          <w:b/>
          <w:bCs/>
          <w:color w:val="7030A0"/>
          <w:sz w:val="28"/>
          <w:szCs w:val="28"/>
        </w:rPr>
        <w:t>Bolam v Friern Hospital Management Committee [1957]</w:t>
      </w:r>
      <w:r w:rsidR="00A302FC" w:rsidRPr="009E4820">
        <w:rPr>
          <w:b/>
          <w:bCs/>
          <w:color w:val="7030A0"/>
          <w:sz w:val="28"/>
          <w:szCs w:val="28"/>
        </w:rPr>
        <w:t xml:space="preserve"> </w:t>
      </w:r>
      <w:r w:rsidR="00F6275D" w:rsidRPr="009E4820">
        <w:rPr>
          <w:color w:val="7030A0"/>
          <w:sz w:val="28"/>
          <w:szCs w:val="28"/>
        </w:rPr>
        <w:t xml:space="preserve">– ECT – injured </w:t>
      </w:r>
      <w:r w:rsidR="003F5211" w:rsidRPr="009E4820">
        <w:rPr>
          <w:color w:val="7030A0"/>
          <w:sz w:val="28"/>
          <w:szCs w:val="28"/>
        </w:rPr>
        <w:t>–</w:t>
      </w:r>
      <w:r w:rsidR="00F6275D" w:rsidRPr="009E4820">
        <w:rPr>
          <w:color w:val="7030A0"/>
          <w:sz w:val="28"/>
          <w:szCs w:val="28"/>
        </w:rPr>
        <w:t xml:space="preserve"> </w:t>
      </w:r>
      <w:r w:rsidR="003F5211" w:rsidRPr="009E4820">
        <w:rPr>
          <w:color w:val="7030A0"/>
          <w:sz w:val="28"/>
          <w:szCs w:val="28"/>
        </w:rPr>
        <w:t xml:space="preserve">sued for no relaxants or restraints – liable. </w:t>
      </w:r>
    </w:p>
    <w:p w14:paraId="0BD94E2A" w14:textId="18DC0A70" w:rsidR="00DF70AD" w:rsidRPr="009E4820" w:rsidRDefault="00C15CE2" w:rsidP="00CB189A">
      <w:pPr>
        <w:pStyle w:val="ListParagraph"/>
        <w:numPr>
          <w:ilvl w:val="0"/>
          <w:numId w:val="1"/>
        </w:numPr>
        <w:rPr>
          <w:color w:val="7030A0"/>
          <w:sz w:val="28"/>
          <w:szCs w:val="28"/>
        </w:rPr>
      </w:pPr>
      <w:r w:rsidRPr="009E4820">
        <w:rPr>
          <w:b/>
          <w:bCs/>
          <w:color w:val="7030A0"/>
          <w:sz w:val="28"/>
          <w:szCs w:val="28"/>
        </w:rPr>
        <w:t xml:space="preserve">Wilsher v Essex Area Health Authority [1988] </w:t>
      </w:r>
      <w:r w:rsidR="00900C32" w:rsidRPr="009E4820">
        <w:rPr>
          <w:b/>
          <w:bCs/>
          <w:color w:val="7030A0"/>
          <w:sz w:val="28"/>
          <w:szCs w:val="28"/>
        </w:rPr>
        <w:t xml:space="preserve">– </w:t>
      </w:r>
      <w:r w:rsidR="00900C32" w:rsidRPr="009E4820">
        <w:rPr>
          <w:color w:val="7030A0"/>
          <w:sz w:val="28"/>
          <w:szCs w:val="28"/>
        </w:rPr>
        <w:t xml:space="preserve">excess oxygen </w:t>
      </w:r>
      <w:r w:rsidR="009476F7" w:rsidRPr="009E4820">
        <w:rPr>
          <w:color w:val="7030A0"/>
          <w:sz w:val="28"/>
          <w:szCs w:val="28"/>
        </w:rPr>
        <w:t>–</w:t>
      </w:r>
      <w:r w:rsidR="00900C32" w:rsidRPr="009E4820">
        <w:rPr>
          <w:color w:val="7030A0"/>
          <w:sz w:val="28"/>
          <w:szCs w:val="28"/>
        </w:rPr>
        <w:t xml:space="preserve"> blindness</w:t>
      </w:r>
      <w:r w:rsidR="009476F7" w:rsidRPr="009E4820">
        <w:rPr>
          <w:color w:val="7030A0"/>
          <w:sz w:val="28"/>
          <w:szCs w:val="28"/>
        </w:rPr>
        <w:t xml:space="preserve"> – junior doctors </w:t>
      </w:r>
      <w:r w:rsidR="003F6543" w:rsidRPr="009E4820">
        <w:rPr>
          <w:color w:val="7030A0"/>
          <w:sz w:val="28"/>
          <w:szCs w:val="28"/>
        </w:rPr>
        <w:t xml:space="preserve">– held to the same standard as a professional </w:t>
      </w:r>
      <w:r w:rsidR="007571FC" w:rsidRPr="009E4820">
        <w:rPr>
          <w:color w:val="7030A0"/>
          <w:sz w:val="28"/>
          <w:szCs w:val="28"/>
        </w:rPr>
        <w:t>– but not liable because multiple causes.</w:t>
      </w:r>
    </w:p>
    <w:p w14:paraId="0B39F98A" w14:textId="344421A7" w:rsidR="009E4820" w:rsidRPr="009E4820" w:rsidRDefault="009E4820" w:rsidP="00CB189A">
      <w:pPr>
        <w:pStyle w:val="ListParagraph"/>
        <w:numPr>
          <w:ilvl w:val="0"/>
          <w:numId w:val="1"/>
        </w:numPr>
        <w:rPr>
          <w:color w:val="7030A0"/>
          <w:sz w:val="28"/>
          <w:szCs w:val="28"/>
        </w:rPr>
      </w:pPr>
      <w:r w:rsidRPr="009E4820">
        <w:rPr>
          <w:color w:val="7030A0"/>
          <w:sz w:val="28"/>
          <w:szCs w:val="28"/>
        </w:rPr>
        <w:t xml:space="preserve">At least one professional </w:t>
      </w:r>
    </w:p>
    <w:p w14:paraId="39B3DBD8" w14:textId="64151238" w:rsidR="00CB189A" w:rsidRPr="009E4820" w:rsidRDefault="00CB189A" w:rsidP="00CB189A">
      <w:pPr>
        <w:pStyle w:val="ListParagraph"/>
        <w:numPr>
          <w:ilvl w:val="0"/>
          <w:numId w:val="1"/>
        </w:numPr>
        <w:rPr>
          <w:sz w:val="28"/>
          <w:szCs w:val="28"/>
        </w:rPr>
      </w:pPr>
      <w:r w:rsidRPr="009E4820">
        <w:rPr>
          <w:sz w:val="28"/>
          <w:szCs w:val="28"/>
        </w:rPr>
        <w:t xml:space="preserve">Later came the </w:t>
      </w:r>
      <w:r w:rsidRPr="009E4820">
        <w:rPr>
          <w:b/>
          <w:bCs/>
          <w:color w:val="7030A0"/>
          <w:sz w:val="28"/>
          <w:szCs w:val="28"/>
        </w:rPr>
        <w:t>Bolitho v City and Hackney Health Authority [1997]</w:t>
      </w:r>
      <w:r w:rsidRPr="009E4820">
        <w:rPr>
          <w:color w:val="7030A0"/>
          <w:sz w:val="28"/>
          <w:szCs w:val="28"/>
        </w:rPr>
        <w:t xml:space="preserve"> </w:t>
      </w:r>
      <w:r w:rsidR="007571FC" w:rsidRPr="009E4820">
        <w:rPr>
          <w:color w:val="7030A0"/>
          <w:sz w:val="28"/>
          <w:szCs w:val="28"/>
        </w:rPr>
        <w:t xml:space="preserve">– students to research - </w:t>
      </w:r>
      <w:r w:rsidRPr="009E4820">
        <w:rPr>
          <w:sz w:val="28"/>
          <w:szCs w:val="28"/>
        </w:rPr>
        <w:t xml:space="preserve">logically defensible. But leading case is Bolam. </w:t>
      </w:r>
    </w:p>
    <w:p w14:paraId="2D9C2949" w14:textId="2B3696A9" w:rsidR="00CB189A" w:rsidRPr="009E4820" w:rsidRDefault="00CB189A" w:rsidP="00B74E94">
      <w:pPr>
        <w:pStyle w:val="ListParagraph"/>
        <w:numPr>
          <w:ilvl w:val="0"/>
          <w:numId w:val="1"/>
        </w:numPr>
        <w:rPr>
          <w:sz w:val="28"/>
          <w:szCs w:val="28"/>
        </w:rPr>
      </w:pPr>
      <w:r w:rsidRPr="009E4820">
        <w:rPr>
          <w:sz w:val="28"/>
          <w:szCs w:val="28"/>
        </w:rPr>
        <w:t xml:space="preserve">Doctors breach duty of care if they do not inform patients of even the smallest risks – </w:t>
      </w:r>
      <w:r w:rsidRPr="009E4820">
        <w:rPr>
          <w:b/>
          <w:bCs/>
          <w:color w:val="7030A0"/>
          <w:sz w:val="28"/>
          <w:szCs w:val="28"/>
        </w:rPr>
        <w:t>Chester v Afshar [2004]</w:t>
      </w:r>
      <w:r w:rsidRPr="009E4820">
        <w:rPr>
          <w:color w:val="7030A0"/>
          <w:sz w:val="28"/>
          <w:szCs w:val="28"/>
        </w:rPr>
        <w:t xml:space="preserve"> </w:t>
      </w:r>
      <w:r w:rsidR="00A71FF9" w:rsidRPr="009E4820">
        <w:rPr>
          <w:color w:val="7030A0"/>
          <w:sz w:val="28"/>
          <w:szCs w:val="28"/>
        </w:rPr>
        <w:t xml:space="preserve">– Operation , partial paralysis, not told about the 1-2% risk </w:t>
      </w:r>
      <w:r w:rsidR="00916798" w:rsidRPr="009E4820">
        <w:rPr>
          <w:color w:val="7030A0"/>
          <w:sz w:val="28"/>
          <w:szCs w:val="28"/>
        </w:rPr>
        <w:t>–</w:t>
      </w:r>
      <w:r w:rsidR="00A71FF9" w:rsidRPr="009E4820">
        <w:rPr>
          <w:color w:val="7030A0"/>
          <w:sz w:val="28"/>
          <w:szCs w:val="28"/>
        </w:rPr>
        <w:t xml:space="preserve"> </w:t>
      </w:r>
      <w:r w:rsidR="00916798" w:rsidRPr="009E4820">
        <w:rPr>
          <w:color w:val="7030A0"/>
          <w:sz w:val="28"/>
          <w:szCs w:val="28"/>
        </w:rPr>
        <w:t xml:space="preserve">Lack of consent (Informed) – </w:t>
      </w:r>
      <w:r w:rsidR="00916798" w:rsidRPr="009E4820">
        <w:rPr>
          <w:color w:val="7030A0"/>
          <w:sz w:val="28"/>
          <w:szCs w:val="28"/>
        </w:rPr>
        <w:lastRenderedPageBreak/>
        <w:t xml:space="preserve">Duty of care breached. </w:t>
      </w:r>
      <w:r w:rsidR="00B74E94" w:rsidRPr="009E4820">
        <w:rPr>
          <w:color w:val="7030A0"/>
          <w:sz w:val="28"/>
          <w:szCs w:val="28"/>
        </w:rPr>
        <w:t>C</w:t>
      </w:r>
      <w:r w:rsidR="0060337F" w:rsidRPr="009E4820">
        <w:rPr>
          <w:color w:val="7030A0"/>
          <w:sz w:val="28"/>
          <w:szCs w:val="28"/>
        </w:rPr>
        <w:t xml:space="preserve">ase of </w:t>
      </w:r>
      <w:r w:rsidR="0060337F" w:rsidRPr="009E4820">
        <w:rPr>
          <w:b/>
          <w:bCs/>
          <w:color w:val="7030A0"/>
          <w:sz w:val="28"/>
          <w:szCs w:val="28"/>
        </w:rPr>
        <w:t>Mont</w:t>
      </w:r>
      <w:r w:rsidR="00A82865" w:rsidRPr="009E4820">
        <w:rPr>
          <w:b/>
          <w:bCs/>
          <w:color w:val="7030A0"/>
          <w:sz w:val="28"/>
          <w:szCs w:val="28"/>
        </w:rPr>
        <w:t xml:space="preserve">gomery v </w:t>
      </w:r>
      <w:r w:rsidR="00FD5659" w:rsidRPr="009E4820">
        <w:rPr>
          <w:b/>
          <w:bCs/>
          <w:color w:val="7030A0"/>
          <w:sz w:val="28"/>
          <w:szCs w:val="28"/>
        </w:rPr>
        <w:t>Lanarkshire</w:t>
      </w:r>
      <w:r w:rsidR="00A82865" w:rsidRPr="009E4820">
        <w:rPr>
          <w:b/>
          <w:bCs/>
          <w:color w:val="7030A0"/>
          <w:sz w:val="28"/>
          <w:szCs w:val="28"/>
        </w:rPr>
        <w:t xml:space="preserve"> Health Board [2015]</w:t>
      </w:r>
    </w:p>
    <w:p w14:paraId="5AE8A05F" w14:textId="77777777" w:rsidR="00CB189A" w:rsidRPr="009E4820" w:rsidRDefault="00CB189A" w:rsidP="00CB189A">
      <w:pPr>
        <w:rPr>
          <w:b/>
          <w:bCs/>
          <w:sz w:val="28"/>
          <w:szCs w:val="28"/>
        </w:rPr>
      </w:pPr>
      <w:r w:rsidRPr="009E4820">
        <w:rPr>
          <w:b/>
          <w:bCs/>
          <w:sz w:val="28"/>
          <w:szCs w:val="28"/>
        </w:rPr>
        <w:t xml:space="preserve">How is the standard of care set for the defendant? </w:t>
      </w:r>
    </w:p>
    <w:p w14:paraId="295D47F6" w14:textId="77777777" w:rsidR="00CB189A" w:rsidRPr="009E4820" w:rsidRDefault="00CB189A" w:rsidP="00CB189A">
      <w:pPr>
        <w:rPr>
          <w:sz w:val="28"/>
          <w:szCs w:val="28"/>
        </w:rPr>
      </w:pPr>
      <w:r w:rsidRPr="009E4820">
        <w:rPr>
          <w:sz w:val="28"/>
          <w:szCs w:val="28"/>
        </w:rPr>
        <w:t xml:space="preserve">We look at; </w:t>
      </w:r>
    </w:p>
    <w:p w14:paraId="2C278A33" w14:textId="16DDB88E" w:rsidR="009618F7" w:rsidRPr="009E4820" w:rsidRDefault="009618F7" w:rsidP="00CB189A">
      <w:pPr>
        <w:rPr>
          <w:sz w:val="28"/>
          <w:szCs w:val="28"/>
        </w:rPr>
      </w:pPr>
      <w:r w:rsidRPr="009E4820">
        <w:rPr>
          <w:sz w:val="28"/>
          <w:szCs w:val="28"/>
        </w:rPr>
        <w:t>Courts will take into consideration the circumstances at the time, but not the individual character</w:t>
      </w:r>
      <w:r w:rsidR="00C32BC7" w:rsidRPr="009E4820">
        <w:rPr>
          <w:sz w:val="28"/>
          <w:szCs w:val="28"/>
        </w:rPr>
        <w:t xml:space="preserve">istics of the defendant. </w:t>
      </w:r>
    </w:p>
    <w:p w14:paraId="6F88539E" w14:textId="383DD640" w:rsidR="00C32BC7" w:rsidRPr="009E4820" w:rsidRDefault="00C32BC7" w:rsidP="00CB189A">
      <w:pPr>
        <w:rPr>
          <w:sz w:val="28"/>
          <w:szCs w:val="28"/>
        </w:rPr>
      </w:pPr>
      <w:r w:rsidRPr="009E4820">
        <w:rPr>
          <w:sz w:val="28"/>
          <w:szCs w:val="28"/>
        </w:rPr>
        <w:t xml:space="preserve">Courts will take into account </w:t>
      </w:r>
      <w:r w:rsidR="007E5030" w:rsidRPr="009E4820">
        <w:rPr>
          <w:sz w:val="28"/>
          <w:szCs w:val="28"/>
        </w:rPr>
        <w:t xml:space="preserve">; probability of risk, seriousness of injury and cost and social value. </w:t>
      </w:r>
    </w:p>
    <w:p w14:paraId="7A9E6DF9" w14:textId="08352CD3" w:rsidR="00CB189A" w:rsidRPr="009E4820" w:rsidRDefault="00CB189A" w:rsidP="00CB189A">
      <w:pPr>
        <w:pStyle w:val="ListParagraph"/>
        <w:numPr>
          <w:ilvl w:val="0"/>
          <w:numId w:val="2"/>
        </w:numPr>
        <w:rPr>
          <w:b/>
          <w:bCs/>
          <w:color w:val="7030A0"/>
          <w:sz w:val="28"/>
          <w:szCs w:val="28"/>
        </w:rPr>
      </w:pPr>
      <w:r w:rsidRPr="009E4820">
        <w:rPr>
          <w:b/>
          <w:bCs/>
          <w:sz w:val="28"/>
          <w:szCs w:val="28"/>
        </w:rPr>
        <w:t>Reasonable foreseeability</w:t>
      </w:r>
      <w:r w:rsidRPr="009E4820">
        <w:rPr>
          <w:sz w:val="28"/>
          <w:szCs w:val="28"/>
        </w:rPr>
        <w:t xml:space="preserve"> – More foreseeable the more likely liability – Key case is Bolton v Stone . But also the severity of the harm </w:t>
      </w:r>
      <w:r w:rsidR="004A7987" w:rsidRPr="009E4820">
        <w:rPr>
          <w:sz w:val="28"/>
          <w:szCs w:val="28"/>
        </w:rPr>
        <w:t xml:space="preserve">– Perry v Harris </w:t>
      </w:r>
      <w:r w:rsidR="006E4937" w:rsidRPr="009E4820">
        <w:rPr>
          <w:sz w:val="28"/>
          <w:szCs w:val="28"/>
        </w:rPr>
        <w:t xml:space="preserve">[ 2008] </w:t>
      </w:r>
      <w:r w:rsidRPr="009E4820">
        <w:rPr>
          <w:sz w:val="28"/>
          <w:szCs w:val="28"/>
        </w:rPr>
        <w:t xml:space="preserve">– looking at what happened at the time – the conduct at the time of the breach. </w:t>
      </w:r>
      <w:r w:rsidRPr="009E4820">
        <w:rPr>
          <w:b/>
          <w:bCs/>
          <w:color w:val="7030A0"/>
          <w:sz w:val="28"/>
          <w:szCs w:val="28"/>
        </w:rPr>
        <w:t>Roe v Ministry of Health [1954]</w:t>
      </w:r>
      <w:r w:rsidR="0005617E" w:rsidRPr="009E4820">
        <w:rPr>
          <w:b/>
          <w:bCs/>
          <w:color w:val="7030A0"/>
          <w:sz w:val="28"/>
          <w:szCs w:val="28"/>
        </w:rPr>
        <w:t xml:space="preserve"> – </w:t>
      </w:r>
      <w:r w:rsidR="0005617E" w:rsidRPr="009E4820">
        <w:rPr>
          <w:color w:val="7030A0"/>
          <w:sz w:val="28"/>
          <w:szCs w:val="28"/>
        </w:rPr>
        <w:t xml:space="preserve">breaks in </w:t>
      </w:r>
      <w:r w:rsidR="00E759C6" w:rsidRPr="009E4820">
        <w:rPr>
          <w:color w:val="7030A0"/>
          <w:sz w:val="28"/>
          <w:szCs w:val="28"/>
        </w:rPr>
        <w:t>medical amp</w:t>
      </w:r>
      <w:r w:rsidR="00662AFD" w:rsidRPr="009E4820">
        <w:rPr>
          <w:color w:val="7030A0"/>
          <w:sz w:val="28"/>
          <w:szCs w:val="28"/>
        </w:rPr>
        <w:t>ules – not known to medicine – not foreseeable – not negligent.</w:t>
      </w:r>
      <w:r w:rsidR="00662AFD" w:rsidRPr="009E4820">
        <w:rPr>
          <w:b/>
          <w:bCs/>
          <w:color w:val="7030A0"/>
          <w:sz w:val="28"/>
          <w:szCs w:val="28"/>
        </w:rPr>
        <w:t xml:space="preserve"> </w:t>
      </w:r>
    </w:p>
    <w:p w14:paraId="2AEDDFD8" w14:textId="6DC13B60" w:rsidR="00CB189A" w:rsidRPr="009E4820" w:rsidRDefault="00CB189A" w:rsidP="00CB189A">
      <w:pPr>
        <w:pStyle w:val="ListParagraph"/>
        <w:numPr>
          <w:ilvl w:val="0"/>
          <w:numId w:val="2"/>
        </w:numPr>
        <w:rPr>
          <w:sz w:val="28"/>
          <w:szCs w:val="28"/>
        </w:rPr>
      </w:pPr>
      <w:r w:rsidRPr="009E4820">
        <w:rPr>
          <w:b/>
          <w:bCs/>
          <w:sz w:val="28"/>
          <w:szCs w:val="28"/>
        </w:rPr>
        <w:t>How Serious is the injury</w:t>
      </w:r>
      <w:r w:rsidRPr="009E4820">
        <w:rPr>
          <w:sz w:val="28"/>
          <w:szCs w:val="28"/>
        </w:rPr>
        <w:t>? – More serious the potential injury –</w:t>
      </w:r>
      <w:r w:rsidR="00935AA2" w:rsidRPr="009E4820">
        <w:rPr>
          <w:sz w:val="28"/>
          <w:szCs w:val="28"/>
        </w:rPr>
        <w:t xml:space="preserve"> more likely to have</w:t>
      </w:r>
      <w:r w:rsidRPr="009E4820">
        <w:rPr>
          <w:sz w:val="28"/>
          <w:szCs w:val="28"/>
        </w:rPr>
        <w:t xml:space="preserve"> fallen below. </w:t>
      </w:r>
      <w:r w:rsidRPr="009E4820">
        <w:rPr>
          <w:b/>
          <w:bCs/>
          <w:color w:val="7030A0"/>
          <w:sz w:val="28"/>
          <w:szCs w:val="28"/>
        </w:rPr>
        <w:t>Paris v Stephney Borough Council [1951]</w:t>
      </w:r>
      <w:r w:rsidRPr="009E4820">
        <w:rPr>
          <w:color w:val="7030A0"/>
          <w:sz w:val="28"/>
          <w:szCs w:val="28"/>
        </w:rPr>
        <w:t xml:space="preserve"> </w:t>
      </w:r>
      <w:r w:rsidR="00BA70AE" w:rsidRPr="009E4820">
        <w:rPr>
          <w:color w:val="7030A0"/>
          <w:sz w:val="28"/>
          <w:szCs w:val="28"/>
        </w:rPr>
        <w:t>– not protective goggles</w:t>
      </w:r>
      <w:r w:rsidR="00E76C6B" w:rsidRPr="009E4820">
        <w:rPr>
          <w:color w:val="7030A0"/>
          <w:sz w:val="28"/>
          <w:szCs w:val="28"/>
        </w:rPr>
        <w:t xml:space="preserve"> - Liable</w:t>
      </w:r>
      <w:r w:rsidR="00BA70AE" w:rsidRPr="009E4820">
        <w:rPr>
          <w:color w:val="7030A0"/>
          <w:sz w:val="28"/>
          <w:szCs w:val="28"/>
        </w:rPr>
        <w:t xml:space="preserve"> - </w:t>
      </w:r>
      <w:r w:rsidRPr="009E4820">
        <w:rPr>
          <w:sz w:val="28"/>
          <w:szCs w:val="28"/>
        </w:rPr>
        <w:t xml:space="preserve">Also vulnerability of the claimant. </w:t>
      </w:r>
    </w:p>
    <w:p w14:paraId="02B13B03" w14:textId="77777777" w:rsidR="00CB189A" w:rsidRPr="009E4820" w:rsidRDefault="00CB189A" w:rsidP="00CB189A">
      <w:pPr>
        <w:pStyle w:val="ListParagraph"/>
        <w:numPr>
          <w:ilvl w:val="0"/>
          <w:numId w:val="2"/>
        </w:numPr>
        <w:rPr>
          <w:color w:val="7030A0"/>
        </w:rPr>
      </w:pPr>
      <w:r w:rsidRPr="009E4820">
        <w:rPr>
          <w:b/>
          <w:bCs/>
          <w:sz w:val="28"/>
          <w:szCs w:val="28"/>
        </w:rPr>
        <w:t xml:space="preserve">Costs </w:t>
      </w:r>
      <w:r w:rsidRPr="009E4820">
        <w:rPr>
          <w:sz w:val="28"/>
          <w:szCs w:val="28"/>
        </w:rPr>
        <w:t xml:space="preserve">– how much will it cost d to protect against risk. Key case is </w:t>
      </w:r>
      <w:r w:rsidRPr="009E4820">
        <w:rPr>
          <w:b/>
          <w:bCs/>
          <w:color w:val="7030A0"/>
          <w:sz w:val="28"/>
          <w:szCs w:val="28"/>
        </w:rPr>
        <w:t xml:space="preserve">Latimer v AEC [1953] </w:t>
      </w:r>
      <w:r w:rsidRPr="009E4820">
        <w:rPr>
          <w:sz w:val="28"/>
          <w:szCs w:val="28"/>
        </w:rPr>
        <w:t xml:space="preserve">– </w:t>
      </w:r>
      <w:r w:rsidRPr="009E4820">
        <w:rPr>
          <w:color w:val="7030A0"/>
          <w:sz w:val="28"/>
          <w:szCs w:val="28"/>
        </w:rPr>
        <w:t xml:space="preserve">not required to close factory for whole day despite not enough sawdust to cover whole floor which resulted in someone slipping and injuring themselves. </w:t>
      </w:r>
    </w:p>
    <w:p w14:paraId="643197E3" w14:textId="10E91250" w:rsidR="00CB189A" w:rsidRPr="009E4820" w:rsidRDefault="00CB189A" w:rsidP="00CB189A">
      <w:pPr>
        <w:pStyle w:val="ListParagraph"/>
        <w:numPr>
          <w:ilvl w:val="0"/>
          <w:numId w:val="2"/>
        </w:numPr>
        <w:rPr>
          <w:sz w:val="28"/>
          <w:szCs w:val="28"/>
        </w:rPr>
      </w:pPr>
      <w:r w:rsidRPr="009E4820">
        <w:rPr>
          <w:b/>
          <w:bCs/>
          <w:sz w:val="28"/>
          <w:szCs w:val="28"/>
        </w:rPr>
        <w:t xml:space="preserve">Social </w:t>
      </w:r>
      <w:r w:rsidRPr="009E4820">
        <w:t xml:space="preserve">– </w:t>
      </w:r>
      <w:r w:rsidRPr="009E4820">
        <w:rPr>
          <w:sz w:val="28"/>
          <w:szCs w:val="28"/>
        </w:rPr>
        <w:t xml:space="preserve">looking at the social aspect of the activity. More social value, more responsibility. Standard lower if in heat of the moment or emergency. Key case; </w:t>
      </w:r>
      <w:r w:rsidRPr="009E4820">
        <w:rPr>
          <w:b/>
          <w:bCs/>
          <w:color w:val="7030A0"/>
          <w:sz w:val="28"/>
          <w:szCs w:val="28"/>
        </w:rPr>
        <w:t>Watt v Hertfordshire County Council [1954]</w:t>
      </w:r>
      <w:r w:rsidR="00BC3131" w:rsidRPr="009E4820">
        <w:rPr>
          <w:b/>
          <w:bCs/>
          <w:color w:val="7030A0"/>
          <w:sz w:val="28"/>
          <w:szCs w:val="28"/>
        </w:rPr>
        <w:t xml:space="preserve"> </w:t>
      </w:r>
      <w:r w:rsidR="0003199E" w:rsidRPr="009E4820">
        <w:rPr>
          <w:b/>
          <w:bCs/>
          <w:color w:val="7030A0"/>
          <w:sz w:val="28"/>
          <w:szCs w:val="28"/>
        </w:rPr>
        <w:t>–</w:t>
      </w:r>
      <w:r w:rsidR="00BC3131" w:rsidRPr="009E4820">
        <w:rPr>
          <w:b/>
          <w:bCs/>
          <w:color w:val="7030A0"/>
          <w:sz w:val="28"/>
          <w:szCs w:val="28"/>
        </w:rPr>
        <w:t xml:space="preserve"> </w:t>
      </w:r>
      <w:r w:rsidR="00BC3131" w:rsidRPr="009E4820">
        <w:rPr>
          <w:color w:val="7030A0"/>
          <w:sz w:val="28"/>
          <w:szCs w:val="28"/>
        </w:rPr>
        <w:t>Jack</w:t>
      </w:r>
      <w:r w:rsidR="0003199E" w:rsidRPr="009E4820">
        <w:rPr>
          <w:color w:val="7030A0"/>
          <w:sz w:val="28"/>
          <w:szCs w:val="28"/>
        </w:rPr>
        <w:t>, wrong vehicle, fell, not liable, emergency situation</w:t>
      </w:r>
      <w:r w:rsidRPr="009E4820">
        <w:rPr>
          <w:sz w:val="28"/>
          <w:szCs w:val="28"/>
        </w:rPr>
        <w:t xml:space="preserve">. Balance of harm and benefit. </w:t>
      </w:r>
    </w:p>
    <w:p w14:paraId="5D9CC957" w14:textId="58F4B315" w:rsidR="00CB189A" w:rsidRPr="009E4820" w:rsidRDefault="00CB189A" w:rsidP="00B75F2F">
      <w:pPr>
        <w:rPr>
          <w:sz w:val="28"/>
          <w:szCs w:val="28"/>
        </w:rPr>
      </w:pPr>
      <w:r w:rsidRPr="009E4820">
        <w:rPr>
          <w:sz w:val="28"/>
          <w:szCs w:val="28"/>
        </w:rPr>
        <w:t xml:space="preserve">Everything needs to be balanced. </w:t>
      </w:r>
    </w:p>
    <w:p w14:paraId="62E4F255" w14:textId="5A25B472" w:rsidR="00CB189A" w:rsidRPr="009E4820" w:rsidRDefault="00CB189A" w:rsidP="003C396F">
      <w:pPr>
        <w:rPr>
          <w:sz w:val="28"/>
          <w:szCs w:val="28"/>
        </w:rPr>
      </w:pPr>
      <w:r w:rsidRPr="009E4820">
        <w:rPr>
          <w:sz w:val="28"/>
          <w:szCs w:val="28"/>
        </w:rPr>
        <w:t xml:space="preserve">Key section is </w:t>
      </w:r>
      <w:r w:rsidRPr="009E4820">
        <w:rPr>
          <w:b/>
          <w:bCs/>
          <w:sz w:val="28"/>
          <w:szCs w:val="28"/>
        </w:rPr>
        <w:t xml:space="preserve">S.1 of the Compensation Act 2006 and Social Action, Responsibility and Heroism Act 2015 </w:t>
      </w:r>
      <w:r w:rsidRPr="009E4820">
        <w:rPr>
          <w:sz w:val="28"/>
          <w:szCs w:val="28"/>
        </w:rPr>
        <w:t>– expresses the above</w:t>
      </w:r>
      <w:r w:rsidR="008B4B37" w:rsidRPr="009E4820">
        <w:rPr>
          <w:sz w:val="28"/>
          <w:szCs w:val="28"/>
        </w:rPr>
        <w:t xml:space="preserve"> </w:t>
      </w:r>
    </w:p>
    <w:p w14:paraId="50DBEB45" w14:textId="77777777" w:rsidR="00CB189A" w:rsidRPr="009E4820" w:rsidRDefault="00CB189A"/>
    <w:p w14:paraId="5DC4DD7E" w14:textId="77777777" w:rsidR="00445A90" w:rsidRPr="009E4820" w:rsidRDefault="00445A90"/>
    <w:p w14:paraId="06A61B83" w14:textId="77777777" w:rsidR="00445A90" w:rsidRPr="009E4820" w:rsidRDefault="00445A90"/>
    <w:p w14:paraId="400EA5A3" w14:textId="77777777" w:rsidR="00445A90" w:rsidRPr="009E4820" w:rsidRDefault="00445A90"/>
    <w:p w14:paraId="332448E9" w14:textId="77777777" w:rsidR="00445A90" w:rsidRPr="009E4820" w:rsidRDefault="00445A90"/>
    <w:p w14:paraId="395BD80F" w14:textId="77777777" w:rsidR="00445A90" w:rsidRPr="009E4820" w:rsidRDefault="00445A90"/>
    <w:p w14:paraId="2B380891" w14:textId="77777777" w:rsidR="00445A90" w:rsidRPr="009E4820" w:rsidRDefault="00445A90"/>
    <w:p w14:paraId="5C49D43D" w14:textId="77777777" w:rsidR="00445A90" w:rsidRPr="009E4820" w:rsidRDefault="00445A90"/>
    <w:p w14:paraId="59F46344" w14:textId="77777777" w:rsidR="00445A90" w:rsidRPr="009E4820" w:rsidRDefault="00445A90"/>
    <w:p w14:paraId="48FDA2C8" w14:textId="77777777" w:rsidR="00445A90" w:rsidRPr="009E4820" w:rsidRDefault="00445A90"/>
    <w:p w14:paraId="1C49273F" w14:textId="77777777" w:rsidR="00445A90" w:rsidRPr="009E4820" w:rsidRDefault="00445A90"/>
    <w:p w14:paraId="1267358A" w14:textId="77777777" w:rsidR="008B4B37" w:rsidRPr="009E4820" w:rsidRDefault="008B4B37"/>
    <w:p w14:paraId="1CB136E1" w14:textId="77777777" w:rsidR="008B4B37" w:rsidRPr="009E4820" w:rsidRDefault="008B4B37"/>
    <w:p w14:paraId="05BB4A4F" w14:textId="77777777" w:rsidR="008B4B37" w:rsidRPr="009E4820" w:rsidRDefault="008B4B37"/>
    <w:p w14:paraId="156D71E6" w14:textId="77777777" w:rsidR="008B4B37" w:rsidRPr="009E4820" w:rsidRDefault="008B4B37"/>
    <w:p w14:paraId="6B96C96F" w14:textId="77777777" w:rsidR="008B4B37" w:rsidRPr="009E4820" w:rsidRDefault="008B4B37"/>
    <w:p w14:paraId="1E3DF1D8" w14:textId="77777777" w:rsidR="008B4B37" w:rsidRPr="009E4820" w:rsidRDefault="008B4B37"/>
    <w:p w14:paraId="5EB1079B" w14:textId="77777777" w:rsidR="00FD2EF3" w:rsidRPr="009E4820" w:rsidRDefault="00FD2EF3"/>
    <w:p w14:paraId="17633A10" w14:textId="77777777" w:rsidR="00FD2EF3" w:rsidRPr="009E4820" w:rsidRDefault="00FD2EF3"/>
    <w:p w14:paraId="012E8696" w14:textId="77777777" w:rsidR="008B4B37" w:rsidRPr="009E4820" w:rsidRDefault="008B4B37"/>
    <w:p w14:paraId="0E5BF612" w14:textId="3FB91E09" w:rsidR="00445A90" w:rsidRPr="009E4820" w:rsidRDefault="00445A90">
      <w:pPr>
        <w:rPr>
          <w:b/>
          <w:bCs/>
          <w:sz w:val="28"/>
          <w:szCs w:val="28"/>
          <w:u w:val="single"/>
        </w:rPr>
      </w:pPr>
      <w:r w:rsidRPr="009E4820">
        <w:rPr>
          <w:b/>
          <w:bCs/>
          <w:sz w:val="28"/>
          <w:szCs w:val="28"/>
          <w:u w:val="single"/>
        </w:rPr>
        <w:t xml:space="preserve">Causation – </w:t>
      </w:r>
    </w:p>
    <w:p w14:paraId="66608A3C" w14:textId="39088096" w:rsidR="00445A90" w:rsidRPr="009E4820" w:rsidRDefault="00445A90">
      <w:r w:rsidRPr="009E4820">
        <w:t xml:space="preserve">Something you may have come across in criminal law – if you have studied it. </w:t>
      </w:r>
    </w:p>
    <w:p w14:paraId="408B7578" w14:textId="1000260C" w:rsidR="00445A90" w:rsidRPr="009E4820" w:rsidRDefault="00445A90" w:rsidP="00454FF3">
      <w:r w:rsidRPr="009E4820">
        <w:t>We need to prove a causal link between the breach and the result. Damage suffered must be worthy of compensation</w:t>
      </w:r>
      <w:r w:rsidR="00454FF3" w:rsidRPr="009E4820">
        <w:t>.</w:t>
      </w:r>
    </w:p>
    <w:p w14:paraId="2C15DF5F" w14:textId="6DBE5E68" w:rsidR="00445A90" w:rsidRPr="009E4820" w:rsidRDefault="00445A90" w:rsidP="00376FD8">
      <w:r w:rsidRPr="009E4820">
        <w:t xml:space="preserve">We need to prove both factual and legal causation. </w:t>
      </w:r>
    </w:p>
    <w:p w14:paraId="18167C25" w14:textId="5CA6866D" w:rsidR="00445A90" w:rsidRPr="009E4820" w:rsidRDefault="00445A90">
      <w:r w:rsidRPr="009E4820">
        <w:t xml:space="preserve">We always start with factual causation – here we are looking at the facts – did the claimant cause the injury/damage. Need to have a complete chain of causation. </w:t>
      </w:r>
    </w:p>
    <w:p w14:paraId="7456183C" w14:textId="547CB2DB" w:rsidR="00445A90" w:rsidRPr="009E4820" w:rsidRDefault="00445A90">
      <w:r w:rsidRPr="009E4820">
        <w:t xml:space="preserve">But first we need to consider the but for test – but for D’s actions would C have suffered injury/loss. If the answer is no we prove factual causation. Our key cases include </w:t>
      </w:r>
      <w:r w:rsidRPr="009E4820">
        <w:rPr>
          <w:b/>
          <w:bCs/>
          <w:color w:val="7030A0"/>
        </w:rPr>
        <w:t>Barnett v Chelsea and Kensington Hospital Management Committee [1969]</w:t>
      </w:r>
      <w:r w:rsidR="00376FD8" w:rsidRPr="009E4820">
        <w:rPr>
          <w:b/>
          <w:bCs/>
          <w:color w:val="7030A0"/>
        </w:rPr>
        <w:t xml:space="preserve"> –</w:t>
      </w:r>
      <w:r w:rsidRPr="009E4820">
        <w:t xml:space="preserve">Arsenic poisoning – doctors negligence did not cause the outcome- he would have died anyway. </w:t>
      </w:r>
    </w:p>
    <w:p w14:paraId="0F904446" w14:textId="5C1DA4DD" w:rsidR="00445A90" w:rsidRPr="009E4820" w:rsidRDefault="00445A90" w:rsidP="00935656">
      <w:r w:rsidRPr="009E4820">
        <w:lastRenderedPageBreak/>
        <w:t xml:space="preserve">Next week look to the case of </w:t>
      </w:r>
      <w:r w:rsidRPr="009E4820">
        <w:rPr>
          <w:b/>
          <w:bCs/>
          <w:color w:val="7030A0"/>
        </w:rPr>
        <w:t>Page v Smith (No.2) [1996]</w:t>
      </w:r>
      <w:r w:rsidRPr="009E4820">
        <w:rPr>
          <w:color w:val="7030A0"/>
        </w:rPr>
        <w:t xml:space="preserve"> </w:t>
      </w:r>
      <w:r w:rsidR="009A7211" w:rsidRPr="009E4820">
        <w:rPr>
          <w:color w:val="7030A0"/>
        </w:rPr>
        <w:t xml:space="preserve">– Crash, CFS, no return to full time </w:t>
      </w:r>
      <w:r w:rsidR="00E15323" w:rsidRPr="009E4820">
        <w:rPr>
          <w:color w:val="7030A0"/>
        </w:rPr>
        <w:t>work, duty of care was owed – psychological harm</w:t>
      </w:r>
      <w:r w:rsidRPr="009E4820">
        <w:t xml:space="preserve">– we look at on the balance of probabilities </w:t>
      </w:r>
    </w:p>
    <w:p w14:paraId="4ED1754A" w14:textId="496E9D91" w:rsidR="000237F4" w:rsidRPr="009E4820" w:rsidRDefault="00445A90" w:rsidP="00416C48">
      <w:r w:rsidRPr="009E4820">
        <w:t xml:space="preserve">Key cases; </w:t>
      </w:r>
      <w:r w:rsidRPr="009E4820">
        <w:rPr>
          <w:b/>
          <w:bCs/>
          <w:color w:val="7030A0"/>
        </w:rPr>
        <w:t xml:space="preserve">Chester v </w:t>
      </w:r>
      <w:proofErr w:type="spellStart"/>
      <w:r w:rsidRPr="009E4820">
        <w:rPr>
          <w:b/>
          <w:bCs/>
          <w:color w:val="7030A0"/>
        </w:rPr>
        <w:t>Ashfar</w:t>
      </w:r>
      <w:proofErr w:type="spellEnd"/>
      <w:r w:rsidRPr="009E4820">
        <w:rPr>
          <w:b/>
          <w:bCs/>
          <w:color w:val="7030A0"/>
        </w:rPr>
        <w:t xml:space="preserve"> [2004]</w:t>
      </w:r>
      <w:r w:rsidRPr="009E4820">
        <w:rPr>
          <w:color w:val="7030A0"/>
        </w:rPr>
        <w:t xml:space="preserve"> </w:t>
      </w:r>
      <w:r w:rsidR="00916798" w:rsidRPr="009E4820">
        <w:t xml:space="preserve">- </w:t>
      </w:r>
      <w:r w:rsidR="00916798" w:rsidRPr="009E4820">
        <w:rPr>
          <w:color w:val="7030A0"/>
        </w:rPr>
        <w:t xml:space="preserve">Operation , partial paralysis, not told about the 1-2% risk – Lack of consent (Informed) – Duty of care breached. </w:t>
      </w:r>
    </w:p>
    <w:p w14:paraId="35985C24" w14:textId="6EF5186C" w:rsidR="000237F4" w:rsidRPr="009E4820" w:rsidRDefault="000237F4">
      <w:r w:rsidRPr="009E4820">
        <w:t xml:space="preserve">What if there is more than one cause of the harm? – if so we need to prove material contribution. </w:t>
      </w:r>
    </w:p>
    <w:p w14:paraId="41B452A0" w14:textId="10F87946" w:rsidR="000237F4" w:rsidRPr="009E4820" w:rsidRDefault="00416C48" w:rsidP="00416C48">
      <w:pPr>
        <w:rPr>
          <w:b/>
          <w:bCs/>
          <w:color w:val="7030A0"/>
          <w:sz w:val="22"/>
          <w:szCs w:val="22"/>
        </w:rPr>
      </w:pPr>
      <w:r w:rsidRPr="009E4820">
        <w:rPr>
          <w:b/>
          <w:bCs/>
        </w:rPr>
        <w:t>Not divide</w:t>
      </w:r>
      <w:r w:rsidR="000237F4" w:rsidRPr="009E4820">
        <w:t xml:space="preserve">– then we apply the but for test strictly; Key case; </w:t>
      </w:r>
      <w:r w:rsidR="000237F4" w:rsidRPr="009E4820">
        <w:rPr>
          <w:b/>
          <w:bCs/>
          <w:color w:val="7030A0"/>
        </w:rPr>
        <w:t xml:space="preserve">Wilsher v Essex Area Health Authority [1986] </w:t>
      </w:r>
    </w:p>
    <w:p w14:paraId="4881AEC0" w14:textId="6D509C29" w:rsidR="000237F4" w:rsidRPr="009E4820" w:rsidRDefault="000237F4">
      <w:r w:rsidRPr="009E4820">
        <w:rPr>
          <w:b/>
          <w:bCs/>
        </w:rPr>
        <w:t xml:space="preserve">Can be divided? – </w:t>
      </w:r>
      <w:r w:rsidRPr="009E4820">
        <w:rPr>
          <w:b/>
          <w:bCs/>
          <w:color w:val="7030A0"/>
        </w:rPr>
        <w:t xml:space="preserve">Bonnington Casting LTD v Wardlaw [1956] </w:t>
      </w:r>
      <w:r w:rsidR="000D03B9" w:rsidRPr="009E4820">
        <w:rPr>
          <w:b/>
          <w:bCs/>
          <w:color w:val="7030A0"/>
        </w:rPr>
        <w:t>–</w:t>
      </w:r>
      <w:r w:rsidRPr="009E4820">
        <w:rPr>
          <w:b/>
          <w:bCs/>
        </w:rPr>
        <w:t xml:space="preserve"> </w:t>
      </w:r>
      <w:r w:rsidRPr="009E4820">
        <w:t xml:space="preserve">Only liable for the damage that he had caused. Sometimes we cannot establish what caused the damage – which element contributed. </w:t>
      </w:r>
    </w:p>
    <w:p w14:paraId="706B4782" w14:textId="417E3D60" w:rsidR="000237F4" w:rsidRPr="009E4820" w:rsidRDefault="000237F4" w:rsidP="00770876">
      <w:r w:rsidRPr="009E4820">
        <w:t xml:space="preserve">Key case; </w:t>
      </w:r>
      <w:r w:rsidRPr="009E4820">
        <w:rPr>
          <w:b/>
          <w:bCs/>
          <w:color w:val="7030A0"/>
        </w:rPr>
        <w:t>McGhee v National Coal Board [1973]</w:t>
      </w:r>
      <w:r w:rsidR="00791FC1" w:rsidRPr="009E4820">
        <w:rPr>
          <w:b/>
          <w:bCs/>
          <w:color w:val="7030A0"/>
        </w:rPr>
        <w:t xml:space="preserve"> – </w:t>
      </w:r>
      <w:r w:rsidR="00791FC1" w:rsidRPr="009E4820">
        <w:rPr>
          <w:color w:val="7030A0"/>
        </w:rPr>
        <w:t>no washing facilities – dermatitis – liable</w:t>
      </w:r>
      <w:r w:rsidR="00791FC1" w:rsidRPr="009E4820">
        <w:rPr>
          <w:b/>
          <w:bCs/>
          <w:color w:val="7030A0"/>
        </w:rPr>
        <w:t xml:space="preserve"> </w:t>
      </w:r>
      <w:r w:rsidRPr="009E4820">
        <w:rPr>
          <w:color w:val="7030A0"/>
        </w:rPr>
        <w:t xml:space="preserve"> </w:t>
      </w:r>
      <w:r w:rsidRPr="009E4820">
        <w:t xml:space="preserve">– Increased the risk of injury – liable. </w:t>
      </w:r>
    </w:p>
    <w:p w14:paraId="6D273FE1" w14:textId="11505F6B" w:rsidR="001B2AB3" w:rsidRPr="009E4820" w:rsidRDefault="000237F4">
      <w:r w:rsidRPr="009E4820">
        <w:t xml:space="preserve">But there is the case of Mesothelioma – caused by exposure to asbestos and the fibres. Key case; </w:t>
      </w:r>
      <w:r w:rsidRPr="009E4820">
        <w:rPr>
          <w:b/>
          <w:bCs/>
          <w:color w:val="7030A0"/>
        </w:rPr>
        <w:t xml:space="preserve">Fairchild and Others v </w:t>
      </w:r>
      <w:proofErr w:type="spellStart"/>
      <w:r w:rsidRPr="009E4820">
        <w:rPr>
          <w:b/>
          <w:bCs/>
          <w:color w:val="7030A0"/>
        </w:rPr>
        <w:t>Glenhaven</w:t>
      </w:r>
      <w:proofErr w:type="spellEnd"/>
      <w:r w:rsidRPr="009E4820">
        <w:rPr>
          <w:b/>
          <w:bCs/>
          <w:color w:val="7030A0"/>
        </w:rPr>
        <w:t xml:space="preserve"> Funeral Services LTD and Others [2002]</w:t>
      </w:r>
      <w:r w:rsidRPr="009E4820">
        <w:rPr>
          <w:color w:val="7030A0"/>
        </w:rPr>
        <w:t xml:space="preserve"> </w:t>
      </w:r>
    </w:p>
    <w:p w14:paraId="36243386" w14:textId="77777777" w:rsidR="00200240" w:rsidRPr="009E4820" w:rsidRDefault="001E4B7E">
      <w:r w:rsidRPr="009E4820">
        <w:t xml:space="preserve">Until the case of </w:t>
      </w:r>
      <w:r w:rsidRPr="009E4820">
        <w:rPr>
          <w:b/>
          <w:bCs/>
          <w:color w:val="7030A0"/>
        </w:rPr>
        <w:t>Barker v Corus Uk Plc 2006</w:t>
      </w:r>
      <w:r w:rsidRPr="009E4820">
        <w:rPr>
          <w:color w:val="7030A0"/>
        </w:rPr>
        <w:t xml:space="preserve"> </w:t>
      </w:r>
      <w:r w:rsidRPr="009E4820">
        <w:t>–</w:t>
      </w:r>
    </w:p>
    <w:p w14:paraId="179B47B9" w14:textId="09484FA5" w:rsidR="000237F4" w:rsidRPr="009E4820" w:rsidRDefault="001E4B7E">
      <w:r w:rsidRPr="009E4820">
        <w:t xml:space="preserve">Overruled and Under S.3 of the Compensation Act 2006 – now Jointly and severally liable. </w:t>
      </w:r>
    </w:p>
    <w:p w14:paraId="75D00096" w14:textId="23BC9E42" w:rsidR="0089187F" w:rsidRPr="009E4820" w:rsidRDefault="001E4B7E" w:rsidP="00380CD6">
      <w:r w:rsidRPr="009E4820">
        <w:rPr>
          <w:b/>
          <w:bCs/>
        </w:rPr>
        <w:t>The chain of causation</w:t>
      </w:r>
      <w:r w:rsidRPr="009E4820">
        <w:t xml:space="preserve"> – </w:t>
      </w:r>
      <w:r w:rsidR="00CC7DC6" w:rsidRPr="009E4820">
        <w:t xml:space="preserve">Need to prove that the chain of causation is complete </w:t>
      </w:r>
      <w:r w:rsidR="006B4772" w:rsidRPr="009E4820">
        <w:t>–</w:t>
      </w:r>
      <w:r w:rsidR="00CC7DC6" w:rsidRPr="009E4820">
        <w:t xml:space="preserve"> </w:t>
      </w:r>
      <w:r w:rsidR="006B4772" w:rsidRPr="009E4820">
        <w:t>There can be no intervening acts</w:t>
      </w:r>
      <w:r w:rsidR="00891408" w:rsidRPr="009E4820">
        <w:t xml:space="preserve">, because they can break the chain of causation. These include the actions of a third party but also the claimant. </w:t>
      </w:r>
    </w:p>
    <w:p w14:paraId="4E1FE794" w14:textId="72F3A006" w:rsidR="00581F33" w:rsidRPr="009E4820" w:rsidRDefault="0089187F">
      <w:pPr>
        <w:rPr>
          <w:b/>
          <w:bCs/>
          <w:color w:val="7030A0"/>
        </w:rPr>
      </w:pPr>
      <w:r w:rsidRPr="009E4820">
        <w:rPr>
          <w:b/>
          <w:bCs/>
        </w:rPr>
        <w:t>Third party</w:t>
      </w:r>
      <w:r w:rsidRPr="009E4820">
        <w:t xml:space="preserve"> – The test here is that the act must be reasonably foreseeable – Objective </w:t>
      </w:r>
      <w:r w:rsidR="007E2F61" w:rsidRPr="009E4820">
        <w:t xml:space="preserve">test. </w:t>
      </w:r>
    </w:p>
    <w:p w14:paraId="1F4775C0" w14:textId="5845D042" w:rsidR="001E4B7E" w:rsidRPr="009E4820" w:rsidRDefault="007E2F61">
      <w:pPr>
        <w:rPr>
          <w:b/>
          <w:bCs/>
          <w:color w:val="7030A0"/>
        </w:rPr>
      </w:pPr>
      <w:r w:rsidRPr="009E4820">
        <w:t>Medical treatment shown in the case of</w:t>
      </w:r>
      <w:r w:rsidR="00856AC8" w:rsidRPr="009E4820">
        <w:t xml:space="preserve">– </w:t>
      </w:r>
      <w:r w:rsidR="00856AC8" w:rsidRPr="009E4820">
        <w:rPr>
          <w:b/>
          <w:bCs/>
          <w:color w:val="7030A0"/>
        </w:rPr>
        <w:t xml:space="preserve">Webb v Barclays Bank Plc and Portsmouth Hospitals NHS Trust [2001] </w:t>
      </w:r>
      <w:r w:rsidR="00713168" w:rsidRPr="009E4820">
        <w:rPr>
          <w:b/>
          <w:bCs/>
          <w:color w:val="7030A0"/>
        </w:rPr>
        <w:t xml:space="preserve"> </w:t>
      </w:r>
    </w:p>
    <w:p w14:paraId="122E54AA" w14:textId="3055E6D5" w:rsidR="00F80777" w:rsidRPr="009E4820" w:rsidRDefault="00F80777">
      <w:pPr>
        <w:rPr>
          <w:color w:val="7030A0"/>
        </w:rPr>
      </w:pPr>
      <w:r w:rsidRPr="009E4820">
        <w:rPr>
          <w:b/>
          <w:bCs/>
        </w:rPr>
        <w:t xml:space="preserve">Claimant </w:t>
      </w:r>
      <w:r w:rsidRPr="009E4820">
        <w:t xml:space="preserve">– Act must be unreasonable. </w:t>
      </w:r>
      <w:r w:rsidR="009F7652" w:rsidRPr="009E4820">
        <w:rPr>
          <w:b/>
          <w:bCs/>
          <w:color w:val="7030A0"/>
        </w:rPr>
        <w:t>Key case Sayers v Harlow Urban District Council [1956]</w:t>
      </w:r>
      <w:r w:rsidR="005E4B6D" w:rsidRPr="009E4820">
        <w:t xml:space="preserve"> – actions were not disproportionate</w:t>
      </w:r>
      <w:r w:rsidR="00AE37FE" w:rsidRPr="009E4820">
        <w:t xml:space="preserve">- </w:t>
      </w:r>
      <w:r w:rsidR="00AE37FE" w:rsidRPr="009E4820">
        <w:rPr>
          <w:b/>
          <w:bCs/>
          <w:color w:val="7030A0"/>
        </w:rPr>
        <w:t xml:space="preserve">– </w:t>
      </w:r>
      <w:r w:rsidR="00AE37FE" w:rsidRPr="009E4820">
        <w:rPr>
          <w:color w:val="7030A0"/>
        </w:rPr>
        <w:t xml:space="preserve">not unreasonable because in a dilemma. </w:t>
      </w:r>
      <w:r w:rsidR="005E4B6D" w:rsidRPr="009E4820">
        <w:t xml:space="preserve"> </w:t>
      </w:r>
      <w:r w:rsidR="004017EB" w:rsidRPr="009E4820">
        <w:rPr>
          <w:b/>
          <w:bCs/>
          <w:color w:val="7030A0"/>
        </w:rPr>
        <w:t>Spencer v Wincanton Holdings [LTD] 2009</w:t>
      </w:r>
      <w:r w:rsidR="004017EB" w:rsidRPr="009E4820">
        <w:t xml:space="preserve">. </w:t>
      </w:r>
      <w:r w:rsidR="0071650C" w:rsidRPr="009E4820">
        <w:rPr>
          <w:b/>
          <w:bCs/>
          <w:color w:val="7030A0"/>
        </w:rPr>
        <w:t>Clay v TUI UK Ltd [2018]</w:t>
      </w:r>
      <w:r w:rsidR="0071650C" w:rsidRPr="009E4820">
        <w:rPr>
          <w:color w:val="7030A0"/>
        </w:rPr>
        <w:t xml:space="preserve"> </w:t>
      </w:r>
      <w:r w:rsidR="0071650C" w:rsidRPr="009E4820">
        <w:t>– unreasonable actions</w:t>
      </w:r>
      <w:r w:rsidR="009A0C55" w:rsidRPr="009E4820">
        <w:t xml:space="preserve"> – </w:t>
      </w:r>
      <w:r w:rsidR="009A0C55" w:rsidRPr="009E4820">
        <w:rPr>
          <w:color w:val="7030A0"/>
        </w:rPr>
        <w:t>climbing over the balcony.</w:t>
      </w:r>
    </w:p>
    <w:p w14:paraId="06690E0F" w14:textId="0F10014F" w:rsidR="001E4B7E" w:rsidRPr="009E4820" w:rsidRDefault="000417BC" w:rsidP="00F81E6B">
      <w:proofErr w:type="spellStart"/>
      <w:r w:rsidRPr="009E4820">
        <w:rPr>
          <w:b/>
          <w:bCs/>
          <w:color w:val="7030A0"/>
        </w:rPr>
        <w:t>Mckew</w:t>
      </w:r>
      <w:proofErr w:type="spellEnd"/>
      <w:r w:rsidRPr="009E4820">
        <w:rPr>
          <w:b/>
          <w:bCs/>
          <w:color w:val="7030A0"/>
        </w:rPr>
        <w:t xml:space="preserve"> v </w:t>
      </w:r>
      <w:proofErr w:type="spellStart"/>
      <w:r w:rsidRPr="009E4820">
        <w:rPr>
          <w:b/>
          <w:bCs/>
          <w:color w:val="7030A0"/>
        </w:rPr>
        <w:t>Holldnad</w:t>
      </w:r>
      <w:proofErr w:type="spellEnd"/>
      <w:r w:rsidRPr="009E4820">
        <w:rPr>
          <w:b/>
          <w:bCs/>
          <w:color w:val="7030A0"/>
        </w:rPr>
        <w:t xml:space="preserve"> and Hannen and </w:t>
      </w:r>
      <w:proofErr w:type="spellStart"/>
      <w:r w:rsidRPr="009E4820">
        <w:rPr>
          <w:b/>
          <w:bCs/>
          <w:color w:val="7030A0"/>
        </w:rPr>
        <w:t>Cubitts</w:t>
      </w:r>
      <w:proofErr w:type="spellEnd"/>
      <w:r w:rsidRPr="009E4820">
        <w:rPr>
          <w:b/>
          <w:bCs/>
          <w:color w:val="7030A0"/>
        </w:rPr>
        <w:t xml:space="preserve"> (Scotland) LTD [1969]</w:t>
      </w:r>
      <w:r w:rsidRPr="009E4820">
        <w:rPr>
          <w:color w:val="7030A0"/>
        </w:rPr>
        <w:t xml:space="preserve"> </w:t>
      </w:r>
    </w:p>
    <w:p w14:paraId="33B7E29D" w14:textId="27751790" w:rsidR="001E4B7E" w:rsidRPr="009E4820" w:rsidRDefault="001E4B7E">
      <w:r w:rsidRPr="009E4820">
        <w:rPr>
          <w:b/>
          <w:bCs/>
        </w:rPr>
        <w:t>Legal causation</w:t>
      </w:r>
      <w:r w:rsidRPr="009E4820">
        <w:t xml:space="preserve"> – once we have established that the individual is the factual cause, we now need to prove that they are the legal cause. Includes reasonably foreseeability test and also the thin skull test. </w:t>
      </w:r>
    </w:p>
    <w:p w14:paraId="27CD1A9C" w14:textId="7FE32983" w:rsidR="001E4B7E" w:rsidRPr="009E4820" w:rsidRDefault="001E4B7E">
      <w:r w:rsidRPr="009E4820">
        <w:rPr>
          <w:b/>
          <w:bCs/>
        </w:rPr>
        <w:lastRenderedPageBreak/>
        <w:t>Was the damage foreseeable?</w:t>
      </w:r>
      <w:r w:rsidRPr="009E4820">
        <w:t xml:space="preserve"> With remoteness – we question whether a reasonable person would have foreseen the type of damage – </w:t>
      </w:r>
      <w:r w:rsidRPr="009E4820">
        <w:rPr>
          <w:b/>
          <w:bCs/>
          <w:color w:val="7030A0"/>
        </w:rPr>
        <w:t>Overseas Tankship (Uk) LTD v Morts Dock and Engineering Co (The Wagon Mound) [1961].</w:t>
      </w:r>
      <w:r w:rsidRPr="009E4820">
        <w:rPr>
          <w:color w:val="7030A0"/>
        </w:rPr>
        <w:t xml:space="preserve"> </w:t>
      </w:r>
      <w:r w:rsidRPr="009E4820">
        <w:t xml:space="preserve">Reasonable foreseeability. </w:t>
      </w:r>
    </w:p>
    <w:p w14:paraId="24494B1C" w14:textId="63085333" w:rsidR="001E4B7E" w:rsidRPr="000237F4" w:rsidRDefault="001E4B7E">
      <w:r w:rsidRPr="009E4820">
        <w:t xml:space="preserve">Thin skull test – Take your victim as you find them </w:t>
      </w:r>
      <w:r w:rsidR="007D2B01" w:rsidRPr="009E4820">
        <w:t>.</w:t>
      </w:r>
      <w:r w:rsidRPr="009E4820">
        <w:t xml:space="preserve">But of course foreseeability plays a role in this. </w:t>
      </w:r>
      <w:r w:rsidR="00CC7DC6" w:rsidRPr="009E4820">
        <w:t xml:space="preserve">Key cases; </w:t>
      </w:r>
      <w:r w:rsidR="00CC7DC6" w:rsidRPr="009E4820">
        <w:rPr>
          <w:b/>
          <w:bCs/>
          <w:color w:val="7030A0"/>
        </w:rPr>
        <w:t>Smith v Leech Brain [1962]</w:t>
      </w:r>
      <w:r w:rsidR="00CC7DC6" w:rsidRPr="009E4820">
        <w:rPr>
          <w:color w:val="7030A0"/>
        </w:rPr>
        <w:t xml:space="preserve"> </w:t>
      </w:r>
      <w:r w:rsidR="00CC7DC6" w:rsidRPr="009E4820">
        <w:t xml:space="preserve">and </w:t>
      </w:r>
      <w:proofErr w:type="spellStart"/>
      <w:r w:rsidR="00CC7DC6" w:rsidRPr="009E4820">
        <w:rPr>
          <w:b/>
          <w:bCs/>
          <w:color w:val="7030A0"/>
        </w:rPr>
        <w:t>Lagden</w:t>
      </w:r>
      <w:proofErr w:type="spellEnd"/>
      <w:r w:rsidR="00CC7DC6" w:rsidRPr="009E4820">
        <w:rPr>
          <w:b/>
          <w:bCs/>
          <w:color w:val="7030A0"/>
        </w:rPr>
        <w:t xml:space="preserve"> v O’Connor [2004]</w:t>
      </w:r>
      <w:r w:rsidR="00CC7DC6" w:rsidRPr="002E0270">
        <w:rPr>
          <w:color w:val="7030A0"/>
        </w:rPr>
        <w:t xml:space="preserve"> </w:t>
      </w:r>
    </w:p>
    <w:p w14:paraId="1CE7FCB0" w14:textId="77777777" w:rsidR="00445A90" w:rsidRDefault="00445A90"/>
    <w:p w14:paraId="1E758DED" w14:textId="77777777" w:rsidR="00445A90" w:rsidRDefault="00445A90"/>
    <w:p w14:paraId="0D128819" w14:textId="77777777" w:rsidR="00445A90" w:rsidRDefault="00445A90"/>
    <w:p w14:paraId="4E692A2D" w14:textId="77777777" w:rsidR="00445A90" w:rsidRDefault="00445A90"/>
    <w:p w14:paraId="138C7DAD" w14:textId="77777777" w:rsidR="00445A90" w:rsidRDefault="00445A90"/>
    <w:p w14:paraId="0702D7A4" w14:textId="77777777" w:rsidR="00445A90" w:rsidRDefault="00445A90"/>
    <w:p w14:paraId="02D487DE" w14:textId="77777777" w:rsidR="00445A90" w:rsidRDefault="00445A90"/>
    <w:p w14:paraId="249F9103" w14:textId="77777777" w:rsidR="00445A90" w:rsidRDefault="00445A90"/>
    <w:p w14:paraId="59C0A62F" w14:textId="77777777" w:rsidR="002E0270" w:rsidRDefault="002E0270"/>
    <w:p w14:paraId="73BB7989" w14:textId="77777777" w:rsidR="002E0270" w:rsidRDefault="002E0270"/>
    <w:p w14:paraId="7E756840" w14:textId="77777777" w:rsidR="002E0270" w:rsidRDefault="002E0270"/>
    <w:p w14:paraId="18C4E928" w14:textId="2749E8DD" w:rsidR="00445A90" w:rsidRPr="008B4B37" w:rsidRDefault="00445A90">
      <w:pPr>
        <w:rPr>
          <w:b/>
          <w:bCs/>
          <w:u w:val="single"/>
        </w:rPr>
      </w:pPr>
    </w:p>
    <w:p w14:paraId="7420DC57" w14:textId="77777777" w:rsidR="00445A90" w:rsidRDefault="00445A90"/>
    <w:p w14:paraId="34F79B07" w14:textId="77777777" w:rsidR="00445A90" w:rsidRDefault="00445A90"/>
    <w:sectPr w:rsidR="00445A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E7BD4" w14:textId="77777777" w:rsidR="00FA0A18" w:rsidRDefault="00FA0A18" w:rsidP="00CB189A">
      <w:pPr>
        <w:spacing w:after="0" w:line="240" w:lineRule="auto"/>
      </w:pPr>
      <w:r>
        <w:separator/>
      </w:r>
    </w:p>
  </w:endnote>
  <w:endnote w:type="continuationSeparator" w:id="0">
    <w:p w14:paraId="7C3DE3BA" w14:textId="77777777" w:rsidR="00FA0A18" w:rsidRDefault="00FA0A18" w:rsidP="00CB1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D66F4" w14:textId="77777777" w:rsidR="00FA0A18" w:rsidRDefault="00FA0A18" w:rsidP="00CB189A">
      <w:pPr>
        <w:spacing w:after="0" w:line="240" w:lineRule="auto"/>
      </w:pPr>
      <w:r>
        <w:separator/>
      </w:r>
    </w:p>
  </w:footnote>
  <w:footnote w:type="continuationSeparator" w:id="0">
    <w:p w14:paraId="280B7B21" w14:textId="77777777" w:rsidR="00FA0A18" w:rsidRDefault="00FA0A18" w:rsidP="00CB18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B7E43"/>
    <w:multiLevelType w:val="hybridMultilevel"/>
    <w:tmpl w:val="646E6CB6"/>
    <w:lvl w:ilvl="0" w:tplc="2ADA567C">
      <w:start w:val="3"/>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00E60"/>
    <w:multiLevelType w:val="hybridMultilevel"/>
    <w:tmpl w:val="8E4C8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737928">
    <w:abstractNumId w:val="0"/>
  </w:num>
  <w:num w:numId="2" w16cid:durableId="667365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A90"/>
    <w:rsid w:val="000038BE"/>
    <w:rsid w:val="000237F4"/>
    <w:rsid w:val="0003199E"/>
    <w:rsid w:val="000417BC"/>
    <w:rsid w:val="0005617E"/>
    <w:rsid w:val="00063E97"/>
    <w:rsid w:val="00064E5E"/>
    <w:rsid w:val="000C4AF5"/>
    <w:rsid w:val="000D03B9"/>
    <w:rsid w:val="00140011"/>
    <w:rsid w:val="00141463"/>
    <w:rsid w:val="00141A3F"/>
    <w:rsid w:val="0014580D"/>
    <w:rsid w:val="0015028E"/>
    <w:rsid w:val="00191D3B"/>
    <w:rsid w:val="001A0226"/>
    <w:rsid w:val="001B014A"/>
    <w:rsid w:val="001B2AB3"/>
    <w:rsid w:val="001E4609"/>
    <w:rsid w:val="001E4B7E"/>
    <w:rsid w:val="00200240"/>
    <w:rsid w:val="00274D30"/>
    <w:rsid w:val="002E0270"/>
    <w:rsid w:val="00336B9F"/>
    <w:rsid w:val="00344CB8"/>
    <w:rsid w:val="00353D7F"/>
    <w:rsid w:val="00376FD8"/>
    <w:rsid w:val="00380CD6"/>
    <w:rsid w:val="003A24B7"/>
    <w:rsid w:val="003A3901"/>
    <w:rsid w:val="003C396F"/>
    <w:rsid w:val="003D1C28"/>
    <w:rsid w:val="003D502C"/>
    <w:rsid w:val="003E0816"/>
    <w:rsid w:val="003F3027"/>
    <w:rsid w:val="003F5211"/>
    <w:rsid w:val="003F6543"/>
    <w:rsid w:val="004017EB"/>
    <w:rsid w:val="004101C4"/>
    <w:rsid w:val="00416C48"/>
    <w:rsid w:val="00423D39"/>
    <w:rsid w:val="004255D4"/>
    <w:rsid w:val="0043354A"/>
    <w:rsid w:val="00445A90"/>
    <w:rsid w:val="00451E87"/>
    <w:rsid w:val="00454FF3"/>
    <w:rsid w:val="004A7987"/>
    <w:rsid w:val="004D3296"/>
    <w:rsid w:val="00581F33"/>
    <w:rsid w:val="0058700A"/>
    <w:rsid w:val="005E4B6D"/>
    <w:rsid w:val="006018F1"/>
    <w:rsid w:val="0060337F"/>
    <w:rsid w:val="00647640"/>
    <w:rsid w:val="006629D3"/>
    <w:rsid w:val="00662AFD"/>
    <w:rsid w:val="00673F89"/>
    <w:rsid w:val="006B4772"/>
    <w:rsid w:val="006B4DC8"/>
    <w:rsid w:val="006C5A2E"/>
    <w:rsid w:val="006C7E7B"/>
    <w:rsid w:val="006E4827"/>
    <w:rsid w:val="006E4937"/>
    <w:rsid w:val="006F684E"/>
    <w:rsid w:val="00713168"/>
    <w:rsid w:val="0071650C"/>
    <w:rsid w:val="00722C5D"/>
    <w:rsid w:val="007571FC"/>
    <w:rsid w:val="00770876"/>
    <w:rsid w:val="00791FC1"/>
    <w:rsid w:val="007D2B01"/>
    <w:rsid w:val="007E2F61"/>
    <w:rsid w:val="007E5030"/>
    <w:rsid w:val="00854264"/>
    <w:rsid w:val="00856AC8"/>
    <w:rsid w:val="00875396"/>
    <w:rsid w:val="00891408"/>
    <w:rsid w:val="0089187F"/>
    <w:rsid w:val="008B4B37"/>
    <w:rsid w:val="008C1856"/>
    <w:rsid w:val="008C3522"/>
    <w:rsid w:val="008E1EED"/>
    <w:rsid w:val="008F13CF"/>
    <w:rsid w:val="00900C32"/>
    <w:rsid w:val="00916798"/>
    <w:rsid w:val="00935656"/>
    <w:rsid w:val="00935AA2"/>
    <w:rsid w:val="009476F7"/>
    <w:rsid w:val="009618F7"/>
    <w:rsid w:val="00962556"/>
    <w:rsid w:val="009663C3"/>
    <w:rsid w:val="009A0C55"/>
    <w:rsid w:val="009A7211"/>
    <w:rsid w:val="009E4820"/>
    <w:rsid w:val="009F7652"/>
    <w:rsid w:val="00A302FC"/>
    <w:rsid w:val="00A71FF9"/>
    <w:rsid w:val="00A74FD9"/>
    <w:rsid w:val="00A82865"/>
    <w:rsid w:val="00AA2DC6"/>
    <w:rsid w:val="00AE336C"/>
    <w:rsid w:val="00AE37FE"/>
    <w:rsid w:val="00B74E94"/>
    <w:rsid w:val="00B75F2F"/>
    <w:rsid w:val="00B91165"/>
    <w:rsid w:val="00BA70AE"/>
    <w:rsid w:val="00BC3131"/>
    <w:rsid w:val="00C15CE2"/>
    <w:rsid w:val="00C32BC7"/>
    <w:rsid w:val="00CB189A"/>
    <w:rsid w:val="00CC7DC6"/>
    <w:rsid w:val="00D42EDB"/>
    <w:rsid w:val="00D50E85"/>
    <w:rsid w:val="00DF70AD"/>
    <w:rsid w:val="00E15323"/>
    <w:rsid w:val="00E70F66"/>
    <w:rsid w:val="00E759C6"/>
    <w:rsid w:val="00E768D7"/>
    <w:rsid w:val="00E76C6B"/>
    <w:rsid w:val="00E77E70"/>
    <w:rsid w:val="00F623C5"/>
    <w:rsid w:val="00F6275D"/>
    <w:rsid w:val="00F80777"/>
    <w:rsid w:val="00F81E6B"/>
    <w:rsid w:val="00F829A1"/>
    <w:rsid w:val="00FA0A18"/>
    <w:rsid w:val="00FA35C9"/>
    <w:rsid w:val="00FD2EF3"/>
    <w:rsid w:val="00FD5659"/>
    <w:rsid w:val="00FE7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D42AAE"/>
  <w15:chartTrackingRefBased/>
  <w15:docId w15:val="{B05D5F01-C06C-4C31-BB0E-AACFCC46C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A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A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A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A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A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A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A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A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A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A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A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A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A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A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A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A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A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A90"/>
    <w:rPr>
      <w:rFonts w:eastAsiaTheme="majorEastAsia" w:cstheme="majorBidi"/>
      <w:color w:val="272727" w:themeColor="text1" w:themeTint="D8"/>
    </w:rPr>
  </w:style>
  <w:style w:type="paragraph" w:styleId="Title">
    <w:name w:val="Title"/>
    <w:basedOn w:val="Normal"/>
    <w:next w:val="Normal"/>
    <w:link w:val="TitleChar"/>
    <w:uiPriority w:val="10"/>
    <w:qFormat/>
    <w:rsid w:val="00445A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A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A90"/>
    <w:pPr>
      <w:spacing w:before="160"/>
      <w:jc w:val="center"/>
    </w:pPr>
    <w:rPr>
      <w:i/>
      <w:iCs/>
      <w:color w:val="404040" w:themeColor="text1" w:themeTint="BF"/>
    </w:rPr>
  </w:style>
  <w:style w:type="character" w:customStyle="1" w:styleId="QuoteChar">
    <w:name w:val="Quote Char"/>
    <w:basedOn w:val="DefaultParagraphFont"/>
    <w:link w:val="Quote"/>
    <w:uiPriority w:val="29"/>
    <w:rsid w:val="00445A90"/>
    <w:rPr>
      <w:i/>
      <w:iCs/>
      <w:color w:val="404040" w:themeColor="text1" w:themeTint="BF"/>
    </w:rPr>
  </w:style>
  <w:style w:type="paragraph" w:styleId="ListParagraph">
    <w:name w:val="List Paragraph"/>
    <w:basedOn w:val="Normal"/>
    <w:uiPriority w:val="34"/>
    <w:qFormat/>
    <w:rsid w:val="00445A90"/>
    <w:pPr>
      <w:ind w:left="720"/>
      <w:contextualSpacing/>
    </w:pPr>
  </w:style>
  <w:style w:type="character" w:styleId="IntenseEmphasis">
    <w:name w:val="Intense Emphasis"/>
    <w:basedOn w:val="DefaultParagraphFont"/>
    <w:uiPriority w:val="21"/>
    <w:qFormat/>
    <w:rsid w:val="00445A90"/>
    <w:rPr>
      <w:i/>
      <w:iCs/>
      <w:color w:val="0F4761" w:themeColor="accent1" w:themeShade="BF"/>
    </w:rPr>
  </w:style>
  <w:style w:type="paragraph" w:styleId="IntenseQuote">
    <w:name w:val="Intense Quote"/>
    <w:basedOn w:val="Normal"/>
    <w:next w:val="Normal"/>
    <w:link w:val="IntenseQuoteChar"/>
    <w:uiPriority w:val="30"/>
    <w:qFormat/>
    <w:rsid w:val="00445A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A90"/>
    <w:rPr>
      <w:i/>
      <w:iCs/>
      <w:color w:val="0F4761" w:themeColor="accent1" w:themeShade="BF"/>
    </w:rPr>
  </w:style>
  <w:style w:type="character" w:styleId="IntenseReference">
    <w:name w:val="Intense Reference"/>
    <w:basedOn w:val="DefaultParagraphFont"/>
    <w:uiPriority w:val="32"/>
    <w:qFormat/>
    <w:rsid w:val="00445A90"/>
    <w:rPr>
      <w:b/>
      <w:bCs/>
      <w:smallCaps/>
      <w:color w:val="0F4761" w:themeColor="accent1" w:themeShade="BF"/>
      <w:spacing w:val="5"/>
    </w:rPr>
  </w:style>
  <w:style w:type="paragraph" w:styleId="Header">
    <w:name w:val="header"/>
    <w:basedOn w:val="Normal"/>
    <w:link w:val="HeaderChar"/>
    <w:uiPriority w:val="99"/>
    <w:unhideWhenUsed/>
    <w:rsid w:val="00CB1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89A"/>
  </w:style>
  <w:style w:type="paragraph" w:styleId="Footer">
    <w:name w:val="footer"/>
    <w:basedOn w:val="Normal"/>
    <w:link w:val="FooterChar"/>
    <w:uiPriority w:val="99"/>
    <w:unhideWhenUsed/>
    <w:rsid w:val="00CB1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1002</Words>
  <Characters>5717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114</cp:revision>
  <dcterms:created xsi:type="dcterms:W3CDTF">2025-10-11T07:26:00Z</dcterms:created>
  <dcterms:modified xsi:type="dcterms:W3CDTF">2025-10-30T23:23:00Z</dcterms:modified>
</cp:coreProperties>
</file>