
<file path=[Content_Types].xml><?xml version="1.0" encoding="utf-8"?>
<Types xmlns="http://schemas.openxmlformats.org/package/2006/content-types">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9D46FE" w14:textId="63887FDA" w:rsidR="008061EA" w:rsidRDefault="00A66D0E">
      <w:pPr>
        <w:rPr>
          <w:b/>
          <w:bCs/>
          <w:sz w:val="30"/>
          <w:szCs w:val="30"/>
          <w:u w:val="single"/>
          <w:lang w:val="en-US"/>
        </w:rPr>
      </w:pPr>
      <w:r w:rsidRPr="00A66D0E">
        <w:rPr>
          <w:b/>
          <w:bCs/>
          <w:noProof/>
          <w:sz w:val="26"/>
          <w:szCs w:val="26"/>
          <w:u w:val="single"/>
          <w:lang w:val="en-US"/>
        </w:rPr>
        <mc:AlternateContent>
          <mc:Choice Requires="wps">
            <w:drawing>
              <wp:anchor distT="45720" distB="45720" distL="114300" distR="114300" simplePos="0" relativeHeight="251659264" behindDoc="0" locked="0" layoutInCell="1" allowOverlap="1" wp14:anchorId="2014D601" wp14:editId="707AF14E">
                <wp:simplePos x="0" y="0"/>
                <wp:positionH relativeFrom="column">
                  <wp:posOffset>-381000</wp:posOffset>
                </wp:positionH>
                <wp:positionV relativeFrom="paragraph">
                  <wp:posOffset>0</wp:posOffset>
                </wp:positionV>
                <wp:extent cx="2360930" cy="9982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998220"/>
                        </a:xfrm>
                        <a:prstGeom prst="rect">
                          <a:avLst/>
                        </a:prstGeom>
                        <a:solidFill>
                          <a:srgbClr val="FFFFFF"/>
                        </a:solidFill>
                        <a:ln w="9525">
                          <a:noFill/>
                          <a:miter lim="800000"/>
                          <a:headEnd/>
                          <a:tailEnd/>
                        </a:ln>
                      </wps:spPr>
                      <wps:txbx>
                        <w:txbxContent>
                          <w:p w14:paraId="75DCC25E" w14:textId="1A361FF9" w:rsidR="00A66D0E" w:rsidRDefault="00A66D0E">
                            <w:r w:rsidRPr="00A66D0E">
                              <w:drawing>
                                <wp:inline distT="0" distB="0" distL="0" distR="0" wp14:anchorId="270DBAC0" wp14:editId="0ADB4D6E">
                                  <wp:extent cx="2080260" cy="883920"/>
                                  <wp:effectExtent l="0" t="0" r="0" b="0"/>
                                  <wp:docPr id="406543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80260" cy="88392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2014D601" id="_x0000_t202" coordsize="21600,21600" o:spt="202" path="m,l,21600r21600,l21600,xe">
                <v:stroke joinstyle="miter"/>
                <v:path gradientshapeok="t" o:connecttype="rect"/>
              </v:shapetype>
              <v:shape id="Text Box 2" o:spid="_x0000_s1026" type="#_x0000_t202" style="position:absolute;margin-left:-30pt;margin-top:0;width:185.9pt;height:78.6pt;z-index:25165926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" stroked="f">
                <v:textbox>
                  <w:txbxContent>
                    <w:p w14:paraId="75DCC25E" w14:textId="1A361FF9" w:rsidR="00A66D0E" w:rsidRDefault="00A66D0E">
                      <w:r w:rsidRPr="00A66D0E">
                        <w:drawing>
                          <wp:inline distT="0" distB="0" distL="0" distR="0" wp14:anchorId="270DBAC0" wp14:editId="0ADB4D6E">
                            <wp:extent cx="2080260" cy="883920"/>
                            <wp:effectExtent l="0" t="0" r="0" b="0"/>
                            <wp:docPr id="406543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80260" cy="883920"/>
                                    </a:xfrm>
                                    <a:prstGeom prst="rect">
                                      <a:avLst/>
                                    </a:prstGeom>
                                    <a:noFill/>
                                    <a:ln>
                                      <a:noFill/>
                                    </a:ln>
                                  </pic:spPr>
                                </pic:pic>
                              </a:graphicData>
                            </a:graphic>
                          </wp:inline>
                        </w:drawing>
                      </w:r>
                    </w:p>
                  </w:txbxContent>
                </v:textbox>
                <w10:wrap type="square"/>
              </v:shape>
            </w:pict>
          </mc:Fallback>
        </mc:AlternateContent>
      </w:r>
    </w:p>
    <w:p w14:paraId="0848A6CF" w14:textId="0E2F2BE1" w:rsidR="008061EA" w:rsidRDefault="008061EA">
      <w:pPr>
        <w:rPr>
          <w:b/>
          <w:bCs/>
          <w:sz w:val="30"/>
          <w:szCs w:val="30"/>
          <w:u w:val="single"/>
          <w:lang w:val="en-US"/>
        </w:rPr>
      </w:pPr>
    </w:p>
    <w:p w14:paraId="772CF2C8" w14:textId="7BD709DB" w:rsidR="008061EA" w:rsidRDefault="008061EA">
      <w:pPr>
        <w:rPr>
          <w:b/>
          <w:bCs/>
          <w:sz w:val="30"/>
          <w:szCs w:val="30"/>
          <w:u w:val="single"/>
          <w:lang w:val="en-US"/>
        </w:rPr>
      </w:pPr>
    </w:p>
    <w:p w14:paraId="2751DD55" w14:textId="77777777" w:rsidR="008061EA" w:rsidRDefault="008061EA">
      <w:pPr>
        <w:rPr>
          <w:b/>
          <w:bCs/>
          <w:sz w:val="30"/>
          <w:szCs w:val="30"/>
          <w:u w:val="single"/>
          <w:lang w:val="en-US"/>
        </w:rPr>
      </w:pPr>
    </w:p>
    <w:p w14:paraId="6E81318B" w14:textId="1CD3B9F6" w:rsidR="008061EA" w:rsidRPr="00162384" w:rsidRDefault="008061EA" w:rsidP="008061EA">
      <w:pPr>
        <w:jc w:val="center"/>
        <w:rPr>
          <w:rFonts w:ascii="Times New Roman" w:hAnsi="Times New Roman" w:cs="Times New Roman"/>
          <w:b/>
          <w:bCs/>
          <w:sz w:val="30"/>
          <w:szCs w:val="30"/>
          <w:u w:val="single"/>
          <w:lang w:val="en-US"/>
        </w:rPr>
      </w:pPr>
      <w:r w:rsidRPr="00162384">
        <w:rPr>
          <w:rFonts w:ascii="Times New Roman" w:hAnsi="Times New Roman" w:cs="Times New Roman"/>
          <w:b/>
          <w:bCs/>
          <w:sz w:val="30"/>
          <w:szCs w:val="30"/>
          <w:u w:val="single"/>
          <w:lang w:val="en-US"/>
        </w:rPr>
        <w:t>BA Business Management</w:t>
      </w:r>
    </w:p>
    <w:p w14:paraId="2EF3884C" w14:textId="251C2172" w:rsidR="008061EA" w:rsidRPr="00162384" w:rsidRDefault="008061EA" w:rsidP="008061EA">
      <w:pPr>
        <w:jc w:val="center"/>
        <w:rPr>
          <w:rFonts w:ascii="Times New Roman" w:hAnsi="Times New Roman" w:cs="Times New Roman"/>
          <w:b/>
          <w:bCs/>
          <w:sz w:val="30"/>
          <w:szCs w:val="30"/>
          <w:u w:val="single"/>
          <w:lang w:val="en-US"/>
        </w:rPr>
      </w:pPr>
      <w:r w:rsidRPr="00162384">
        <w:rPr>
          <w:rFonts w:ascii="Times New Roman" w:hAnsi="Times New Roman" w:cs="Times New Roman"/>
          <w:b/>
          <w:bCs/>
          <w:sz w:val="30"/>
          <w:szCs w:val="30"/>
          <w:u w:val="single"/>
          <w:lang w:val="en-US"/>
        </w:rPr>
        <w:t xml:space="preserve">Assignment </w:t>
      </w:r>
      <w:r w:rsidR="006F7271">
        <w:rPr>
          <w:rFonts w:ascii="Times New Roman" w:hAnsi="Times New Roman" w:cs="Times New Roman"/>
          <w:b/>
          <w:bCs/>
          <w:sz w:val="30"/>
          <w:szCs w:val="30"/>
          <w:u w:val="single"/>
          <w:lang w:val="en-US"/>
        </w:rPr>
        <w:t>1</w:t>
      </w:r>
    </w:p>
    <w:p w14:paraId="6CBB68EB" w14:textId="77777777" w:rsidR="008061EA" w:rsidRPr="00162384" w:rsidRDefault="008061EA">
      <w:pPr>
        <w:rPr>
          <w:rFonts w:ascii="Times New Roman" w:hAnsi="Times New Roman" w:cs="Times New Roman"/>
          <w:b/>
          <w:bCs/>
          <w:sz w:val="26"/>
          <w:szCs w:val="26"/>
          <w:u w:val="single"/>
          <w:lang w:val="en-US"/>
        </w:rPr>
      </w:pPr>
    </w:p>
    <w:p w14:paraId="75D4A6B2" w14:textId="77777777" w:rsidR="008061EA" w:rsidRPr="00162384" w:rsidRDefault="008061EA">
      <w:pPr>
        <w:rPr>
          <w:rFonts w:ascii="Times New Roman" w:hAnsi="Times New Roman" w:cs="Times New Roman"/>
          <w:b/>
          <w:bCs/>
          <w:sz w:val="26"/>
          <w:szCs w:val="26"/>
          <w:u w:val="single"/>
          <w:lang w:val="en-US"/>
        </w:rPr>
      </w:pPr>
    </w:p>
    <w:p w14:paraId="38F464C6" w14:textId="77777777" w:rsidR="008061EA" w:rsidRPr="00162384" w:rsidRDefault="008061EA">
      <w:pPr>
        <w:rPr>
          <w:rFonts w:ascii="Times New Roman" w:hAnsi="Times New Roman" w:cs="Times New Roman"/>
          <w:b/>
          <w:bCs/>
          <w:sz w:val="26"/>
          <w:szCs w:val="26"/>
          <w:u w:val="single"/>
          <w:lang w:val="en-US"/>
        </w:rPr>
      </w:pPr>
    </w:p>
    <w:p w14:paraId="298A21A1" w14:textId="0EEC1CCF" w:rsidR="008061EA" w:rsidRPr="00162384" w:rsidRDefault="008061EA">
      <w:pPr>
        <w:rPr>
          <w:rFonts w:ascii="Times New Roman" w:hAnsi="Times New Roman" w:cs="Times New Roman"/>
          <w:sz w:val="26"/>
          <w:szCs w:val="26"/>
          <w:lang w:val="en-US"/>
        </w:rPr>
      </w:pPr>
      <w:r w:rsidRPr="00162384">
        <w:rPr>
          <w:rFonts w:ascii="Times New Roman" w:hAnsi="Times New Roman" w:cs="Times New Roman"/>
          <w:b/>
          <w:bCs/>
          <w:sz w:val="26"/>
          <w:szCs w:val="26"/>
          <w:u w:val="single"/>
          <w:lang w:val="en-US"/>
        </w:rPr>
        <w:t xml:space="preserve">Module: </w:t>
      </w:r>
      <w:r w:rsidR="006F7271">
        <w:rPr>
          <w:rFonts w:ascii="Times New Roman" w:hAnsi="Times New Roman" w:cs="Times New Roman"/>
          <w:sz w:val="26"/>
          <w:szCs w:val="26"/>
          <w:lang w:val="en-US"/>
        </w:rPr>
        <w:t xml:space="preserve"> </w:t>
      </w:r>
      <w:r w:rsidR="00162384" w:rsidRPr="00162384">
        <w:rPr>
          <w:rFonts w:ascii="Times New Roman" w:hAnsi="Times New Roman" w:cs="Times New Roman"/>
          <w:sz w:val="26"/>
          <w:szCs w:val="26"/>
          <w:lang w:val="en-US"/>
        </w:rPr>
        <w:t>International Financial Management</w:t>
      </w:r>
    </w:p>
    <w:p w14:paraId="7B354E54" w14:textId="1319E5E0" w:rsidR="008061EA" w:rsidRPr="00162384" w:rsidRDefault="008061EA">
      <w:pPr>
        <w:rPr>
          <w:rFonts w:ascii="Times New Roman" w:hAnsi="Times New Roman" w:cs="Times New Roman"/>
          <w:sz w:val="26"/>
          <w:szCs w:val="26"/>
          <w:lang w:val="en-US"/>
        </w:rPr>
      </w:pPr>
      <w:r w:rsidRPr="00162384">
        <w:rPr>
          <w:rFonts w:ascii="Times New Roman" w:hAnsi="Times New Roman" w:cs="Times New Roman"/>
          <w:b/>
          <w:bCs/>
          <w:sz w:val="26"/>
          <w:szCs w:val="26"/>
          <w:u w:val="single"/>
          <w:lang w:val="en-US"/>
        </w:rPr>
        <w:t>Code:</w:t>
      </w:r>
      <w:r w:rsidR="006F7271">
        <w:rPr>
          <w:rFonts w:ascii="Times New Roman" w:hAnsi="Times New Roman" w:cs="Times New Roman"/>
          <w:sz w:val="26"/>
          <w:szCs w:val="26"/>
          <w:lang w:val="en-US"/>
        </w:rPr>
        <w:t xml:space="preserve"> </w:t>
      </w:r>
      <w:r w:rsidR="00162384" w:rsidRPr="00162384">
        <w:rPr>
          <w:rFonts w:ascii="Times New Roman" w:hAnsi="Times New Roman" w:cs="Times New Roman"/>
          <w:sz w:val="26"/>
          <w:szCs w:val="26"/>
          <w:lang w:val="en-US"/>
        </w:rPr>
        <w:t>LCBB6002</w:t>
      </w:r>
    </w:p>
    <w:p w14:paraId="3311CF2B" w14:textId="63949073" w:rsidR="008061EA" w:rsidRPr="00162384" w:rsidRDefault="008061EA">
      <w:pPr>
        <w:rPr>
          <w:rFonts w:ascii="Times New Roman" w:hAnsi="Times New Roman" w:cs="Times New Roman"/>
          <w:sz w:val="26"/>
          <w:szCs w:val="26"/>
          <w:lang w:val="en-US"/>
        </w:rPr>
      </w:pPr>
      <w:r w:rsidRPr="00162384">
        <w:rPr>
          <w:rFonts w:ascii="Times New Roman" w:hAnsi="Times New Roman" w:cs="Times New Roman"/>
          <w:b/>
          <w:bCs/>
          <w:sz w:val="26"/>
          <w:szCs w:val="26"/>
          <w:u w:val="single"/>
          <w:lang w:val="en-US"/>
        </w:rPr>
        <w:t>Lecturer:</w:t>
      </w:r>
      <w:r w:rsidR="006F7271">
        <w:rPr>
          <w:rFonts w:ascii="Times New Roman" w:hAnsi="Times New Roman" w:cs="Times New Roman"/>
          <w:sz w:val="26"/>
          <w:szCs w:val="26"/>
          <w:lang w:val="en-US"/>
        </w:rPr>
        <w:t xml:space="preserve"> </w:t>
      </w:r>
      <w:r w:rsidR="00162384" w:rsidRPr="00162384">
        <w:rPr>
          <w:rFonts w:ascii="Times New Roman" w:hAnsi="Times New Roman" w:cs="Times New Roman"/>
          <w:sz w:val="26"/>
          <w:szCs w:val="26"/>
          <w:lang w:val="en-US"/>
        </w:rPr>
        <w:t>Dr Amandeep Sahota</w:t>
      </w:r>
    </w:p>
    <w:p w14:paraId="383A7CDB" w14:textId="55766FF5" w:rsidR="008061EA" w:rsidRPr="00162384" w:rsidRDefault="008061EA">
      <w:pPr>
        <w:rPr>
          <w:rFonts w:ascii="Times New Roman" w:hAnsi="Times New Roman" w:cs="Times New Roman"/>
          <w:sz w:val="26"/>
          <w:szCs w:val="26"/>
          <w:lang w:val="en-US"/>
        </w:rPr>
      </w:pPr>
      <w:r w:rsidRPr="00162384">
        <w:rPr>
          <w:rFonts w:ascii="Times New Roman" w:hAnsi="Times New Roman" w:cs="Times New Roman"/>
          <w:b/>
          <w:bCs/>
          <w:sz w:val="26"/>
          <w:szCs w:val="26"/>
          <w:u w:val="single"/>
          <w:lang w:val="en-US"/>
        </w:rPr>
        <w:t xml:space="preserve">Name: </w:t>
      </w:r>
      <w:r w:rsidR="006F7271">
        <w:rPr>
          <w:rFonts w:ascii="Times New Roman" w:hAnsi="Times New Roman" w:cs="Times New Roman"/>
          <w:sz w:val="26"/>
          <w:szCs w:val="26"/>
          <w:lang w:val="en-US"/>
        </w:rPr>
        <w:t xml:space="preserve"> </w:t>
      </w:r>
      <w:r w:rsidRPr="00162384">
        <w:rPr>
          <w:rFonts w:ascii="Times New Roman" w:hAnsi="Times New Roman" w:cs="Times New Roman"/>
          <w:sz w:val="26"/>
          <w:szCs w:val="26"/>
          <w:lang w:val="en-US"/>
        </w:rPr>
        <w:t xml:space="preserve">Kremena Terzieva </w:t>
      </w:r>
    </w:p>
    <w:p w14:paraId="43BA2A25" w14:textId="6E53EF9C" w:rsidR="008061EA" w:rsidRPr="00162384" w:rsidRDefault="008061EA">
      <w:pPr>
        <w:rPr>
          <w:rFonts w:ascii="Times New Roman" w:hAnsi="Times New Roman" w:cs="Times New Roman"/>
          <w:sz w:val="26"/>
          <w:szCs w:val="26"/>
          <w:lang w:val="en-US"/>
        </w:rPr>
      </w:pPr>
      <w:r w:rsidRPr="00162384">
        <w:rPr>
          <w:rFonts w:ascii="Times New Roman" w:hAnsi="Times New Roman" w:cs="Times New Roman"/>
          <w:b/>
          <w:bCs/>
          <w:sz w:val="26"/>
          <w:szCs w:val="26"/>
          <w:u w:val="single"/>
          <w:lang w:val="en-US"/>
        </w:rPr>
        <w:t>Student ID:</w:t>
      </w:r>
      <w:r w:rsidR="006F7271">
        <w:rPr>
          <w:rFonts w:ascii="Times New Roman" w:hAnsi="Times New Roman" w:cs="Times New Roman"/>
          <w:sz w:val="26"/>
          <w:szCs w:val="26"/>
          <w:lang w:val="en-US"/>
        </w:rPr>
        <w:t xml:space="preserve"> </w:t>
      </w:r>
      <w:r w:rsidRPr="00162384">
        <w:rPr>
          <w:rFonts w:ascii="Times New Roman" w:hAnsi="Times New Roman" w:cs="Times New Roman"/>
          <w:sz w:val="26"/>
          <w:szCs w:val="26"/>
          <w:lang w:val="en-US"/>
        </w:rPr>
        <w:t>2130</w:t>
      </w:r>
      <w:r w:rsidR="006F7271">
        <w:rPr>
          <w:rFonts w:ascii="Times New Roman" w:hAnsi="Times New Roman" w:cs="Times New Roman"/>
          <w:sz w:val="26"/>
          <w:szCs w:val="26"/>
          <w:lang w:val="en-US"/>
        </w:rPr>
        <w:t>9</w:t>
      </w:r>
      <w:r w:rsidRPr="00162384">
        <w:rPr>
          <w:rFonts w:ascii="Times New Roman" w:hAnsi="Times New Roman" w:cs="Times New Roman"/>
          <w:sz w:val="26"/>
          <w:szCs w:val="26"/>
          <w:lang w:val="en-US"/>
        </w:rPr>
        <w:t>29</w:t>
      </w:r>
    </w:p>
    <w:p w14:paraId="26E617B2" w14:textId="77777777" w:rsidR="008061EA" w:rsidRPr="00162384" w:rsidRDefault="008061EA">
      <w:pPr>
        <w:rPr>
          <w:rFonts w:ascii="Times New Roman" w:hAnsi="Times New Roman" w:cs="Times New Roman"/>
          <w:b/>
          <w:bCs/>
          <w:sz w:val="30"/>
          <w:szCs w:val="30"/>
          <w:u w:val="single"/>
          <w:lang w:val="en-US"/>
        </w:rPr>
      </w:pPr>
    </w:p>
    <w:p w14:paraId="66B87DEA" w14:textId="77777777" w:rsidR="008061EA" w:rsidRPr="00162384" w:rsidRDefault="008061EA">
      <w:pPr>
        <w:rPr>
          <w:rFonts w:ascii="Times New Roman" w:hAnsi="Times New Roman" w:cs="Times New Roman"/>
          <w:b/>
          <w:bCs/>
          <w:sz w:val="30"/>
          <w:szCs w:val="30"/>
          <w:u w:val="single"/>
          <w:lang w:val="en-US"/>
        </w:rPr>
      </w:pPr>
    </w:p>
    <w:p w14:paraId="3BA481C2" w14:textId="77777777" w:rsidR="008061EA" w:rsidRPr="00162384" w:rsidRDefault="008061EA">
      <w:pPr>
        <w:rPr>
          <w:rFonts w:ascii="Times New Roman" w:hAnsi="Times New Roman" w:cs="Times New Roman"/>
          <w:b/>
          <w:bCs/>
          <w:sz w:val="30"/>
          <w:szCs w:val="30"/>
          <w:u w:val="single"/>
          <w:lang w:val="en-US"/>
        </w:rPr>
      </w:pPr>
    </w:p>
    <w:p w14:paraId="35132484" w14:textId="77777777" w:rsidR="008061EA" w:rsidRPr="00162384" w:rsidRDefault="008061EA">
      <w:pPr>
        <w:rPr>
          <w:rFonts w:ascii="Times New Roman" w:hAnsi="Times New Roman" w:cs="Times New Roman"/>
          <w:b/>
          <w:bCs/>
          <w:sz w:val="30"/>
          <w:szCs w:val="30"/>
          <w:u w:val="single"/>
          <w:lang w:val="en-US"/>
        </w:rPr>
      </w:pPr>
    </w:p>
    <w:p w14:paraId="78CEAFAC" w14:textId="77777777" w:rsidR="008061EA" w:rsidRPr="00162384" w:rsidRDefault="008061EA">
      <w:pPr>
        <w:rPr>
          <w:rFonts w:ascii="Times New Roman" w:hAnsi="Times New Roman" w:cs="Times New Roman"/>
          <w:b/>
          <w:bCs/>
          <w:sz w:val="30"/>
          <w:szCs w:val="30"/>
          <w:u w:val="single"/>
          <w:lang w:val="en-US"/>
        </w:rPr>
      </w:pPr>
    </w:p>
    <w:p w14:paraId="3AA017C2" w14:textId="77777777" w:rsidR="008061EA" w:rsidRPr="00162384" w:rsidRDefault="008061EA">
      <w:pPr>
        <w:rPr>
          <w:rFonts w:ascii="Times New Roman" w:hAnsi="Times New Roman" w:cs="Times New Roman"/>
          <w:b/>
          <w:bCs/>
          <w:sz w:val="30"/>
          <w:szCs w:val="30"/>
          <w:u w:val="single"/>
          <w:lang w:val="en-US"/>
        </w:rPr>
      </w:pPr>
    </w:p>
    <w:p w14:paraId="104B8B2B" w14:textId="77777777" w:rsidR="008061EA" w:rsidRPr="00162384" w:rsidRDefault="008061EA">
      <w:pPr>
        <w:rPr>
          <w:rFonts w:ascii="Times New Roman" w:hAnsi="Times New Roman" w:cs="Times New Roman"/>
          <w:b/>
          <w:bCs/>
          <w:sz w:val="30"/>
          <w:szCs w:val="30"/>
          <w:u w:val="single"/>
          <w:lang w:val="en-US"/>
        </w:rPr>
      </w:pPr>
    </w:p>
    <w:p w14:paraId="0D1094AA" w14:textId="77777777" w:rsidR="008061EA" w:rsidRPr="00162384" w:rsidRDefault="008061EA">
      <w:pPr>
        <w:rPr>
          <w:rFonts w:ascii="Times New Roman" w:hAnsi="Times New Roman" w:cs="Times New Roman"/>
          <w:b/>
          <w:bCs/>
          <w:sz w:val="30"/>
          <w:szCs w:val="30"/>
          <w:u w:val="single"/>
          <w:lang w:val="en-US"/>
        </w:rPr>
      </w:pPr>
    </w:p>
    <w:p w14:paraId="0F126F27" w14:textId="02D171F1" w:rsidR="008061EA" w:rsidRPr="00162384" w:rsidRDefault="008061EA" w:rsidP="008061EA">
      <w:pPr>
        <w:jc w:val="center"/>
        <w:rPr>
          <w:rFonts w:ascii="Times New Roman" w:hAnsi="Times New Roman" w:cs="Times New Roman"/>
          <w:b/>
          <w:bCs/>
          <w:sz w:val="30"/>
          <w:szCs w:val="30"/>
          <w:u w:val="single"/>
          <w:lang w:val="en-US"/>
        </w:rPr>
      </w:pPr>
      <w:r w:rsidRPr="00162384">
        <w:rPr>
          <w:rFonts w:ascii="Times New Roman" w:hAnsi="Times New Roman" w:cs="Times New Roman"/>
          <w:b/>
          <w:bCs/>
          <w:sz w:val="30"/>
          <w:szCs w:val="30"/>
          <w:u w:val="single"/>
          <w:lang w:val="en-US"/>
        </w:rPr>
        <w:t>SUBMITTED ON THE</w:t>
      </w:r>
      <w:r w:rsidR="00162384">
        <w:rPr>
          <w:rFonts w:ascii="Times New Roman" w:hAnsi="Times New Roman" w:cs="Times New Roman"/>
          <w:b/>
          <w:bCs/>
          <w:sz w:val="30"/>
          <w:szCs w:val="30"/>
          <w:u w:val="single"/>
          <w:lang w:val="en-US"/>
        </w:rPr>
        <w:t xml:space="preserve"> 24</w:t>
      </w:r>
      <w:r w:rsidR="00162384" w:rsidRPr="00162384">
        <w:rPr>
          <w:rFonts w:ascii="Times New Roman" w:hAnsi="Times New Roman" w:cs="Times New Roman"/>
          <w:b/>
          <w:bCs/>
          <w:sz w:val="30"/>
          <w:szCs w:val="30"/>
          <w:u w:val="single"/>
          <w:vertAlign w:val="superscript"/>
          <w:lang w:val="en-US"/>
        </w:rPr>
        <w:t>th</w:t>
      </w:r>
      <w:r w:rsidR="00162384">
        <w:rPr>
          <w:rFonts w:ascii="Times New Roman" w:hAnsi="Times New Roman" w:cs="Times New Roman"/>
          <w:b/>
          <w:bCs/>
          <w:sz w:val="30"/>
          <w:szCs w:val="30"/>
          <w:u w:val="single"/>
          <w:lang w:val="en-US"/>
        </w:rPr>
        <w:t xml:space="preserve"> of August</w:t>
      </w:r>
      <w:r w:rsidRPr="00162384">
        <w:rPr>
          <w:rFonts w:ascii="Times New Roman" w:hAnsi="Times New Roman" w:cs="Times New Roman"/>
          <w:b/>
          <w:bCs/>
          <w:sz w:val="30"/>
          <w:szCs w:val="30"/>
          <w:u w:val="single"/>
          <w:lang w:val="en-US"/>
        </w:rPr>
        <w:t xml:space="preserve"> 2024</w:t>
      </w:r>
    </w:p>
    <w:p w14:paraId="738016A7" w14:textId="77777777" w:rsidR="008061EA" w:rsidRPr="00162384" w:rsidRDefault="008061EA">
      <w:pPr>
        <w:rPr>
          <w:rFonts w:ascii="Times New Roman" w:hAnsi="Times New Roman" w:cs="Times New Roman"/>
          <w:b/>
          <w:bCs/>
          <w:sz w:val="30"/>
          <w:szCs w:val="30"/>
          <w:u w:val="single"/>
          <w:lang w:val="en-US"/>
        </w:rPr>
      </w:pPr>
    </w:p>
    <w:p w14:paraId="47B74511" w14:textId="77777777" w:rsidR="008061EA" w:rsidRPr="00162384" w:rsidRDefault="008061EA">
      <w:pPr>
        <w:rPr>
          <w:rFonts w:ascii="Times New Roman" w:hAnsi="Times New Roman" w:cs="Times New Roman"/>
          <w:b/>
          <w:bCs/>
          <w:sz w:val="30"/>
          <w:szCs w:val="30"/>
          <w:u w:val="single"/>
          <w:lang w:val="en-US"/>
        </w:rPr>
      </w:pPr>
    </w:p>
    <w:p w14:paraId="4E2FE230" w14:textId="77777777" w:rsidR="008061EA" w:rsidRDefault="008061EA">
      <w:pPr>
        <w:rPr>
          <w:b/>
          <w:bCs/>
          <w:sz w:val="30"/>
          <w:szCs w:val="30"/>
          <w:u w:val="single"/>
          <w:lang w:val="en-US"/>
        </w:rPr>
      </w:pPr>
    </w:p>
    <w:p w14:paraId="3C566221" w14:textId="77777777" w:rsidR="00162384" w:rsidRDefault="00162384">
      <w:pPr>
        <w:rPr>
          <w:b/>
          <w:bCs/>
          <w:sz w:val="30"/>
          <w:szCs w:val="30"/>
          <w:u w:val="single"/>
          <w:lang w:val="en-US"/>
        </w:rPr>
      </w:pPr>
    </w:p>
    <w:p w14:paraId="5E0FB2CD" w14:textId="3EB18C0B" w:rsidR="00A66D0E" w:rsidRPr="00162384" w:rsidRDefault="00A66D0E">
      <w:pPr>
        <w:rPr>
          <w:rFonts w:ascii="Times New Roman" w:hAnsi="Times New Roman" w:cs="Times New Roman"/>
          <w:b/>
          <w:bCs/>
          <w:sz w:val="30"/>
          <w:szCs w:val="30"/>
          <w:u w:val="single"/>
          <w:lang w:val="en-US"/>
        </w:rPr>
      </w:pPr>
      <w:r w:rsidRPr="00162384">
        <w:rPr>
          <w:rFonts w:ascii="Times New Roman" w:hAnsi="Times New Roman" w:cs="Times New Roman"/>
          <w:b/>
          <w:bCs/>
          <w:sz w:val="30"/>
          <w:szCs w:val="30"/>
          <w:u w:val="single"/>
          <w:lang w:val="en-US"/>
        </w:rPr>
        <w:lastRenderedPageBreak/>
        <w:t>Table of Contents</w:t>
      </w:r>
    </w:p>
    <w:p w14:paraId="042C1B16" w14:textId="77777777" w:rsidR="00A66D0E" w:rsidRPr="00162384" w:rsidRDefault="00A66D0E" w:rsidP="00A66D0E">
      <w:pPr>
        <w:pStyle w:val="ListParagraph"/>
        <w:rPr>
          <w:rFonts w:ascii="Times New Roman" w:hAnsi="Times New Roman" w:cs="Times New Roman"/>
          <w:b/>
          <w:bCs/>
          <w:u w:val="single"/>
          <w:lang w:val="en-US"/>
        </w:rPr>
      </w:pPr>
    </w:p>
    <w:p w14:paraId="4E18E395" w14:textId="77777777" w:rsidR="00A66D0E" w:rsidRPr="00162384" w:rsidRDefault="00A66D0E" w:rsidP="00A66D0E">
      <w:pPr>
        <w:ind w:left="360"/>
        <w:rPr>
          <w:rFonts w:ascii="Times New Roman" w:hAnsi="Times New Roman" w:cs="Times New Roman"/>
          <w:b/>
          <w:bCs/>
          <w:u w:val="single"/>
          <w:lang w:val="en-US"/>
        </w:rPr>
      </w:pPr>
    </w:p>
    <w:p w14:paraId="7210137F" w14:textId="2F308742" w:rsidR="00A66D0E" w:rsidRPr="00162384" w:rsidRDefault="00A66D0E" w:rsidP="00A66D0E">
      <w:pPr>
        <w:pStyle w:val="ListParagraph"/>
        <w:numPr>
          <w:ilvl w:val="0"/>
          <w:numId w:val="3"/>
        </w:numPr>
        <w:rPr>
          <w:rFonts w:ascii="Times New Roman" w:hAnsi="Times New Roman" w:cs="Times New Roman"/>
          <w:b/>
          <w:bCs/>
          <w:sz w:val="24"/>
          <w:szCs w:val="24"/>
          <w:u w:val="single"/>
          <w:lang w:val="en-US"/>
        </w:rPr>
      </w:pPr>
      <w:r w:rsidRPr="00162384">
        <w:rPr>
          <w:rFonts w:ascii="Times New Roman" w:hAnsi="Times New Roman" w:cs="Times New Roman"/>
          <w:sz w:val="24"/>
          <w:szCs w:val="24"/>
          <w:lang w:val="en-US"/>
        </w:rPr>
        <w:t>Introduction …………………………………………………………………………</w:t>
      </w:r>
      <w:r w:rsidR="006F7271">
        <w:rPr>
          <w:rFonts w:ascii="Times New Roman" w:hAnsi="Times New Roman" w:cs="Times New Roman"/>
          <w:sz w:val="24"/>
          <w:szCs w:val="24"/>
          <w:lang w:val="en-US"/>
        </w:rPr>
        <w:t>.</w:t>
      </w:r>
      <w:r w:rsidRPr="00162384">
        <w:rPr>
          <w:rFonts w:ascii="Times New Roman" w:hAnsi="Times New Roman" w:cs="Times New Roman"/>
          <w:sz w:val="24"/>
          <w:szCs w:val="24"/>
          <w:lang w:val="en-US"/>
        </w:rPr>
        <w:t>.3</w:t>
      </w:r>
    </w:p>
    <w:p w14:paraId="73A26C0B" w14:textId="73C1B64E" w:rsidR="00A66D0E" w:rsidRPr="00162384" w:rsidRDefault="00A66D0E" w:rsidP="00A66D0E">
      <w:pPr>
        <w:pStyle w:val="ListParagraph"/>
        <w:numPr>
          <w:ilvl w:val="0"/>
          <w:numId w:val="3"/>
        </w:numPr>
        <w:rPr>
          <w:rFonts w:ascii="Times New Roman" w:hAnsi="Times New Roman" w:cs="Times New Roman"/>
          <w:b/>
          <w:bCs/>
          <w:sz w:val="24"/>
          <w:szCs w:val="24"/>
          <w:u w:val="single"/>
          <w:lang w:val="en-US"/>
        </w:rPr>
      </w:pPr>
      <w:r w:rsidRPr="00162384">
        <w:rPr>
          <w:rFonts w:ascii="Times New Roman" w:hAnsi="Times New Roman" w:cs="Times New Roman"/>
          <w:sz w:val="24"/>
          <w:szCs w:val="24"/>
          <w:lang w:val="en-US"/>
        </w:rPr>
        <w:t>Types of Foreign Exchange Risks……………………………………………</w:t>
      </w:r>
      <w:r w:rsidR="00162384" w:rsidRPr="00162384">
        <w:rPr>
          <w:rFonts w:ascii="Times New Roman" w:hAnsi="Times New Roman" w:cs="Times New Roman"/>
          <w:sz w:val="24"/>
          <w:szCs w:val="24"/>
          <w:lang w:val="en-US"/>
        </w:rPr>
        <w:t>……</w:t>
      </w:r>
      <w:r w:rsidRPr="00162384">
        <w:rPr>
          <w:rFonts w:ascii="Times New Roman" w:hAnsi="Times New Roman" w:cs="Times New Roman"/>
          <w:sz w:val="24"/>
          <w:szCs w:val="24"/>
          <w:lang w:val="en-US"/>
        </w:rPr>
        <w:t>…</w:t>
      </w:r>
      <w:r w:rsidR="006F7271">
        <w:rPr>
          <w:rFonts w:ascii="Times New Roman" w:hAnsi="Times New Roman" w:cs="Times New Roman"/>
          <w:sz w:val="24"/>
          <w:szCs w:val="24"/>
          <w:lang w:val="en-US"/>
        </w:rPr>
        <w:t>.</w:t>
      </w:r>
      <w:r w:rsidRPr="00162384">
        <w:rPr>
          <w:rFonts w:ascii="Times New Roman" w:hAnsi="Times New Roman" w:cs="Times New Roman"/>
          <w:sz w:val="24"/>
          <w:szCs w:val="24"/>
          <w:lang w:val="en-US"/>
        </w:rPr>
        <w:t>3</w:t>
      </w:r>
    </w:p>
    <w:p w14:paraId="76DA1A87" w14:textId="697BCB8A" w:rsidR="00A66D0E" w:rsidRPr="00162384" w:rsidRDefault="00A66D0E" w:rsidP="00A66D0E">
      <w:pPr>
        <w:pStyle w:val="ListParagraph"/>
        <w:numPr>
          <w:ilvl w:val="0"/>
          <w:numId w:val="3"/>
        </w:numPr>
        <w:rPr>
          <w:rFonts w:ascii="Times New Roman" w:hAnsi="Times New Roman" w:cs="Times New Roman"/>
          <w:b/>
          <w:bCs/>
          <w:sz w:val="24"/>
          <w:szCs w:val="24"/>
          <w:u w:val="single"/>
          <w:lang w:val="en-US"/>
        </w:rPr>
      </w:pPr>
      <w:r w:rsidRPr="00162384">
        <w:rPr>
          <w:rFonts w:ascii="Times New Roman" w:hAnsi="Times New Roman" w:cs="Times New Roman"/>
          <w:sz w:val="24"/>
          <w:szCs w:val="24"/>
          <w:lang w:val="en-US"/>
        </w:rPr>
        <w:t>Strategies to Manage Foreign Exchange Risk</w:t>
      </w:r>
      <w:r w:rsidRPr="00162384">
        <w:rPr>
          <w:rFonts w:ascii="Times New Roman" w:hAnsi="Times New Roman" w:cs="Times New Roman"/>
          <w:sz w:val="24"/>
          <w:szCs w:val="24"/>
          <w:lang w:val="en-US"/>
        </w:rPr>
        <w:t>…………………………</w:t>
      </w:r>
      <w:r w:rsidR="00162384" w:rsidRPr="00162384">
        <w:rPr>
          <w:rFonts w:ascii="Times New Roman" w:hAnsi="Times New Roman" w:cs="Times New Roman"/>
          <w:sz w:val="24"/>
          <w:szCs w:val="24"/>
          <w:lang w:val="en-US"/>
        </w:rPr>
        <w:t>………..</w:t>
      </w:r>
      <w:r w:rsidRPr="00162384">
        <w:rPr>
          <w:rFonts w:ascii="Times New Roman" w:hAnsi="Times New Roman" w:cs="Times New Roman"/>
          <w:sz w:val="24"/>
          <w:szCs w:val="24"/>
          <w:lang w:val="en-US"/>
        </w:rPr>
        <w:t>……</w:t>
      </w:r>
      <w:r w:rsidR="006F7271">
        <w:rPr>
          <w:rFonts w:ascii="Times New Roman" w:hAnsi="Times New Roman" w:cs="Times New Roman"/>
          <w:sz w:val="24"/>
          <w:szCs w:val="24"/>
          <w:lang w:val="en-US"/>
        </w:rPr>
        <w:t>.</w:t>
      </w:r>
      <w:r w:rsidRPr="00162384">
        <w:rPr>
          <w:rFonts w:ascii="Times New Roman" w:hAnsi="Times New Roman" w:cs="Times New Roman"/>
          <w:sz w:val="24"/>
          <w:szCs w:val="24"/>
          <w:lang w:val="en-US"/>
        </w:rPr>
        <w:t>3</w:t>
      </w:r>
    </w:p>
    <w:p w14:paraId="65674399" w14:textId="12EA42BE" w:rsidR="00A66D0E" w:rsidRPr="00162384" w:rsidRDefault="00A66D0E" w:rsidP="00A66D0E">
      <w:pPr>
        <w:pStyle w:val="ListParagraph"/>
        <w:numPr>
          <w:ilvl w:val="0"/>
          <w:numId w:val="3"/>
        </w:numPr>
        <w:rPr>
          <w:rFonts w:ascii="Times New Roman" w:hAnsi="Times New Roman" w:cs="Times New Roman"/>
          <w:b/>
          <w:bCs/>
          <w:sz w:val="24"/>
          <w:szCs w:val="24"/>
          <w:u w:val="single"/>
          <w:lang w:val="en-US"/>
        </w:rPr>
      </w:pPr>
      <w:r w:rsidRPr="00162384">
        <w:rPr>
          <w:rFonts w:ascii="Times New Roman" w:hAnsi="Times New Roman" w:cs="Times New Roman"/>
          <w:sz w:val="24"/>
          <w:szCs w:val="24"/>
          <w:lang w:val="en-US"/>
        </w:rPr>
        <w:t>Integrated Risk Management……………………………………………</w:t>
      </w:r>
      <w:r w:rsidR="00162384" w:rsidRPr="00162384">
        <w:rPr>
          <w:rFonts w:ascii="Times New Roman" w:hAnsi="Times New Roman" w:cs="Times New Roman"/>
          <w:sz w:val="24"/>
          <w:szCs w:val="24"/>
          <w:lang w:val="en-US"/>
        </w:rPr>
        <w:t>……</w:t>
      </w:r>
      <w:r w:rsidRPr="00162384">
        <w:rPr>
          <w:rFonts w:ascii="Times New Roman" w:hAnsi="Times New Roman" w:cs="Times New Roman"/>
          <w:sz w:val="24"/>
          <w:szCs w:val="24"/>
          <w:lang w:val="en-US"/>
        </w:rPr>
        <w:t xml:space="preserve">……….5 </w:t>
      </w:r>
    </w:p>
    <w:p w14:paraId="1CE8C9E6" w14:textId="4A83F4CC" w:rsidR="00A66D0E" w:rsidRPr="00162384" w:rsidRDefault="00A66D0E" w:rsidP="00A66D0E">
      <w:pPr>
        <w:pStyle w:val="ListParagraph"/>
        <w:numPr>
          <w:ilvl w:val="0"/>
          <w:numId w:val="3"/>
        </w:numPr>
        <w:rPr>
          <w:rFonts w:ascii="Times New Roman" w:hAnsi="Times New Roman" w:cs="Times New Roman"/>
          <w:b/>
          <w:bCs/>
          <w:sz w:val="24"/>
          <w:szCs w:val="24"/>
          <w:u w:val="single"/>
          <w:lang w:val="en-US"/>
        </w:rPr>
      </w:pPr>
      <w:r w:rsidRPr="00162384">
        <w:rPr>
          <w:rFonts w:ascii="Times New Roman" w:hAnsi="Times New Roman" w:cs="Times New Roman"/>
          <w:sz w:val="24"/>
          <w:szCs w:val="24"/>
          <w:lang w:val="en-US"/>
        </w:rPr>
        <w:t>Conclusion ……………………………………………………………………………</w:t>
      </w:r>
      <w:r w:rsidR="00162384" w:rsidRPr="00162384">
        <w:rPr>
          <w:rFonts w:ascii="Times New Roman" w:hAnsi="Times New Roman" w:cs="Times New Roman"/>
          <w:sz w:val="24"/>
          <w:szCs w:val="24"/>
          <w:lang w:val="en-US"/>
        </w:rPr>
        <w:t>5</w:t>
      </w:r>
    </w:p>
    <w:p w14:paraId="2BFB3F18" w14:textId="4D3C5B0D" w:rsidR="00A66D0E" w:rsidRPr="00162384" w:rsidRDefault="00A66D0E" w:rsidP="00A66D0E">
      <w:pPr>
        <w:pStyle w:val="ListParagraph"/>
        <w:numPr>
          <w:ilvl w:val="0"/>
          <w:numId w:val="3"/>
        </w:numPr>
        <w:rPr>
          <w:rFonts w:ascii="Times New Roman" w:hAnsi="Times New Roman" w:cs="Times New Roman"/>
          <w:b/>
          <w:bCs/>
          <w:u w:val="single"/>
          <w:lang w:val="en-US"/>
        </w:rPr>
      </w:pPr>
      <w:r w:rsidRPr="00162384">
        <w:rPr>
          <w:rFonts w:ascii="Times New Roman" w:hAnsi="Times New Roman" w:cs="Times New Roman"/>
          <w:sz w:val="24"/>
          <w:szCs w:val="24"/>
          <w:lang w:val="en-US"/>
        </w:rPr>
        <w:t>References ………………………………………………………………………</w:t>
      </w:r>
      <w:r w:rsidR="006F7271">
        <w:rPr>
          <w:rFonts w:ascii="Times New Roman" w:hAnsi="Times New Roman" w:cs="Times New Roman"/>
          <w:sz w:val="24"/>
          <w:szCs w:val="24"/>
          <w:lang w:val="en-US"/>
        </w:rPr>
        <w:t>.</w:t>
      </w:r>
      <w:r w:rsidRPr="00162384">
        <w:rPr>
          <w:rFonts w:ascii="Times New Roman" w:hAnsi="Times New Roman" w:cs="Times New Roman"/>
          <w:sz w:val="24"/>
          <w:szCs w:val="24"/>
          <w:lang w:val="en-US"/>
        </w:rPr>
        <w:t>……</w:t>
      </w:r>
      <w:r w:rsidR="00162384">
        <w:rPr>
          <w:rFonts w:ascii="Times New Roman" w:hAnsi="Times New Roman" w:cs="Times New Roman"/>
          <w:lang w:val="en-US"/>
        </w:rPr>
        <w:t>6</w:t>
      </w:r>
    </w:p>
    <w:p w14:paraId="32ED9CDC" w14:textId="77777777" w:rsidR="00A66D0E" w:rsidRPr="00162384" w:rsidRDefault="00A66D0E">
      <w:pPr>
        <w:rPr>
          <w:rFonts w:ascii="Times New Roman" w:hAnsi="Times New Roman" w:cs="Times New Roman"/>
          <w:b/>
          <w:bCs/>
          <w:sz w:val="30"/>
          <w:szCs w:val="30"/>
          <w:u w:val="single"/>
          <w:lang w:val="en-US"/>
        </w:rPr>
      </w:pPr>
    </w:p>
    <w:p w14:paraId="15904801" w14:textId="77777777" w:rsidR="00A66D0E" w:rsidRPr="00162384" w:rsidRDefault="00A66D0E">
      <w:pPr>
        <w:rPr>
          <w:rFonts w:ascii="Times New Roman" w:hAnsi="Times New Roman" w:cs="Times New Roman"/>
          <w:b/>
          <w:bCs/>
          <w:sz w:val="30"/>
          <w:szCs w:val="30"/>
          <w:u w:val="single"/>
          <w:lang w:val="en-US"/>
        </w:rPr>
      </w:pPr>
    </w:p>
    <w:p w14:paraId="04F3EA75" w14:textId="77777777" w:rsidR="00A66D0E" w:rsidRPr="00162384" w:rsidRDefault="00A66D0E">
      <w:pPr>
        <w:rPr>
          <w:rFonts w:ascii="Times New Roman" w:hAnsi="Times New Roman" w:cs="Times New Roman"/>
          <w:b/>
          <w:bCs/>
          <w:sz w:val="30"/>
          <w:szCs w:val="30"/>
          <w:u w:val="single"/>
          <w:lang w:val="en-US"/>
        </w:rPr>
      </w:pPr>
    </w:p>
    <w:p w14:paraId="4C0004FB" w14:textId="77777777" w:rsidR="00A66D0E" w:rsidRPr="00162384" w:rsidRDefault="00A66D0E">
      <w:pPr>
        <w:rPr>
          <w:rFonts w:ascii="Times New Roman" w:hAnsi="Times New Roman" w:cs="Times New Roman"/>
          <w:b/>
          <w:bCs/>
          <w:sz w:val="30"/>
          <w:szCs w:val="30"/>
          <w:u w:val="single"/>
          <w:lang w:val="en-US"/>
        </w:rPr>
      </w:pPr>
    </w:p>
    <w:p w14:paraId="2371A8F6" w14:textId="77777777" w:rsidR="00A66D0E" w:rsidRPr="00162384" w:rsidRDefault="00A66D0E">
      <w:pPr>
        <w:rPr>
          <w:rFonts w:ascii="Times New Roman" w:hAnsi="Times New Roman" w:cs="Times New Roman"/>
          <w:b/>
          <w:bCs/>
          <w:sz w:val="30"/>
          <w:szCs w:val="30"/>
          <w:u w:val="single"/>
          <w:lang w:val="en-US"/>
        </w:rPr>
      </w:pPr>
    </w:p>
    <w:p w14:paraId="6CFBA654" w14:textId="77777777" w:rsidR="00A66D0E" w:rsidRPr="00162384" w:rsidRDefault="00A66D0E">
      <w:pPr>
        <w:rPr>
          <w:rFonts w:ascii="Times New Roman" w:hAnsi="Times New Roman" w:cs="Times New Roman"/>
          <w:b/>
          <w:bCs/>
          <w:sz w:val="30"/>
          <w:szCs w:val="30"/>
          <w:u w:val="single"/>
          <w:lang w:val="en-US"/>
        </w:rPr>
      </w:pPr>
    </w:p>
    <w:p w14:paraId="71E45ABB" w14:textId="77777777" w:rsidR="00A66D0E" w:rsidRPr="00162384" w:rsidRDefault="00A66D0E">
      <w:pPr>
        <w:rPr>
          <w:rFonts w:ascii="Times New Roman" w:hAnsi="Times New Roman" w:cs="Times New Roman"/>
          <w:b/>
          <w:bCs/>
          <w:sz w:val="30"/>
          <w:szCs w:val="30"/>
          <w:u w:val="single"/>
          <w:lang w:val="en-US"/>
        </w:rPr>
      </w:pPr>
    </w:p>
    <w:p w14:paraId="35E527B4" w14:textId="77777777" w:rsidR="00A66D0E" w:rsidRPr="00162384" w:rsidRDefault="00A66D0E">
      <w:pPr>
        <w:rPr>
          <w:rFonts w:ascii="Times New Roman" w:hAnsi="Times New Roman" w:cs="Times New Roman"/>
          <w:b/>
          <w:bCs/>
          <w:sz w:val="30"/>
          <w:szCs w:val="30"/>
          <w:u w:val="single"/>
          <w:lang w:val="en-US"/>
        </w:rPr>
      </w:pPr>
    </w:p>
    <w:p w14:paraId="7AF77F32" w14:textId="77777777" w:rsidR="00A66D0E" w:rsidRPr="00162384" w:rsidRDefault="00A66D0E">
      <w:pPr>
        <w:rPr>
          <w:rFonts w:ascii="Times New Roman" w:hAnsi="Times New Roman" w:cs="Times New Roman"/>
          <w:b/>
          <w:bCs/>
          <w:sz w:val="30"/>
          <w:szCs w:val="30"/>
          <w:u w:val="single"/>
          <w:lang w:val="en-US"/>
        </w:rPr>
      </w:pPr>
    </w:p>
    <w:p w14:paraId="010BD3B2" w14:textId="77777777" w:rsidR="00A66D0E" w:rsidRPr="00162384" w:rsidRDefault="00A66D0E">
      <w:pPr>
        <w:rPr>
          <w:rFonts w:ascii="Times New Roman" w:hAnsi="Times New Roman" w:cs="Times New Roman"/>
          <w:b/>
          <w:bCs/>
          <w:sz w:val="30"/>
          <w:szCs w:val="30"/>
          <w:u w:val="single"/>
          <w:lang w:val="en-US"/>
        </w:rPr>
      </w:pPr>
    </w:p>
    <w:p w14:paraId="4CA6CB1E" w14:textId="77777777" w:rsidR="00A66D0E" w:rsidRPr="00162384" w:rsidRDefault="00A66D0E">
      <w:pPr>
        <w:rPr>
          <w:rFonts w:ascii="Times New Roman" w:hAnsi="Times New Roman" w:cs="Times New Roman"/>
          <w:b/>
          <w:bCs/>
          <w:sz w:val="30"/>
          <w:szCs w:val="30"/>
          <w:u w:val="single"/>
          <w:lang w:val="en-US"/>
        </w:rPr>
      </w:pPr>
    </w:p>
    <w:p w14:paraId="4E291F00" w14:textId="77777777" w:rsidR="00A66D0E" w:rsidRPr="00162384" w:rsidRDefault="00A66D0E">
      <w:pPr>
        <w:rPr>
          <w:rFonts w:ascii="Times New Roman" w:hAnsi="Times New Roman" w:cs="Times New Roman"/>
          <w:b/>
          <w:bCs/>
          <w:sz w:val="30"/>
          <w:szCs w:val="30"/>
          <w:u w:val="single"/>
          <w:lang w:val="en-US"/>
        </w:rPr>
      </w:pPr>
    </w:p>
    <w:p w14:paraId="32FDACFC" w14:textId="77777777" w:rsidR="00A66D0E" w:rsidRPr="00162384" w:rsidRDefault="00A66D0E">
      <w:pPr>
        <w:rPr>
          <w:rFonts w:ascii="Times New Roman" w:hAnsi="Times New Roman" w:cs="Times New Roman"/>
          <w:b/>
          <w:bCs/>
          <w:sz w:val="30"/>
          <w:szCs w:val="30"/>
          <w:u w:val="single"/>
          <w:lang w:val="en-US"/>
        </w:rPr>
      </w:pPr>
    </w:p>
    <w:p w14:paraId="23231197" w14:textId="77777777" w:rsidR="00A66D0E" w:rsidRPr="00162384" w:rsidRDefault="00A66D0E">
      <w:pPr>
        <w:rPr>
          <w:rFonts w:ascii="Times New Roman" w:hAnsi="Times New Roman" w:cs="Times New Roman"/>
          <w:b/>
          <w:bCs/>
          <w:sz w:val="30"/>
          <w:szCs w:val="30"/>
          <w:u w:val="single"/>
          <w:lang w:val="en-US"/>
        </w:rPr>
      </w:pPr>
    </w:p>
    <w:p w14:paraId="60BB51AF" w14:textId="77777777" w:rsidR="00A66D0E" w:rsidRPr="00162384" w:rsidRDefault="00A66D0E">
      <w:pPr>
        <w:rPr>
          <w:rFonts w:ascii="Times New Roman" w:hAnsi="Times New Roman" w:cs="Times New Roman"/>
          <w:b/>
          <w:bCs/>
          <w:sz w:val="30"/>
          <w:szCs w:val="30"/>
          <w:u w:val="single"/>
          <w:lang w:val="en-US"/>
        </w:rPr>
      </w:pPr>
    </w:p>
    <w:p w14:paraId="74E5D2D0" w14:textId="77777777" w:rsidR="00A66D0E" w:rsidRPr="00162384" w:rsidRDefault="00A66D0E">
      <w:pPr>
        <w:rPr>
          <w:rFonts w:ascii="Times New Roman" w:hAnsi="Times New Roman" w:cs="Times New Roman"/>
          <w:b/>
          <w:bCs/>
          <w:sz w:val="30"/>
          <w:szCs w:val="30"/>
          <w:u w:val="single"/>
          <w:lang w:val="en-US"/>
        </w:rPr>
      </w:pPr>
    </w:p>
    <w:p w14:paraId="26E66210" w14:textId="77777777" w:rsidR="00A66D0E" w:rsidRPr="00162384" w:rsidRDefault="00A66D0E">
      <w:pPr>
        <w:rPr>
          <w:rFonts w:ascii="Times New Roman" w:hAnsi="Times New Roman" w:cs="Times New Roman"/>
          <w:b/>
          <w:bCs/>
          <w:sz w:val="30"/>
          <w:szCs w:val="30"/>
          <w:u w:val="single"/>
          <w:lang w:val="en-US"/>
        </w:rPr>
      </w:pPr>
    </w:p>
    <w:p w14:paraId="6D4786E3" w14:textId="77777777" w:rsidR="00A66D0E" w:rsidRPr="00162384" w:rsidRDefault="00A66D0E">
      <w:pPr>
        <w:rPr>
          <w:rFonts w:ascii="Times New Roman" w:hAnsi="Times New Roman" w:cs="Times New Roman"/>
          <w:b/>
          <w:bCs/>
          <w:sz w:val="30"/>
          <w:szCs w:val="30"/>
          <w:u w:val="single"/>
          <w:lang w:val="en-US"/>
        </w:rPr>
      </w:pPr>
    </w:p>
    <w:p w14:paraId="0A29C412" w14:textId="77777777" w:rsidR="00A66D0E" w:rsidRPr="00162384" w:rsidRDefault="00A66D0E">
      <w:pPr>
        <w:rPr>
          <w:rFonts w:ascii="Times New Roman" w:hAnsi="Times New Roman" w:cs="Times New Roman"/>
          <w:b/>
          <w:bCs/>
          <w:sz w:val="30"/>
          <w:szCs w:val="30"/>
          <w:u w:val="single"/>
          <w:lang w:val="en-US"/>
        </w:rPr>
      </w:pPr>
    </w:p>
    <w:p w14:paraId="5749DCA7" w14:textId="77777777" w:rsidR="00162384" w:rsidRDefault="00162384">
      <w:pPr>
        <w:rPr>
          <w:rFonts w:ascii="Times New Roman" w:hAnsi="Times New Roman" w:cs="Times New Roman"/>
          <w:b/>
          <w:bCs/>
          <w:sz w:val="30"/>
          <w:szCs w:val="30"/>
          <w:u w:val="single"/>
          <w:lang w:val="en-US"/>
        </w:rPr>
      </w:pPr>
    </w:p>
    <w:p w14:paraId="6DC1EA43" w14:textId="106A40EF" w:rsidR="00B60ABC" w:rsidRPr="00162384" w:rsidRDefault="00C3754F">
      <w:pPr>
        <w:rPr>
          <w:rFonts w:ascii="Times New Roman" w:hAnsi="Times New Roman" w:cs="Times New Roman"/>
          <w:b/>
          <w:bCs/>
          <w:sz w:val="30"/>
          <w:szCs w:val="30"/>
          <w:u w:val="single"/>
          <w:lang w:val="en-US"/>
        </w:rPr>
      </w:pPr>
      <w:r w:rsidRPr="00162384">
        <w:rPr>
          <w:rFonts w:ascii="Times New Roman" w:hAnsi="Times New Roman" w:cs="Times New Roman"/>
          <w:b/>
          <w:bCs/>
          <w:sz w:val="30"/>
          <w:szCs w:val="30"/>
          <w:u w:val="single"/>
          <w:lang w:val="en-US"/>
        </w:rPr>
        <w:lastRenderedPageBreak/>
        <w:t xml:space="preserve">Introduction </w:t>
      </w:r>
    </w:p>
    <w:p w14:paraId="1E5FA888" w14:textId="35AEC0FB" w:rsidR="00C3754F" w:rsidRPr="006F7271" w:rsidRDefault="00C3754F">
      <w:pPr>
        <w:rPr>
          <w:rFonts w:ascii="Times New Roman" w:hAnsi="Times New Roman" w:cs="Times New Roman"/>
          <w:sz w:val="24"/>
          <w:szCs w:val="24"/>
          <w:lang w:val="en-US"/>
        </w:rPr>
      </w:pPr>
      <w:r w:rsidRPr="006F7271">
        <w:rPr>
          <w:rFonts w:ascii="Times New Roman" w:hAnsi="Times New Roman" w:cs="Times New Roman"/>
          <w:sz w:val="24"/>
          <w:szCs w:val="24"/>
          <w:lang w:val="en-US"/>
        </w:rPr>
        <w:t>Multinational corporations (MNCs) operate in a highly dynamic and globalized economic environment, exposing them to various financial risks. One of the most significant risks is foreign exchange (FX) risk, which arises due to fluctuations in currency exchange rates. This risk can significantly impact an MNC’s profitability, cash flow, and overall financial stability. Effective management of foreign exchange risk is therefore critical for MNCs, and they employ a variety of strategies to mitigate this risk. This essay will evaluate the different strategies that MNCs commonly adopt to manage their exposure to foreign exchange risks, including natural hedging, forward contracts, options, currency swaps, and operational strategies. The evaluation will be grounded in International Financial Management (IFM) theories, particularly those related to exchange rate risk management.</w:t>
      </w:r>
    </w:p>
    <w:p w14:paraId="62D6C04D" w14:textId="1D23EFC2" w:rsidR="00C3754F" w:rsidRPr="00162384" w:rsidRDefault="00C3754F">
      <w:pPr>
        <w:rPr>
          <w:rFonts w:ascii="Times New Roman" w:hAnsi="Times New Roman" w:cs="Times New Roman"/>
          <w:b/>
          <w:bCs/>
          <w:sz w:val="30"/>
          <w:szCs w:val="30"/>
          <w:u w:val="single"/>
          <w:lang w:val="en-US"/>
        </w:rPr>
      </w:pPr>
      <w:r w:rsidRPr="00162384">
        <w:rPr>
          <w:rFonts w:ascii="Times New Roman" w:hAnsi="Times New Roman" w:cs="Times New Roman"/>
          <w:b/>
          <w:bCs/>
          <w:sz w:val="30"/>
          <w:szCs w:val="30"/>
          <w:u w:val="single"/>
          <w:lang w:val="en-US"/>
        </w:rPr>
        <w:t xml:space="preserve">Types of Foreign Exchange Risks </w:t>
      </w:r>
    </w:p>
    <w:p w14:paraId="6A9568A6" w14:textId="5154A80A" w:rsidR="00C3754F" w:rsidRPr="006F7271" w:rsidRDefault="00C3754F">
      <w:pPr>
        <w:rPr>
          <w:rFonts w:ascii="Times New Roman" w:hAnsi="Times New Roman" w:cs="Times New Roman"/>
          <w:sz w:val="24"/>
          <w:szCs w:val="24"/>
          <w:lang w:val="en-US"/>
        </w:rPr>
      </w:pPr>
      <w:r w:rsidRPr="006F7271">
        <w:rPr>
          <w:rFonts w:ascii="Times New Roman" w:hAnsi="Times New Roman" w:cs="Times New Roman"/>
          <w:sz w:val="24"/>
          <w:szCs w:val="24"/>
          <w:lang w:val="en-US"/>
        </w:rPr>
        <w:t>Before delving into the strategies, it is essential to understand the types of foreign exchange risks that MNCs face:</w:t>
      </w:r>
    </w:p>
    <w:p w14:paraId="4786488A" w14:textId="187E0D88" w:rsidR="00C3754F" w:rsidRPr="006F7271" w:rsidRDefault="00C3754F" w:rsidP="00C3754F">
      <w:pPr>
        <w:pStyle w:val="ListParagraph"/>
        <w:numPr>
          <w:ilvl w:val="0"/>
          <w:numId w:val="1"/>
        </w:numPr>
        <w:rPr>
          <w:rFonts w:ascii="Times New Roman" w:hAnsi="Times New Roman" w:cs="Times New Roman"/>
          <w:sz w:val="24"/>
          <w:szCs w:val="24"/>
          <w:lang w:val="en-US"/>
        </w:rPr>
      </w:pPr>
      <w:r w:rsidRPr="006F7271">
        <w:rPr>
          <w:rFonts w:ascii="Times New Roman" w:hAnsi="Times New Roman" w:cs="Times New Roman"/>
          <w:sz w:val="24"/>
          <w:szCs w:val="24"/>
          <w:lang w:val="en-US"/>
        </w:rPr>
        <w:t xml:space="preserve">Transaction Risk: </w:t>
      </w:r>
      <w:r w:rsidRPr="006F7271">
        <w:rPr>
          <w:rFonts w:ascii="Times New Roman" w:hAnsi="Times New Roman" w:cs="Times New Roman"/>
          <w:sz w:val="24"/>
          <w:szCs w:val="24"/>
          <w:lang w:val="en-US"/>
        </w:rPr>
        <w:t>This occurs when there is a time lag between entering into a contract and its settlement, during which exchange rates may fluctuate. For example, an MNC exporting goods may be exposed to transaction risk if the payment is to be received in a foreign currency.</w:t>
      </w:r>
    </w:p>
    <w:p w14:paraId="60BB7ABB" w14:textId="0CF71872" w:rsidR="00C3754F" w:rsidRPr="006F7271" w:rsidRDefault="00C3754F" w:rsidP="00C3754F">
      <w:pPr>
        <w:pStyle w:val="ListParagraph"/>
        <w:numPr>
          <w:ilvl w:val="0"/>
          <w:numId w:val="1"/>
        </w:numPr>
        <w:rPr>
          <w:rFonts w:ascii="Times New Roman" w:hAnsi="Times New Roman" w:cs="Times New Roman"/>
          <w:sz w:val="24"/>
          <w:szCs w:val="24"/>
          <w:lang w:val="en-US"/>
        </w:rPr>
      </w:pPr>
      <w:r w:rsidRPr="006F7271">
        <w:rPr>
          <w:rFonts w:ascii="Times New Roman" w:hAnsi="Times New Roman" w:cs="Times New Roman"/>
          <w:sz w:val="24"/>
          <w:szCs w:val="24"/>
          <w:lang w:val="en-US"/>
        </w:rPr>
        <w:t xml:space="preserve">Transactional Risk: </w:t>
      </w:r>
      <w:r w:rsidRPr="006F7271">
        <w:rPr>
          <w:rFonts w:ascii="Times New Roman" w:hAnsi="Times New Roman" w:cs="Times New Roman"/>
          <w:sz w:val="24"/>
          <w:szCs w:val="24"/>
          <w:lang w:val="en-US"/>
        </w:rPr>
        <w:t>Also known as accounting exposure, this risk arises when an MNC consolidates its financial statements, denominated in various currencies, into its home currency. Exchange rate movements can affect the value of foreign subsidiaries' assets and liabilities when converted to the parent company's currency.</w:t>
      </w:r>
    </w:p>
    <w:p w14:paraId="62E36294" w14:textId="65004551" w:rsidR="00C3754F" w:rsidRPr="006F7271" w:rsidRDefault="00C3754F" w:rsidP="00C3754F">
      <w:pPr>
        <w:pStyle w:val="ListParagraph"/>
        <w:numPr>
          <w:ilvl w:val="0"/>
          <w:numId w:val="1"/>
        </w:numPr>
        <w:rPr>
          <w:rFonts w:ascii="Times New Roman" w:hAnsi="Times New Roman" w:cs="Times New Roman"/>
          <w:sz w:val="24"/>
          <w:szCs w:val="24"/>
          <w:lang w:val="en-US"/>
        </w:rPr>
      </w:pPr>
      <w:r w:rsidRPr="006F7271">
        <w:rPr>
          <w:rFonts w:ascii="Times New Roman" w:hAnsi="Times New Roman" w:cs="Times New Roman"/>
          <w:sz w:val="24"/>
          <w:szCs w:val="24"/>
          <w:lang w:val="en-US"/>
        </w:rPr>
        <w:t xml:space="preserve">Economic Risk: </w:t>
      </w:r>
      <w:r w:rsidRPr="006F7271">
        <w:rPr>
          <w:rFonts w:ascii="Times New Roman" w:hAnsi="Times New Roman" w:cs="Times New Roman"/>
          <w:sz w:val="24"/>
          <w:szCs w:val="24"/>
          <w:lang w:val="en-US"/>
        </w:rPr>
        <w:t>Economic or operating exposure is the risk that exchange rate changes will alter the long-term competitive position of a company in the global marketplace. This can impact future revenues, costs, and ultimately the firm’s market value.</w:t>
      </w:r>
    </w:p>
    <w:p w14:paraId="7026D4F7" w14:textId="0E7FBFA9" w:rsidR="00C3754F" w:rsidRPr="006F7271" w:rsidRDefault="00C3754F" w:rsidP="001545D9">
      <w:pPr>
        <w:rPr>
          <w:rFonts w:ascii="Times New Roman" w:hAnsi="Times New Roman" w:cs="Times New Roman"/>
          <w:b/>
          <w:bCs/>
          <w:sz w:val="30"/>
          <w:szCs w:val="30"/>
          <w:u w:val="single"/>
          <w:lang w:val="en-US"/>
        </w:rPr>
      </w:pPr>
      <w:r w:rsidRPr="006F7271">
        <w:rPr>
          <w:rFonts w:ascii="Times New Roman" w:hAnsi="Times New Roman" w:cs="Times New Roman"/>
          <w:b/>
          <w:bCs/>
          <w:sz w:val="30"/>
          <w:szCs w:val="30"/>
          <w:u w:val="single"/>
          <w:lang w:val="en-US"/>
        </w:rPr>
        <w:t>Strategies to Manage Foreign Exchange Risk</w:t>
      </w:r>
    </w:p>
    <w:p w14:paraId="57D9CC63" w14:textId="5D0527C6" w:rsidR="00C3754F" w:rsidRPr="006F7271" w:rsidRDefault="00C3754F" w:rsidP="00C3754F">
      <w:pPr>
        <w:ind w:left="360"/>
        <w:rPr>
          <w:rFonts w:ascii="Times New Roman" w:hAnsi="Times New Roman" w:cs="Times New Roman"/>
          <w:sz w:val="24"/>
          <w:szCs w:val="24"/>
          <w:lang w:val="en-US"/>
        </w:rPr>
      </w:pPr>
      <w:r w:rsidRPr="006F7271">
        <w:rPr>
          <w:rFonts w:ascii="Times New Roman" w:hAnsi="Times New Roman" w:cs="Times New Roman"/>
          <w:sz w:val="24"/>
          <w:szCs w:val="24"/>
          <w:lang w:val="en-US"/>
        </w:rPr>
        <w:t>Natural hedging</w:t>
      </w:r>
      <w:r w:rsidR="001545D9" w:rsidRPr="006F7271">
        <w:rPr>
          <w:rFonts w:ascii="Times New Roman" w:hAnsi="Times New Roman" w:cs="Times New Roman"/>
          <w:sz w:val="24"/>
          <w:szCs w:val="24"/>
          <w:lang w:val="en-US"/>
        </w:rPr>
        <w:t xml:space="preserve"> appears to be the first example which</w:t>
      </w:r>
      <w:r w:rsidRPr="006F7271">
        <w:rPr>
          <w:rFonts w:ascii="Times New Roman" w:hAnsi="Times New Roman" w:cs="Times New Roman"/>
          <w:sz w:val="24"/>
          <w:szCs w:val="24"/>
          <w:lang w:val="en-US"/>
        </w:rPr>
        <w:t xml:space="preserve"> involves structuring a company’s operations in a way that minimizes its exposure to exchange rate fluctuations without using financial instruments. This can be achieved by matching revenues and costs in the same currency. For example, if an MNC has significant revenue in euros, it might try to match this with euro-denominated expenses. By balancing currency inflows and outflows, the company reduces its exposure to adverse currency movements. Natural hedging is rooted in the principle of </w:t>
      </w:r>
      <w:r w:rsidR="001545D9" w:rsidRPr="006F7271">
        <w:rPr>
          <w:rFonts w:ascii="Times New Roman" w:hAnsi="Times New Roman" w:cs="Times New Roman"/>
          <w:sz w:val="24"/>
          <w:szCs w:val="24"/>
          <w:lang w:val="en-US"/>
        </w:rPr>
        <w:t>‘</w:t>
      </w:r>
      <w:r w:rsidRPr="006F7271">
        <w:rPr>
          <w:rFonts w:ascii="Times New Roman" w:hAnsi="Times New Roman" w:cs="Times New Roman"/>
          <w:sz w:val="24"/>
          <w:szCs w:val="24"/>
          <w:lang w:val="en-US"/>
        </w:rPr>
        <w:t>matching</w:t>
      </w:r>
      <w:r w:rsidR="001545D9" w:rsidRPr="006F7271">
        <w:rPr>
          <w:rFonts w:ascii="Times New Roman" w:hAnsi="Times New Roman" w:cs="Times New Roman"/>
          <w:sz w:val="24"/>
          <w:szCs w:val="24"/>
          <w:lang w:val="en-US"/>
        </w:rPr>
        <w:t>’</w:t>
      </w:r>
      <w:r w:rsidRPr="006F7271">
        <w:rPr>
          <w:rFonts w:ascii="Times New Roman" w:hAnsi="Times New Roman" w:cs="Times New Roman"/>
          <w:sz w:val="24"/>
          <w:szCs w:val="24"/>
          <w:lang w:val="en-US"/>
        </w:rPr>
        <w:t xml:space="preserve">, a key concept in IFM, where firms align their currency cash flows to minimize net exposure. However, this strategy is often limited by operational constraints and does not completely eliminate risk. Furthermore, while natural hedging can reduce transaction and economic risks, it may not be effective against translation risks, particularly for MNCs with diverse global operations. </w:t>
      </w:r>
    </w:p>
    <w:p w14:paraId="78868F90" w14:textId="75D5793B" w:rsidR="00C3754F" w:rsidRPr="006F7271" w:rsidRDefault="00C3754F" w:rsidP="008061EA">
      <w:pPr>
        <w:ind w:left="360"/>
        <w:rPr>
          <w:rFonts w:ascii="Times New Roman" w:hAnsi="Times New Roman" w:cs="Times New Roman"/>
          <w:sz w:val="24"/>
          <w:szCs w:val="24"/>
          <w:lang w:val="en-US"/>
        </w:rPr>
      </w:pPr>
      <w:r w:rsidRPr="006F7271">
        <w:rPr>
          <w:rFonts w:ascii="Times New Roman" w:hAnsi="Times New Roman" w:cs="Times New Roman"/>
          <w:sz w:val="24"/>
          <w:szCs w:val="24"/>
          <w:lang w:val="en-US"/>
        </w:rPr>
        <w:t>Natural hedging is cost-effective and does not involve transaction costs associated with financial derivatives. However, it requires a significant degree of operational flexibility, which may not be feasible for all firms. Moreover, it might only partially mitigate risk and could be difficult to implement in complex multinational operations.</w:t>
      </w:r>
    </w:p>
    <w:p w14:paraId="168DB77F" w14:textId="536ECC54" w:rsidR="00C3754F" w:rsidRPr="006F7271" w:rsidRDefault="008061EA" w:rsidP="00C3754F">
      <w:pPr>
        <w:ind w:left="360"/>
        <w:rPr>
          <w:rFonts w:ascii="Times New Roman" w:hAnsi="Times New Roman" w:cs="Times New Roman"/>
          <w:sz w:val="24"/>
          <w:szCs w:val="24"/>
          <w:lang w:val="en-US"/>
        </w:rPr>
      </w:pPr>
      <w:r w:rsidRPr="006F7271">
        <w:rPr>
          <w:rFonts w:ascii="Times New Roman" w:hAnsi="Times New Roman" w:cs="Times New Roman"/>
          <w:sz w:val="24"/>
          <w:szCs w:val="24"/>
          <w:lang w:val="en-US"/>
        </w:rPr>
        <w:lastRenderedPageBreak/>
        <w:t>Another strategy could be</w:t>
      </w:r>
      <w:r w:rsidR="00C3754F" w:rsidRPr="006F7271">
        <w:rPr>
          <w:rFonts w:ascii="Times New Roman" w:hAnsi="Times New Roman" w:cs="Times New Roman"/>
          <w:sz w:val="24"/>
          <w:szCs w:val="24"/>
          <w:lang w:val="en-US"/>
        </w:rPr>
        <w:t xml:space="preserve"> </w:t>
      </w:r>
      <w:r w:rsidRPr="006F7271">
        <w:rPr>
          <w:rFonts w:ascii="Times New Roman" w:hAnsi="Times New Roman" w:cs="Times New Roman"/>
          <w:sz w:val="24"/>
          <w:szCs w:val="24"/>
          <w:lang w:val="en-US"/>
        </w:rPr>
        <w:t>F</w:t>
      </w:r>
      <w:r w:rsidR="00C3754F" w:rsidRPr="006F7271">
        <w:rPr>
          <w:rFonts w:ascii="Times New Roman" w:hAnsi="Times New Roman" w:cs="Times New Roman"/>
          <w:sz w:val="24"/>
          <w:szCs w:val="24"/>
          <w:lang w:val="en-US"/>
        </w:rPr>
        <w:t xml:space="preserve">orward </w:t>
      </w:r>
      <w:r w:rsidRPr="006F7271">
        <w:rPr>
          <w:rFonts w:ascii="Times New Roman" w:hAnsi="Times New Roman" w:cs="Times New Roman"/>
          <w:sz w:val="24"/>
          <w:szCs w:val="24"/>
          <w:lang w:val="en-US"/>
        </w:rPr>
        <w:t>C</w:t>
      </w:r>
      <w:r w:rsidR="00C3754F" w:rsidRPr="006F7271">
        <w:rPr>
          <w:rFonts w:ascii="Times New Roman" w:hAnsi="Times New Roman" w:cs="Times New Roman"/>
          <w:sz w:val="24"/>
          <w:szCs w:val="24"/>
          <w:lang w:val="en-US"/>
        </w:rPr>
        <w:t>ontract</w:t>
      </w:r>
      <w:r w:rsidRPr="006F7271">
        <w:rPr>
          <w:rFonts w:ascii="Times New Roman" w:hAnsi="Times New Roman" w:cs="Times New Roman"/>
          <w:sz w:val="24"/>
          <w:szCs w:val="24"/>
          <w:lang w:val="en-US"/>
        </w:rPr>
        <w:t>s as they are</w:t>
      </w:r>
      <w:r w:rsidR="00C3754F" w:rsidRPr="006F7271">
        <w:rPr>
          <w:rFonts w:ascii="Times New Roman" w:hAnsi="Times New Roman" w:cs="Times New Roman"/>
          <w:sz w:val="24"/>
          <w:szCs w:val="24"/>
          <w:lang w:val="en-US"/>
        </w:rPr>
        <w:t xml:space="preserve"> a financial derivative that allows an MNC to lock in an exchange rate for a future date. This strategy is particularly useful for managing transaction risk. By entering into a forward contract, a firm can fix the exchange rate at which it will buy or sell a foreign currency, thus eliminating the uncertainty associated with future currency movements. The use of forward contracts is supported by the *covered interest rate parity* theory in IFM, which posits that forward exchange rates should theoretically neutralize any differences in interest rates between two currencies. This theory underpins the rationale for using forward contracts as a hedging tool, as it helps firms manage the cost of currency risk. </w:t>
      </w:r>
    </w:p>
    <w:p w14:paraId="79BB7723" w14:textId="62426D86" w:rsidR="00C3754F" w:rsidRPr="006F7271" w:rsidRDefault="00C3754F" w:rsidP="008061EA">
      <w:pPr>
        <w:ind w:left="360"/>
        <w:rPr>
          <w:rFonts w:ascii="Times New Roman" w:hAnsi="Times New Roman" w:cs="Times New Roman"/>
          <w:sz w:val="24"/>
          <w:szCs w:val="24"/>
          <w:lang w:val="en-US"/>
        </w:rPr>
      </w:pPr>
      <w:r w:rsidRPr="006F7271">
        <w:rPr>
          <w:rFonts w:ascii="Times New Roman" w:hAnsi="Times New Roman" w:cs="Times New Roman"/>
          <w:sz w:val="24"/>
          <w:szCs w:val="24"/>
          <w:lang w:val="en-US"/>
        </w:rPr>
        <w:t>Forward contracts are effective in providing certainty about future cash flows and protecting against adverse exchange rate movements. However, they also lock firms into a fixed rate, potentially causing them to miss out on favorable currency movements. Additionally, forward contracts are often used for short-term hedging and may not be suitable for managing long-term exposures.</w:t>
      </w:r>
    </w:p>
    <w:p w14:paraId="697B5A5F" w14:textId="5002943A" w:rsidR="00C3754F" w:rsidRPr="006F7271" w:rsidRDefault="008061EA" w:rsidP="00C3754F">
      <w:pPr>
        <w:ind w:left="360"/>
        <w:rPr>
          <w:rFonts w:ascii="Times New Roman" w:hAnsi="Times New Roman" w:cs="Times New Roman"/>
          <w:sz w:val="24"/>
          <w:szCs w:val="24"/>
          <w:lang w:val="en-US"/>
        </w:rPr>
      </w:pPr>
      <w:r w:rsidRPr="006F7271">
        <w:rPr>
          <w:rFonts w:ascii="Times New Roman" w:hAnsi="Times New Roman" w:cs="Times New Roman"/>
          <w:sz w:val="24"/>
          <w:szCs w:val="24"/>
          <w:lang w:val="en-US"/>
        </w:rPr>
        <w:t xml:space="preserve"> Following that, the next available strategy is the </w:t>
      </w:r>
      <w:r w:rsidR="00C3754F" w:rsidRPr="006F7271">
        <w:rPr>
          <w:rFonts w:ascii="Times New Roman" w:hAnsi="Times New Roman" w:cs="Times New Roman"/>
          <w:sz w:val="24"/>
          <w:szCs w:val="24"/>
          <w:lang w:val="en-US"/>
        </w:rPr>
        <w:t>Currency options</w:t>
      </w:r>
      <w:r w:rsidRPr="006F7271">
        <w:rPr>
          <w:rFonts w:ascii="Times New Roman" w:hAnsi="Times New Roman" w:cs="Times New Roman"/>
          <w:sz w:val="24"/>
          <w:szCs w:val="24"/>
          <w:lang w:val="en-US"/>
        </w:rPr>
        <w:t>, which</w:t>
      </w:r>
      <w:r w:rsidR="00C3754F" w:rsidRPr="006F7271">
        <w:rPr>
          <w:rFonts w:ascii="Times New Roman" w:hAnsi="Times New Roman" w:cs="Times New Roman"/>
          <w:sz w:val="24"/>
          <w:szCs w:val="24"/>
          <w:lang w:val="en-US"/>
        </w:rPr>
        <w:t xml:space="preserve"> provide MNCs with the right, but not the obligation, to buy or sell a currency at a predetermined rate on or before a specific date. Unlike forward contracts, options offer the advantage of flexibility. If the exchange rate moves favorably, the firm can let the option expire and take advantage of the better spot rate. Conversely, if the rate moves unfavorably, the firm can exercise the option and lock in the predetermined rate. Options are based on the *option pricing theory*, particularly the Black-Scholes model, which helps in valuing options and making informed hedging decisions. The flexibility that options offer makes them a popular choice for MNCs looking to manage not only transaction risk but also economic and translation risks. </w:t>
      </w:r>
    </w:p>
    <w:p w14:paraId="23EFD6C5" w14:textId="6CCF0D8A" w:rsidR="00C3754F" w:rsidRPr="006F7271" w:rsidRDefault="00C3754F" w:rsidP="008061EA">
      <w:pPr>
        <w:ind w:left="360"/>
        <w:rPr>
          <w:rFonts w:ascii="Times New Roman" w:hAnsi="Times New Roman" w:cs="Times New Roman"/>
          <w:sz w:val="24"/>
          <w:szCs w:val="24"/>
          <w:lang w:val="en-US"/>
        </w:rPr>
      </w:pPr>
      <w:r w:rsidRPr="006F7271">
        <w:rPr>
          <w:rFonts w:ascii="Times New Roman" w:hAnsi="Times New Roman" w:cs="Times New Roman"/>
          <w:sz w:val="24"/>
          <w:szCs w:val="24"/>
          <w:lang w:val="en-US"/>
        </w:rPr>
        <w:t>Currency options provide valuable flexibility and can protect against downside risk while allowing upside potential. However, this flexibility comes at a cost, as options premiums can be expensive. Therefore, the use of options needs to be carefully evaluated against their cost, particularly for firms with tight margins.</w:t>
      </w:r>
    </w:p>
    <w:p w14:paraId="3047E7BF" w14:textId="7D866151" w:rsidR="00C3754F" w:rsidRPr="006F7271" w:rsidRDefault="00C3754F" w:rsidP="00C3754F">
      <w:pPr>
        <w:ind w:left="360"/>
        <w:rPr>
          <w:rFonts w:ascii="Times New Roman" w:hAnsi="Times New Roman" w:cs="Times New Roman"/>
          <w:sz w:val="24"/>
          <w:szCs w:val="24"/>
          <w:lang w:val="en-US"/>
        </w:rPr>
      </w:pPr>
      <w:r w:rsidRPr="006F7271">
        <w:rPr>
          <w:rFonts w:ascii="Times New Roman" w:hAnsi="Times New Roman" w:cs="Times New Roman"/>
          <w:sz w:val="24"/>
          <w:szCs w:val="24"/>
          <w:lang w:val="en-US"/>
        </w:rPr>
        <w:t>Currency swaps</w:t>
      </w:r>
      <w:r w:rsidR="008061EA" w:rsidRPr="006F7271">
        <w:rPr>
          <w:rFonts w:ascii="Times New Roman" w:hAnsi="Times New Roman" w:cs="Times New Roman"/>
          <w:sz w:val="24"/>
          <w:szCs w:val="24"/>
          <w:lang w:val="en-US"/>
        </w:rPr>
        <w:t xml:space="preserve"> appears as a another option that</w:t>
      </w:r>
      <w:r w:rsidRPr="006F7271">
        <w:rPr>
          <w:rFonts w:ascii="Times New Roman" w:hAnsi="Times New Roman" w:cs="Times New Roman"/>
          <w:sz w:val="24"/>
          <w:szCs w:val="24"/>
          <w:lang w:val="en-US"/>
        </w:rPr>
        <w:t xml:space="preserve"> involve exchanging principal and interest payments in one currency for principal and interest payments in another currency. This strategy is typically used to manage long-term foreign exchange exposure, such as when an MNC has a foreign-denominated loan. By swapping currencies, the firm can match its cash flows to its obligations, thereby reducing currency risk. Currency swaps are closely related to the *interest rate parity* theory, as they involve exchanging fixed or floating interest payments in different currencies. This strategy can help firms take advantage of favorable interest rate differentials while managing exchange rate exposure. </w:t>
      </w:r>
    </w:p>
    <w:p w14:paraId="743C235B" w14:textId="442636FF" w:rsidR="00C3754F" w:rsidRPr="006F7271" w:rsidRDefault="00C3754F" w:rsidP="008061EA">
      <w:pPr>
        <w:ind w:left="360"/>
        <w:rPr>
          <w:rFonts w:ascii="Times New Roman" w:hAnsi="Times New Roman" w:cs="Times New Roman"/>
          <w:sz w:val="24"/>
          <w:szCs w:val="24"/>
          <w:lang w:val="en-US"/>
        </w:rPr>
      </w:pPr>
      <w:r w:rsidRPr="006F7271">
        <w:rPr>
          <w:rFonts w:ascii="Times New Roman" w:hAnsi="Times New Roman" w:cs="Times New Roman"/>
          <w:sz w:val="24"/>
          <w:szCs w:val="24"/>
          <w:lang w:val="en-US"/>
        </w:rPr>
        <w:t>Currency swaps are effective for managing long-term exposure and can be tailored to match the specific needs of the firm. However, they are complex financial instruments that require careful negotiation and monitoring. Additionally, swaps are typically used for large transactions and may not be accessible or cost-effective for smaller firms.</w:t>
      </w:r>
    </w:p>
    <w:p w14:paraId="581B2C43" w14:textId="1BDC903C" w:rsidR="00C3754F" w:rsidRPr="006F7271" w:rsidRDefault="008061EA" w:rsidP="00C3754F">
      <w:pPr>
        <w:ind w:left="360"/>
        <w:rPr>
          <w:rFonts w:ascii="Times New Roman" w:hAnsi="Times New Roman" w:cs="Times New Roman"/>
          <w:sz w:val="24"/>
          <w:szCs w:val="24"/>
          <w:lang w:val="en-US"/>
        </w:rPr>
      </w:pPr>
      <w:r w:rsidRPr="006F7271">
        <w:rPr>
          <w:rFonts w:ascii="Times New Roman" w:hAnsi="Times New Roman" w:cs="Times New Roman"/>
          <w:sz w:val="24"/>
          <w:szCs w:val="24"/>
          <w:lang w:val="en-US"/>
        </w:rPr>
        <w:t xml:space="preserve"> As a final opportunity there are some Optional Strategies which i</w:t>
      </w:r>
      <w:r w:rsidR="00C3754F" w:rsidRPr="006F7271">
        <w:rPr>
          <w:rFonts w:ascii="Times New Roman" w:hAnsi="Times New Roman" w:cs="Times New Roman"/>
          <w:sz w:val="24"/>
          <w:szCs w:val="24"/>
          <w:lang w:val="en-US"/>
        </w:rPr>
        <w:t>n addition to financial hedging, MNCs can manage foreign exchange risk through various operational strategies</w:t>
      </w:r>
      <w:r w:rsidRPr="006F7271">
        <w:rPr>
          <w:rFonts w:ascii="Times New Roman" w:hAnsi="Times New Roman" w:cs="Times New Roman"/>
          <w:sz w:val="24"/>
          <w:szCs w:val="24"/>
          <w:lang w:val="en-US"/>
        </w:rPr>
        <w:t>, which</w:t>
      </w:r>
      <w:r w:rsidR="00C3754F" w:rsidRPr="006F7271">
        <w:rPr>
          <w:rFonts w:ascii="Times New Roman" w:hAnsi="Times New Roman" w:cs="Times New Roman"/>
          <w:sz w:val="24"/>
          <w:szCs w:val="24"/>
          <w:lang w:val="en-US"/>
        </w:rPr>
        <w:t xml:space="preserve"> include: </w:t>
      </w:r>
    </w:p>
    <w:p w14:paraId="2A59ED12" w14:textId="28D547BC" w:rsidR="00C3754F" w:rsidRPr="006F7271" w:rsidRDefault="00C3754F" w:rsidP="00C3754F">
      <w:pPr>
        <w:ind w:left="360"/>
        <w:rPr>
          <w:rFonts w:ascii="Times New Roman" w:hAnsi="Times New Roman" w:cs="Times New Roman"/>
          <w:sz w:val="24"/>
          <w:szCs w:val="24"/>
          <w:lang w:val="en-US"/>
        </w:rPr>
      </w:pPr>
      <w:r w:rsidRPr="006F7271">
        <w:rPr>
          <w:rFonts w:ascii="Times New Roman" w:hAnsi="Times New Roman" w:cs="Times New Roman"/>
          <w:sz w:val="24"/>
          <w:szCs w:val="24"/>
          <w:lang w:val="en-US"/>
        </w:rPr>
        <w:lastRenderedPageBreak/>
        <w:t>Diversification of Production and Sourcing</w:t>
      </w:r>
      <w:r w:rsidR="008061EA" w:rsidRPr="006F7271">
        <w:rPr>
          <w:rFonts w:ascii="Times New Roman" w:hAnsi="Times New Roman" w:cs="Times New Roman"/>
          <w:sz w:val="24"/>
          <w:szCs w:val="24"/>
          <w:lang w:val="en-US"/>
        </w:rPr>
        <w:t xml:space="preserve"> where</w:t>
      </w:r>
      <w:r w:rsidRPr="006F7271">
        <w:rPr>
          <w:rFonts w:ascii="Times New Roman" w:hAnsi="Times New Roman" w:cs="Times New Roman"/>
          <w:sz w:val="24"/>
          <w:szCs w:val="24"/>
          <w:lang w:val="en-US"/>
        </w:rPr>
        <w:t xml:space="preserve"> </w:t>
      </w:r>
      <w:r w:rsidR="008061EA" w:rsidRPr="006F7271">
        <w:rPr>
          <w:rFonts w:ascii="Times New Roman" w:hAnsi="Times New Roman" w:cs="Times New Roman"/>
          <w:sz w:val="24"/>
          <w:szCs w:val="24"/>
          <w:lang w:val="en-US"/>
        </w:rPr>
        <w:t>b</w:t>
      </w:r>
      <w:r w:rsidRPr="006F7271">
        <w:rPr>
          <w:rFonts w:ascii="Times New Roman" w:hAnsi="Times New Roman" w:cs="Times New Roman"/>
          <w:sz w:val="24"/>
          <w:szCs w:val="24"/>
          <w:lang w:val="en-US"/>
        </w:rPr>
        <w:t xml:space="preserve">y diversifying production and sourcing locations, MNCs can reduce their reliance on any single currency. This operational flexibility allows firms to shift production or sourcing in response to unfavorable currency movements. </w:t>
      </w:r>
    </w:p>
    <w:p w14:paraId="7D66EDE9" w14:textId="125AE683" w:rsidR="00C3754F" w:rsidRPr="006F7271" w:rsidRDefault="008061EA" w:rsidP="00C3754F">
      <w:pPr>
        <w:ind w:left="360"/>
        <w:rPr>
          <w:rFonts w:ascii="Times New Roman" w:hAnsi="Times New Roman" w:cs="Times New Roman"/>
          <w:sz w:val="24"/>
          <w:szCs w:val="24"/>
          <w:lang w:val="en-US"/>
        </w:rPr>
      </w:pPr>
      <w:r w:rsidRPr="006F7271">
        <w:rPr>
          <w:rFonts w:ascii="Times New Roman" w:hAnsi="Times New Roman" w:cs="Times New Roman"/>
          <w:sz w:val="24"/>
          <w:szCs w:val="24"/>
          <w:lang w:val="en-US"/>
        </w:rPr>
        <w:t xml:space="preserve">On the other hand </w:t>
      </w:r>
      <w:r w:rsidR="00C3754F" w:rsidRPr="006F7271">
        <w:rPr>
          <w:rFonts w:ascii="Times New Roman" w:hAnsi="Times New Roman" w:cs="Times New Roman"/>
          <w:sz w:val="24"/>
          <w:szCs w:val="24"/>
          <w:lang w:val="en-US"/>
        </w:rPr>
        <w:t>Leading and Lagging</w:t>
      </w:r>
      <w:r w:rsidRPr="006F7271">
        <w:rPr>
          <w:rFonts w:ascii="Times New Roman" w:hAnsi="Times New Roman" w:cs="Times New Roman"/>
          <w:sz w:val="24"/>
          <w:szCs w:val="24"/>
          <w:lang w:val="en-US"/>
        </w:rPr>
        <w:t xml:space="preserve">, where the </w:t>
      </w:r>
      <w:r w:rsidR="00C3754F" w:rsidRPr="006F7271">
        <w:rPr>
          <w:rFonts w:ascii="Times New Roman" w:hAnsi="Times New Roman" w:cs="Times New Roman"/>
          <w:sz w:val="24"/>
          <w:szCs w:val="24"/>
          <w:lang w:val="en-US"/>
        </w:rPr>
        <w:t xml:space="preserve">strategy involves timing the payment of receivables and payables to take advantage of favorable exchange rates. For instance, if a firm expects a currency to depreciate, it might accelerate payments (leading) or delay collections (lagging) to benefit from the anticipated exchange rate movement. </w:t>
      </w:r>
    </w:p>
    <w:p w14:paraId="48E9F99B" w14:textId="3AA81EC2" w:rsidR="00C3754F" w:rsidRPr="006F7271" w:rsidRDefault="008061EA" w:rsidP="00C3754F">
      <w:pPr>
        <w:ind w:left="360"/>
        <w:rPr>
          <w:rFonts w:ascii="Times New Roman" w:hAnsi="Times New Roman" w:cs="Times New Roman"/>
          <w:sz w:val="24"/>
          <w:szCs w:val="24"/>
          <w:lang w:val="en-US"/>
        </w:rPr>
      </w:pPr>
      <w:r w:rsidRPr="006F7271">
        <w:rPr>
          <w:rFonts w:ascii="Times New Roman" w:hAnsi="Times New Roman" w:cs="Times New Roman"/>
          <w:sz w:val="24"/>
          <w:szCs w:val="24"/>
          <w:lang w:val="en-US"/>
        </w:rPr>
        <w:t xml:space="preserve"> And finally, </w:t>
      </w:r>
      <w:r w:rsidR="00C3754F" w:rsidRPr="006F7271">
        <w:rPr>
          <w:rFonts w:ascii="Times New Roman" w:hAnsi="Times New Roman" w:cs="Times New Roman"/>
          <w:sz w:val="24"/>
          <w:szCs w:val="24"/>
          <w:lang w:val="en-US"/>
        </w:rPr>
        <w:t>Reinvoicing Centers</w:t>
      </w:r>
      <w:r w:rsidRPr="006F7271">
        <w:rPr>
          <w:rFonts w:ascii="Times New Roman" w:hAnsi="Times New Roman" w:cs="Times New Roman"/>
          <w:sz w:val="24"/>
          <w:szCs w:val="24"/>
          <w:lang w:val="en-US"/>
        </w:rPr>
        <w:t>, showing how s</w:t>
      </w:r>
      <w:r w:rsidR="00C3754F" w:rsidRPr="006F7271">
        <w:rPr>
          <w:rFonts w:ascii="Times New Roman" w:hAnsi="Times New Roman" w:cs="Times New Roman"/>
          <w:sz w:val="24"/>
          <w:szCs w:val="24"/>
          <w:lang w:val="en-US"/>
        </w:rPr>
        <w:t xml:space="preserve">ome MNCs establish reinvoicing centers in a third country to centralize and manage currency risk. The reinvoicing center acts as an intermediary, invoicing the foreign subsidiary in its currency and the parent company in the home currency, effectively managing the exchange rate risk centrally. </w:t>
      </w:r>
    </w:p>
    <w:p w14:paraId="732E5FCB" w14:textId="634AD569" w:rsidR="00C3754F" w:rsidRPr="006F7271" w:rsidRDefault="00C3754F" w:rsidP="00C3754F">
      <w:pPr>
        <w:ind w:left="360"/>
        <w:rPr>
          <w:rFonts w:ascii="Times New Roman" w:hAnsi="Times New Roman" w:cs="Times New Roman"/>
          <w:sz w:val="24"/>
          <w:szCs w:val="24"/>
          <w:lang w:val="en-US"/>
        </w:rPr>
      </w:pPr>
      <w:r w:rsidRPr="006F7271">
        <w:rPr>
          <w:rFonts w:ascii="Times New Roman" w:hAnsi="Times New Roman" w:cs="Times New Roman"/>
          <w:sz w:val="24"/>
          <w:szCs w:val="24"/>
          <w:lang w:val="en-US"/>
        </w:rPr>
        <w:t>Operational strategies offer a practical way to manage foreign exchange risk without relying on financial instruments. These strategies are particularly useful for managing economic risk, as they focus on the operational aspects of the business. However, they require significant organizational resources and may not be suitable for all firms, particularly those with less operational flexibility.</w:t>
      </w:r>
    </w:p>
    <w:p w14:paraId="005B5DE8" w14:textId="3B866323" w:rsidR="00C3754F" w:rsidRPr="006F7271" w:rsidRDefault="00C3754F" w:rsidP="00C3754F">
      <w:pPr>
        <w:ind w:left="360"/>
        <w:rPr>
          <w:rFonts w:ascii="Times New Roman" w:hAnsi="Times New Roman" w:cs="Times New Roman"/>
          <w:b/>
          <w:bCs/>
          <w:sz w:val="30"/>
          <w:szCs w:val="30"/>
          <w:u w:val="single"/>
          <w:lang w:val="en-US"/>
        </w:rPr>
      </w:pPr>
      <w:r w:rsidRPr="006F7271">
        <w:rPr>
          <w:rFonts w:ascii="Times New Roman" w:hAnsi="Times New Roman" w:cs="Times New Roman"/>
          <w:b/>
          <w:bCs/>
          <w:sz w:val="30"/>
          <w:szCs w:val="30"/>
          <w:u w:val="single"/>
          <w:lang w:val="en-US"/>
        </w:rPr>
        <w:t xml:space="preserve">Integrated Risk Management </w:t>
      </w:r>
    </w:p>
    <w:p w14:paraId="6085590B" w14:textId="77777777" w:rsidR="001545D9" w:rsidRPr="006F7271" w:rsidRDefault="00C3754F" w:rsidP="00C3754F">
      <w:pPr>
        <w:ind w:left="360"/>
        <w:rPr>
          <w:rFonts w:ascii="Times New Roman" w:hAnsi="Times New Roman" w:cs="Times New Roman"/>
          <w:sz w:val="24"/>
          <w:szCs w:val="24"/>
          <w:lang w:val="en-US"/>
        </w:rPr>
      </w:pPr>
      <w:r w:rsidRPr="006F7271">
        <w:rPr>
          <w:rFonts w:ascii="Times New Roman" w:hAnsi="Times New Roman" w:cs="Times New Roman"/>
          <w:sz w:val="24"/>
          <w:szCs w:val="24"/>
          <w:lang w:val="en-US"/>
        </w:rPr>
        <w:t>In practice, MNCs often adopt an integrated approach to foreign exchange risk management, combining financial hedging with operational strategies. The choice of strategy depends on various factors, including the firm's risk appetite, market conditions, and the nature of its international operations. An integrated approach allows firms to tailor their risk management strategy to their specific needs, balancing the cost and benefits of different tools.</w:t>
      </w:r>
    </w:p>
    <w:p w14:paraId="6F8C5B84" w14:textId="76B5E82A" w:rsidR="00C3754F" w:rsidRPr="006F7271" w:rsidRDefault="00C3754F" w:rsidP="00C3754F">
      <w:pPr>
        <w:ind w:left="360"/>
        <w:rPr>
          <w:rFonts w:ascii="Times New Roman" w:hAnsi="Times New Roman" w:cs="Times New Roman"/>
          <w:sz w:val="24"/>
          <w:szCs w:val="24"/>
          <w:lang w:val="en-US"/>
        </w:rPr>
      </w:pPr>
      <w:r w:rsidRPr="006F7271">
        <w:rPr>
          <w:rFonts w:ascii="Times New Roman" w:hAnsi="Times New Roman" w:cs="Times New Roman"/>
          <w:sz w:val="24"/>
          <w:szCs w:val="24"/>
          <w:lang w:val="en-US"/>
        </w:rPr>
        <w:t>An integrated risk management approach is the most comprehensive and effective way to manage foreign exchange risk. By combining financial and operational strategies, MNCs can address both short-term and long-term exposures, while also considering the broader impact on the firm's competitive position and financial performance. However, this approach requires sophisticated risk management systems and processes, as well as continuous monitoring of market conditions.</w:t>
      </w:r>
    </w:p>
    <w:p w14:paraId="0729319F" w14:textId="77777777" w:rsidR="008061EA" w:rsidRPr="006F7271" w:rsidRDefault="008061EA" w:rsidP="00C3754F">
      <w:pPr>
        <w:ind w:left="360"/>
        <w:rPr>
          <w:rFonts w:ascii="Times New Roman" w:hAnsi="Times New Roman" w:cs="Times New Roman"/>
          <w:b/>
          <w:bCs/>
          <w:sz w:val="24"/>
          <w:szCs w:val="24"/>
          <w:u w:val="single"/>
          <w:lang w:val="en-US"/>
        </w:rPr>
      </w:pPr>
    </w:p>
    <w:p w14:paraId="655B5EB0" w14:textId="37883778" w:rsidR="001545D9" w:rsidRPr="006F7271" w:rsidRDefault="001545D9" w:rsidP="00C3754F">
      <w:pPr>
        <w:ind w:left="360"/>
        <w:rPr>
          <w:rFonts w:ascii="Times New Roman" w:hAnsi="Times New Roman" w:cs="Times New Roman"/>
          <w:b/>
          <w:bCs/>
          <w:sz w:val="30"/>
          <w:szCs w:val="30"/>
          <w:u w:val="single"/>
          <w:lang w:val="en-US"/>
        </w:rPr>
      </w:pPr>
      <w:r w:rsidRPr="006F7271">
        <w:rPr>
          <w:rFonts w:ascii="Times New Roman" w:hAnsi="Times New Roman" w:cs="Times New Roman"/>
          <w:b/>
          <w:bCs/>
          <w:sz w:val="30"/>
          <w:szCs w:val="30"/>
          <w:u w:val="single"/>
          <w:lang w:val="en-US"/>
        </w:rPr>
        <w:t xml:space="preserve">Conclusion </w:t>
      </w:r>
    </w:p>
    <w:p w14:paraId="001FCC23" w14:textId="70FF6B47" w:rsidR="001545D9" w:rsidRPr="006F7271" w:rsidRDefault="001545D9" w:rsidP="00C3754F">
      <w:pPr>
        <w:ind w:left="360"/>
        <w:rPr>
          <w:rFonts w:ascii="Times New Roman" w:hAnsi="Times New Roman" w:cs="Times New Roman"/>
          <w:sz w:val="24"/>
          <w:szCs w:val="24"/>
          <w:lang w:val="en-US"/>
        </w:rPr>
      </w:pPr>
      <w:r w:rsidRPr="006F7271">
        <w:rPr>
          <w:rFonts w:ascii="Times New Roman" w:hAnsi="Times New Roman" w:cs="Times New Roman"/>
          <w:sz w:val="24"/>
          <w:szCs w:val="24"/>
          <w:lang w:val="en-US"/>
        </w:rPr>
        <w:t>Foreign exchange risk is a significant challenge for multinational corporations, but with the right strategies, it can be effectively managed. MNCs employ a range of strategies, from natural hedging and forward contracts to options, currency swaps, and operational tactics. Each strategy has its advantages and limitations, and the choice of strategy depends on the specific circumstances of the firm. By adopting an integrated approach that combines financial and operational strategies, MNCs can effectively manage their exposure to foreign exchange risks, ensuring financial stability and competitive advantage in the global marketplace.</w:t>
      </w:r>
    </w:p>
    <w:p w14:paraId="157B39C2" w14:textId="77777777" w:rsidR="006F7271" w:rsidRDefault="006F7271" w:rsidP="006F7271">
      <w:pPr>
        <w:rPr>
          <w:rFonts w:ascii="Times New Roman" w:hAnsi="Times New Roman" w:cs="Times New Roman"/>
          <w:b/>
          <w:bCs/>
          <w:sz w:val="24"/>
          <w:szCs w:val="24"/>
          <w:u w:val="single"/>
          <w:lang w:val="en-US"/>
        </w:rPr>
      </w:pPr>
    </w:p>
    <w:p w14:paraId="11FE7F8F" w14:textId="3A497594" w:rsidR="001545D9" w:rsidRPr="006F7271" w:rsidRDefault="001545D9" w:rsidP="006F7271">
      <w:pPr>
        <w:rPr>
          <w:rFonts w:ascii="Times New Roman" w:hAnsi="Times New Roman" w:cs="Times New Roman"/>
          <w:b/>
          <w:bCs/>
          <w:sz w:val="30"/>
          <w:szCs w:val="30"/>
          <w:u w:val="single"/>
          <w:lang w:val="en-US"/>
        </w:rPr>
      </w:pPr>
      <w:r w:rsidRPr="006F7271">
        <w:rPr>
          <w:rFonts w:ascii="Times New Roman" w:hAnsi="Times New Roman" w:cs="Times New Roman"/>
          <w:b/>
          <w:bCs/>
          <w:sz w:val="30"/>
          <w:szCs w:val="30"/>
          <w:u w:val="single"/>
          <w:lang w:val="en-US"/>
        </w:rPr>
        <w:lastRenderedPageBreak/>
        <w:t xml:space="preserve">References </w:t>
      </w:r>
    </w:p>
    <w:p w14:paraId="45294AC7" w14:textId="43E06FBF" w:rsidR="001545D9" w:rsidRPr="006F7271" w:rsidRDefault="001545D9" w:rsidP="00C3754F">
      <w:pPr>
        <w:ind w:left="360"/>
        <w:rPr>
          <w:rFonts w:ascii="Times New Roman" w:hAnsi="Times New Roman" w:cs="Times New Roman"/>
          <w:sz w:val="24"/>
          <w:szCs w:val="24"/>
          <w:lang w:val="en-US"/>
        </w:rPr>
      </w:pPr>
      <w:r w:rsidRPr="006F7271">
        <w:rPr>
          <w:rFonts w:ascii="Times New Roman" w:hAnsi="Times New Roman" w:cs="Times New Roman"/>
          <w:sz w:val="24"/>
          <w:szCs w:val="24"/>
          <w:lang w:val="en-US"/>
        </w:rPr>
        <w:t xml:space="preserve">Adler, M., &amp; Dumas, B. (1984). </w:t>
      </w:r>
      <w:r w:rsidRPr="006F7271">
        <w:rPr>
          <w:rFonts w:ascii="Times New Roman" w:hAnsi="Times New Roman" w:cs="Times New Roman"/>
          <w:i/>
          <w:iCs/>
          <w:sz w:val="24"/>
          <w:szCs w:val="24"/>
          <w:lang w:val="en-US"/>
        </w:rPr>
        <w:t>Exposure to currency risk: Definition and measurement.</w:t>
      </w:r>
      <w:r w:rsidRPr="006F7271">
        <w:rPr>
          <w:rFonts w:ascii="Times New Roman" w:hAnsi="Times New Roman" w:cs="Times New Roman"/>
          <w:sz w:val="24"/>
          <w:szCs w:val="24"/>
          <w:lang w:val="en-US"/>
        </w:rPr>
        <w:t xml:space="preserve"> Financial Management, 13(2), 41-50. </w:t>
      </w:r>
    </w:p>
    <w:p w14:paraId="4E301FA3" w14:textId="6E9A2680" w:rsidR="001545D9" w:rsidRPr="006F7271" w:rsidRDefault="001545D9" w:rsidP="00C3754F">
      <w:pPr>
        <w:ind w:left="360"/>
        <w:rPr>
          <w:rFonts w:ascii="Times New Roman" w:hAnsi="Times New Roman" w:cs="Times New Roman"/>
          <w:sz w:val="24"/>
          <w:szCs w:val="24"/>
          <w:lang w:val="en-US"/>
        </w:rPr>
      </w:pPr>
      <w:r w:rsidRPr="006F7271">
        <w:rPr>
          <w:rFonts w:ascii="Times New Roman" w:hAnsi="Times New Roman" w:cs="Times New Roman"/>
          <w:sz w:val="24"/>
          <w:szCs w:val="24"/>
          <w:lang w:val="en-US"/>
        </w:rPr>
        <w:t xml:space="preserve">Black, F., &amp; Scholes, M. (1973). </w:t>
      </w:r>
      <w:r w:rsidRPr="006F7271">
        <w:rPr>
          <w:rFonts w:ascii="Times New Roman" w:hAnsi="Times New Roman" w:cs="Times New Roman"/>
          <w:i/>
          <w:iCs/>
          <w:sz w:val="24"/>
          <w:szCs w:val="24"/>
          <w:lang w:val="en-US"/>
        </w:rPr>
        <w:t>The pricing of options and corporate liabilities</w:t>
      </w:r>
      <w:r w:rsidRPr="006F7271">
        <w:rPr>
          <w:rFonts w:ascii="Times New Roman" w:hAnsi="Times New Roman" w:cs="Times New Roman"/>
          <w:sz w:val="24"/>
          <w:szCs w:val="24"/>
          <w:lang w:val="en-US"/>
        </w:rPr>
        <w:t xml:space="preserve">. Journal of Political Economy, 81(3), 637-654. </w:t>
      </w:r>
    </w:p>
    <w:p w14:paraId="09E382E0" w14:textId="3880BCA5" w:rsidR="001545D9" w:rsidRPr="006F7271" w:rsidRDefault="001545D9" w:rsidP="00C3754F">
      <w:pPr>
        <w:ind w:left="360"/>
        <w:rPr>
          <w:rFonts w:ascii="Times New Roman" w:hAnsi="Times New Roman" w:cs="Times New Roman"/>
          <w:sz w:val="24"/>
          <w:szCs w:val="24"/>
          <w:lang w:val="en-US"/>
        </w:rPr>
      </w:pPr>
      <w:r w:rsidRPr="006F7271">
        <w:rPr>
          <w:rFonts w:ascii="Times New Roman" w:hAnsi="Times New Roman" w:cs="Times New Roman"/>
          <w:sz w:val="24"/>
          <w:szCs w:val="24"/>
          <w:lang w:val="en-US"/>
        </w:rPr>
        <w:t xml:space="preserve">Clark, E., &amp; Judge, A. (2009). </w:t>
      </w:r>
      <w:r w:rsidRPr="006F7271">
        <w:rPr>
          <w:rFonts w:ascii="Times New Roman" w:hAnsi="Times New Roman" w:cs="Times New Roman"/>
          <w:i/>
          <w:iCs/>
          <w:sz w:val="24"/>
          <w:szCs w:val="24"/>
          <w:lang w:val="en-US"/>
        </w:rPr>
        <w:t>Foreign currency derivatives versus foreign currency debt and the hedging premium</w:t>
      </w:r>
      <w:r w:rsidRPr="006F7271">
        <w:rPr>
          <w:rFonts w:ascii="Times New Roman" w:hAnsi="Times New Roman" w:cs="Times New Roman"/>
          <w:sz w:val="24"/>
          <w:szCs w:val="24"/>
          <w:lang w:val="en-US"/>
        </w:rPr>
        <w:t xml:space="preserve">. European Financial Management, 15(3), 606-642. </w:t>
      </w:r>
    </w:p>
    <w:p w14:paraId="13BD4B34" w14:textId="339D5A35" w:rsidR="001545D9" w:rsidRPr="006F7271" w:rsidRDefault="001545D9" w:rsidP="00C3754F">
      <w:pPr>
        <w:ind w:left="360"/>
        <w:rPr>
          <w:rFonts w:ascii="Times New Roman" w:hAnsi="Times New Roman" w:cs="Times New Roman"/>
          <w:sz w:val="24"/>
          <w:szCs w:val="24"/>
          <w:lang w:val="en-US"/>
        </w:rPr>
      </w:pPr>
      <w:r w:rsidRPr="006F7271">
        <w:rPr>
          <w:rFonts w:ascii="Times New Roman" w:hAnsi="Times New Roman" w:cs="Times New Roman"/>
          <w:sz w:val="24"/>
          <w:szCs w:val="24"/>
          <w:lang w:val="en-US"/>
        </w:rPr>
        <w:t xml:space="preserve">Giddy, I. H., &amp; Dufey, G. (1992). </w:t>
      </w:r>
      <w:r w:rsidRPr="006F7271">
        <w:rPr>
          <w:rFonts w:ascii="Times New Roman" w:hAnsi="Times New Roman" w:cs="Times New Roman"/>
          <w:i/>
          <w:iCs/>
          <w:sz w:val="24"/>
          <w:szCs w:val="24"/>
          <w:lang w:val="en-US"/>
        </w:rPr>
        <w:t>The management of foreign exchange risk</w:t>
      </w:r>
      <w:r w:rsidRPr="006F7271">
        <w:rPr>
          <w:rFonts w:ascii="Times New Roman" w:hAnsi="Times New Roman" w:cs="Times New Roman"/>
          <w:sz w:val="24"/>
          <w:szCs w:val="24"/>
          <w:lang w:val="en-US"/>
        </w:rPr>
        <w:t xml:space="preserve">. Midland Corporate Finance Journal, 4(3), 41-56. </w:t>
      </w:r>
    </w:p>
    <w:p w14:paraId="33283AD6" w14:textId="5B822425" w:rsidR="001545D9" w:rsidRPr="006F7271" w:rsidRDefault="001545D9" w:rsidP="00C3754F">
      <w:pPr>
        <w:ind w:left="360"/>
        <w:rPr>
          <w:rFonts w:ascii="Times New Roman" w:hAnsi="Times New Roman" w:cs="Times New Roman"/>
          <w:sz w:val="24"/>
          <w:szCs w:val="24"/>
          <w:lang w:val="en-US"/>
        </w:rPr>
      </w:pPr>
      <w:r w:rsidRPr="006F7271">
        <w:rPr>
          <w:rFonts w:ascii="Times New Roman" w:hAnsi="Times New Roman" w:cs="Times New Roman"/>
          <w:sz w:val="24"/>
          <w:szCs w:val="24"/>
          <w:lang w:val="en-US"/>
        </w:rPr>
        <w:t xml:space="preserve">Madura, J., &amp; Fox, R. (2011). </w:t>
      </w:r>
      <w:r w:rsidRPr="006F7271">
        <w:rPr>
          <w:rFonts w:ascii="Times New Roman" w:hAnsi="Times New Roman" w:cs="Times New Roman"/>
          <w:i/>
          <w:iCs/>
          <w:sz w:val="24"/>
          <w:szCs w:val="24"/>
          <w:lang w:val="en-US"/>
        </w:rPr>
        <w:t>International financial management</w:t>
      </w:r>
      <w:r w:rsidRPr="006F7271">
        <w:rPr>
          <w:rFonts w:ascii="Times New Roman" w:hAnsi="Times New Roman" w:cs="Times New Roman"/>
          <w:sz w:val="24"/>
          <w:szCs w:val="24"/>
          <w:lang w:val="en-US"/>
        </w:rPr>
        <w:t>. Cengage Learning.</w:t>
      </w:r>
    </w:p>
    <w:p w14:paraId="72A790A2" w14:textId="28A67D65" w:rsidR="001545D9" w:rsidRPr="006F7271" w:rsidRDefault="001545D9" w:rsidP="001545D9">
      <w:pPr>
        <w:rPr>
          <w:rFonts w:ascii="Times New Roman" w:hAnsi="Times New Roman" w:cs="Times New Roman"/>
          <w:sz w:val="24"/>
          <w:szCs w:val="24"/>
          <w:lang w:val="en-US"/>
        </w:rPr>
      </w:pPr>
      <w:r w:rsidRPr="006F7271">
        <w:rPr>
          <w:rFonts w:ascii="Times New Roman" w:hAnsi="Times New Roman" w:cs="Times New Roman"/>
          <w:sz w:val="24"/>
          <w:szCs w:val="24"/>
          <w:lang w:val="en-US"/>
        </w:rPr>
        <w:t xml:space="preserve">       </w:t>
      </w:r>
      <w:r w:rsidRPr="006F7271">
        <w:rPr>
          <w:rFonts w:ascii="Times New Roman" w:hAnsi="Times New Roman" w:cs="Times New Roman"/>
          <w:sz w:val="24"/>
          <w:szCs w:val="24"/>
          <w:lang w:val="en-US"/>
        </w:rPr>
        <w:t xml:space="preserve"> Shapiro, A. C., &amp; Rutenberg, D. P. (1976). </w:t>
      </w:r>
      <w:r w:rsidRPr="006F7271">
        <w:rPr>
          <w:rFonts w:ascii="Times New Roman" w:hAnsi="Times New Roman" w:cs="Times New Roman"/>
          <w:i/>
          <w:iCs/>
          <w:sz w:val="24"/>
          <w:szCs w:val="24"/>
          <w:lang w:val="en-US"/>
        </w:rPr>
        <w:t>Managing foreign exchange risks</w:t>
      </w:r>
      <w:r w:rsidRPr="006F7271">
        <w:rPr>
          <w:rFonts w:ascii="Times New Roman" w:hAnsi="Times New Roman" w:cs="Times New Roman"/>
          <w:sz w:val="24"/>
          <w:szCs w:val="24"/>
          <w:lang w:val="en-US"/>
        </w:rPr>
        <w:t xml:space="preserve">. Harvard </w:t>
      </w:r>
      <w:r w:rsidRPr="006F7271">
        <w:rPr>
          <w:rFonts w:ascii="Times New Roman" w:hAnsi="Times New Roman" w:cs="Times New Roman"/>
          <w:sz w:val="24"/>
          <w:szCs w:val="24"/>
          <w:lang w:val="en-US"/>
        </w:rPr>
        <w:t xml:space="preserve">         </w:t>
      </w:r>
      <w:r w:rsidRPr="006F7271">
        <w:rPr>
          <w:rFonts w:ascii="Times New Roman" w:hAnsi="Times New Roman" w:cs="Times New Roman"/>
          <w:sz w:val="24"/>
          <w:szCs w:val="24"/>
          <w:lang w:val="en-US"/>
        </w:rPr>
        <w:t xml:space="preserve">Business Review, 54(5), 123-136. </w:t>
      </w:r>
    </w:p>
    <w:p w14:paraId="6D037D90" w14:textId="5DF6DCA5" w:rsidR="001545D9" w:rsidRPr="006F7271" w:rsidRDefault="001545D9" w:rsidP="001545D9">
      <w:pPr>
        <w:rPr>
          <w:rFonts w:ascii="Times New Roman" w:hAnsi="Times New Roman" w:cs="Times New Roman"/>
          <w:sz w:val="24"/>
          <w:szCs w:val="24"/>
          <w:lang w:val="en-US"/>
        </w:rPr>
      </w:pPr>
      <w:r w:rsidRPr="006F7271">
        <w:rPr>
          <w:rFonts w:ascii="Times New Roman" w:hAnsi="Times New Roman" w:cs="Times New Roman"/>
          <w:sz w:val="24"/>
          <w:szCs w:val="24"/>
          <w:lang w:val="en-US"/>
        </w:rPr>
        <w:t xml:space="preserve">        </w:t>
      </w:r>
      <w:r w:rsidRPr="006F7271">
        <w:rPr>
          <w:rFonts w:ascii="Times New Roman" w:hAnsi="Times New Roman" w:cs="Times New Roman"/>
          <w:sz w:val="24"/>
          <w:szCs w:val="24"/>
          <w:lang w:val="en-US"/>
        </w:rPr>
        <w:t xml:space="preserve">Sercu, P., &amp; Uppal, R. (1995). </w:t>
      </w:r>
      <w:r w:rsidRPr="006F7271">
        <w:rPr>
          <w:rFonts w:ascii="Times New Roman" w:hAnsi="Times New Roman" w:cs="Times New Roman"/>
          <w:i/>
          <w:iCs/>
          <w:sz w:val="24"/>
          <w:szCs w:val="24"/>
          <w:lang w:val="en-US"/>
        </w:rPr>
        <w:t>International financial markets and the firm</w:t>
      </w:r>
      <w:r w:rsidRPr="006F7271">
        <w:rPr>
          <w:rFonts w:ascii="Times New Roman" w:hAnsi="Times New Roman" w:cs="Times New Roman"/>
          <w:sz w:val="24"/>
          <w:szCs w:val="24"/>
          <w:lang w:val="en-US"/>
        </w:rPr>
        <w:t xml:space="preserve">. South-Western College Pub. </w:t>
      </w:r>
    </w:p>
    <w:p w14:paraId="07C63BB8" w14:textId="37AE0426" w:rsidR="001545D9" w:rsidRPr="00162384" w:rsidRDefault="001545D9" w:rsidP="001545D9">
      <w:pPr>
        <w:rPr>
          <w:rFonts w:ascii="Times New Roman" w:hAnsi="Times New Roman" w:cs="Times New Roman"/>
          <w:lang w:val="en-US"/>
        </w:rPr>
      </w:pPr>
      <w:r w:rsidRPr="006F7271">
        <w:rPr>
          <w:rFonts w:ascii="Times New Roman" w:hAnsi="Times New Roman" w:cs="Times New Roman"/>
          <w:sz w:val="24"/>
          <w:szCs w:val="24"/>
          <w:lang w:val="en-US"/>
        </w:rPr>
        <w:t xml:space="preserve">       </w:t>
      </w:r>
      <w:r w:rsidRPr="006F7271">
        <w:rPr>
          <w:rFonts w:ascii="Times New Roman" w:hAnsi="Times New Roman" w:cs="Times New Roman"/>
          <w:sz w:val="24"/>
          <w:szCs w:val="24"/>
          <w:lang w:val="en-US"/>
        </w:rPr>
        <w:t xml:space="preserve">Shapiro, A. C. (2006). </w:t>
      </w:r>
      <w:r w:rsidRPr="006F7271">
        <w:rPr>
          <w:rFonts w:ascii="Times New Roman" w:hAnsi="Times New Roman" w:cs="Times New Roman"/>
          <w:i/>
          <w:iCs/>
          <w:sz w:val="24"/>
          <w:szCs w:val="24"/>
          <w:lang w:val="en-US"/>
        </w:rPr>
        <w:t>Multinational financial management</w:t>
      </w:r>
      <w:r w:rsidRPr="006F7271">
        <w:rPr>
          <w:rFonts w:ascii="Times New Roman" w:hAnsi="Times New Roman" w:cs="Times New Roman"/>
          <w:sz w:val="24"/>
          <w:szCs w:val="24"/>
          <w:lang w:val="en-US"/>
        </w:rPr>
        <w:t>. Jo</w:t>
      </w:r>
      <w:r w:rsidRPr="00162384">
        <w:rPr>
          <w:rFonts w:ascii="Times New Roman" w:hAnsi="Times New Roman" w:cs="Times New Roman"/>
          <w:lang w:val="en-US"/>
        </w:rPr>
        <w:t>hn Wiley &amp; Sons.</w:t>
      </w:r>
    </w:p>
    <w:sectPr w:rsidR="001545D9" w:rsidRPr="001623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E5F2BDF"/>
    <w:multiLevelType w:val="hybridMultilevel"/>
    <w:tmpl w:val="9CF866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B56C7B"/>
    <w:multiLevelType w:val="hybridMultilevel"/>
    <w:tmpl w:val="7A581F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9F7D24"/>
    <w:multiLevelType w:val="hybridMultilevel"/>
    <w:tmpl w:val="585AED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016315">
    <w:abstractNumId w:val="1"/>
  </w:num>
  <w:num w:numId="2" w16cid:durableId="1489400700">
    <w:abstractNumId w:val="2"/>
  </w:num>
  <w:num w:numId="3" w16cid:durableId="14555164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754F"/>
    <w:rsid w:val="001545D9"/>
    <w:rsid w:val="00162384"/>
    <w:rsid w:val="004461DB"/>
    <w:rsid w:val="006F7271"/>
    <w:rsid w:val="008061EA"/>
    <w:rsid w:val="00A66D0E"/>
    <w:rsid w:val="00B60ABC"/>
    <w:rsid w:val="00C375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93EED"/>
  <w15:chartTrackingRefBased/>
  <w15:docId w15:val="{1EBBB068-F179-46B8-9589-95F61C6FB6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75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75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75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75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75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75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75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75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75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75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75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75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75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75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75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75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75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754F"/>
    <w:rPr>
      <w:rFonts w:eastAsiaTheme="majorEastAsia" w:cstheme="majorBidi"/>
      <w:color w:val="272727" w:themeColor="text1" w:themeTint="D8"/>
    </w:rPr>
  </w:style>
  <w:style w:type="paragraph" w:styleId="Title">
    <w:name w:val="Title"/>
    <w:basedOn w:val="Normal"/>
    <w:next w:val="Normal"/>
    <w:link w:val="TitleChar"/>
    <w:uiPriority w:val="10"/>
    <w:qFormat/>
    <w:rsid w:val="00C375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75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75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75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754F"/>
    <w:pPr>
      <w:spacing w:before="160"/>
      <w:jc w:val="center"/>
    </w:pPr>
    <w:rPr>
      <w:i/>
      <w:iCs/>
      <w:color w:val="404040" w:themeColor="text1" w:themeTint="BF"/>
    </w:rPr>
  </w:style>
  <w:style w:type="character" w:customStyle="1" w:styleId="QuoteChar">
    <w:name w:val="Quote Char"/>
    <w:basedOn w:val="DefaultParagraphFont"/>
    <w:link w:val="Quote"/>
    <w:uiPriority w:val="29"/>
    <w:rsid w:val="00C3754F"/>
    <w:rPr>
      <w:i/>
      <w:iCs/>
      <w:color w:val="404040" w:themeColor="text1" w:themeTint="BF"/>
    </w:rPr>
  </w:style>
  <w:style w:type="paragraph" w:styleId="ListParagraph">
    <w:name w:val="List Paragraph"/>
    <w:basedOn w:val="Normal"/>
    <w:uiPriority w:val="34"/>
    <w:qFormat/>
    <w:rsid w:val="00C3754F"/>
    <w:pPr>
      <w:ind w:left="720"/>
      <w:contextualSpacing/>
    </w:pPr>
  </w:style>
  <w:style w:type="character" w:styleId="IntenseEmphasis">
    <w:name w:val="Intense Emphasis"/>
    <w:basedOn w:val="DefaultParagraphFont"/>
    <w:uiPriority w:val="21"/>
    <w:qFormat/>
    <w:rsid w:val="00C3754F"/>
    <w:rPr>
      <w:i/>
      <w:iCs/>
      <w:color w:val="0F4761" w:themeColor="accent1" w:themeShade="BF"/>
    </w:rPr>
  </w:style>
  <w:style w:type="paragraph" w:styleId="IntenseQuote">
    <w:name w:val="Intense Quote"/>
    <w:basedOn w:val="Normal"/>
    <w:next w:val="Normal"/>
    <w:link w:val="IntenseQuoteChar"/>
    <w:uiPriority w:val="30"/>
    <w:qFormat/>
    <w:rsid w:val="00C375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754F"/>
    <w:rPr>
      <w:i/>
      <w:iCs/>
      <w:color w:val="0F4761" w:themeColor="accent1" w:themeShade="BF"/>
    </w:rPr>
  </w:style>
  <w:style w:type="character" w:styleId="IntenseReference">
    <w:name w:val="Intense Reference"/>
    <w:basedOn w:val="DefaultParagraphFont"/>
    <w:uiPriority w:val="32"/>
    <w:qFormat/>
    <w:rsid w:val="00C3754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w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6</Pages>
  <Words>1681</Words>
  <Characters>9588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17radosveta.terzieva</dc:creator>
  <cp:keywords/>
  <dc:description/>
  <cp:lastModifiedBy>17radosveta.terzieva</cp:lastModifiedBy>
  <cp:revision>2</cp:revision>
  <dcterms:created xsi:type="dcterms:W3CDTF">2024-08-23T11:22:00Z</dcterms:created>
  <dcterms:modified xsi:type="dcterms:W3CDTF">2024-08-24T09:27:00Z</dcterms:modified>
</cp:coreProperties>
</file>