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A11DB" w14:textId="61B97A0C" w:rsidR="008337DB" w:rsidRDefault="0028752D" w:rsidP="008337DB">
      <w:pPr>
        <w:spacing w:line="259" w:lineRule="auto"/>
        <w:jc w:val="center"/>
        <w:rPr>
          <w:b/>
        </w:rPr>
      </w:pPr>
      <w:r>
        <w:rPr>
          <w:noProof/>
        </w:rPr>
        <w:drawing>
          <wp:inline distT="0" distB="0" distL="0" distR="0" wp14:anchorId="238BF6ED" wp14:editId="4B8CB066">
            <wp:extent cx="4581525" cy="26384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81525" cy="2638425"/>
                    </a:xfrm>
                    <a:prstGeom prst="rect">
                      <a:avLst/>
                    </a:prstGeom>
                  </pic:spPr>
                </pic:pic>
              </a:graphicData>
            </a:graphic>
          </wp:inline>
        </w:drawing>
      </w:r>
    </w:p>
    <w:p w14:paraId="38EBC8BD" w14:textId="77777777" w:rsidR="008337DB" w:rsidRDefault="005E1E93">
      <w:pPr>
        <w:spacing w:line="259" w:lineRule="auto"/>
        <w:jc w:val="left"/>
        <w:rPr>
          <w:b/>
        </w:rPr>
      </w:pPr>
      <w:r>
        <w:rPr>
          <w:b/>
        </w:rPr>
        <w:br w:type="page"/>
      </w:r>
    </w:p>
    <w:sdt>
      <w:sdtPr>
        <w:rPr>
          <w:rFonts w:ascii="Times New Roman" w:eastAsiaTheme="minorHAnsi" w:hAnsi="Times New Roman" w:cstheme="minorBidi"/>
          <w:color w:val="000000" w:themeColor="text1"/>
          <w:sz w:val="24"/>
          <w:szCs w:val="22"/>
        </w:rPr>
        <w:id w:val="707615659"/>
        <w:docPartObj>
          <w:docPartGallery w:val="Table of Contents"/>
          <w:docPartUnique/>
        </w:docPartObj>
      </w:sdtPr>
      <w:sdtEndPr>
        <w:rPr>
          <w:b/>
          <w:bCs/>
          <w:noProof/>
        </w:rPr>
      </w:sdtEndPr>
      <w:sdtContent>
        <w:p w14:paraId="4880CDC1" w14:textId="77777777" w:rsidR="008337DB" w:rsidRPr="008337DB" w:rsidRDefault="005E1E93" w:rsidP="008337DB">
          <w:pPr>
            <w:pStyle w:val="TOCHeading"/>
            <w:jc w:val="center"/>
            <w:rPr>
              <w:rFonts w:ascii="Times New Roman" w:hAnsi="Times New Roman" w:cs="Times New Roman"/>
              <w:b/>
              <w:color w:val="000000" w:themeColor="text1"/>
            </w:rPr>
          </w:pPr>
          <w:r w:rsidRPr="008337DB">
            <w:rPr>
              <w:rFonts w:ascii="Times New Roman" w:hAnsi="Times New Roman" w:cs="Times New Roman"/>
              <w:b/>
              <w:color w:val="000000" w:themeColor="text1"/>
            </w:rPr>
            <w:t>Table of Contents</w:t>
          </w:r>
        </w:p>
        <w:p w14:paraId="10624FD0" w14:textId="77777777" w:rsidR="00CF42E9" w:rsidRDefault="005E1E93">
          <w:pPr>
            <w:pStyle w:val="TOC1"/>
            <w:tabs>
              <w:tab w:val="left" w:pos="440"/>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67811832" w:history="1">
            <w:r w:rsidRPr="00A5745C">
              <w:rPr>
                <w:rStyle w:val="Hyperlink"/>
                <w:noProof/>
              </w:rPr>
              <w:t>1</w:t>
            </w:r>
            <w:r>
              <w:rPr>
                <w:rFonts w:asciiTheme="minorHAnsi" w:eastAsiaTheme="minorEastAsia" w:hAnsiTheme="minorHAnsi"/>
                <w:noProof/>
                <w:color w:val="auto"/>
                <w:sz w:val="22"/>
              </w:rPr>
              <w:tab/>
            </w:r>
            <w:r w:rsidRPr="00A5745C">
              <w:rPr>
                <w:rStyle w:val="Hyperlink"/>
                <w:noProof/>
              </w:rPr>
              <w:t>Introduction</w:t>
            </w:r>
            <w:r>
              <w:rPr>
                <w:noProof/>
                <w:webHidden/>
              </w:rPr>
              <w:tab/>
            </w:r>
            <w:r>
              <w:rPr>
                <w:noProof/>
                <w:webHidden/>
              </w:rPr>
              <w:fldChar w:fldCharType="begin"/>
            </w:r>
            <w:r>
              <w:rPr>
                <w:noProof/>
                <w:webHidden/>
              </w:rPr>
              <w:instrText xml:space="preserve"> PAGEREF _Toc167811832 \h </w:instrText>
            </w:r>
            <w:r>
              <w:rPr>
                <w:noProof/>
                <w:webHidden/>
              </w:rPr>
            </w:r>
            <w:r>
              <w:rPr>
                <w:noProof/>
                <w:webHidden/>
              </w:rPr>
              <w:fldChar w:fldCharType="separate"/>
            </w:r>
            <w:r>
              <w:rPr>
                <w:noProof/>
                <w:webHidden/>
              </w:rPr>
              <w:t>3</w:t>
            </w:r>
            <w:r>
              <w:rPr>
                <w:noProof/>
                <w:webHidden/>
              </w:rPr>
              <w:fldChar w:fldCharType="end"/>
            </w:r>
          </w:hyperlink>
        </w:p>
        <w:p w14:paraId="269CAB37" w14:textId="77777777" w:rsidR="00CF42E9" w:rsidRDefault="00000000">
          <w:pPr>
            <w:pStyle w:val="TOC1"/>
            <w:tabs>
              <w:tab w:val="left" w:pos="440"/>
              <w:tab w:val="right" w:leader="dot" w:pos="9350"/>
            </w:tabs>
            <w:rPr>
              <w:rFonts w:asciiTheme="minorHAnsi" w:eastAsiaTheme="minorEastAsia" w:hAnsiTheme="minorHAnsi"/>
              <w:noProof/>
              <w:color w:val="auto"/>
              <w:sz w:val="22"/>
            </w:rPr>
          </w:pPr>
          <w:hyperlink w:anchor="_Toc167811833" w:history="1">
            <w:r w:rsidR="005E1E93" w:rsidRPr="00A5745C">
              <w:rPr>
                <w:rStyle w:val="Hyperlink"/>
                <w:noProof/>
              </w:rPr>
              <w:t>2</w:t>
            </w:r>
            <w:r w:rsidR="005E1E93">
              <w:rPr>
                <w:rFonts w:asciiTheme="minorHAnsi" w:eastAsiaTheme="minorEastAsia" w:hAnsiTheme="minorHAnsi"/>
                <w:noProof/>
                <w:color w:val="auto"/>
                <w:sz w:val="22"/>
              </w:rPr>
              <w:tab/>
            </w:r>
            <w:r w:rsidR="005E1E93" w:rsidRPr="00A5745C">
              <w:rPr>
                <w:rStyle w:val="Hyperlink"/>
                <w:noProof/>
              </w:rPr>
              <w:t>Market Analysis of Seacrest Lodge</w:t>
            </w:r>
            <w:r w:rsidR="005E1E93">
              <w:rPr>
                <w:noProof/>
                <w:webHidden/>
              </w:rPr>
              <w:tab/>
            </w:r>
            <w:r w:rsidR="005E1E93">
              <w:rPr>
                <w:noProof/>
                <w:webHidden/>
              </w:rPr>
              <w:fldChar w:fldCharType="begin"/>
            </w:r>
            <w:r w:rsidR="005E1E93">
              <w:rPr>
                <w:noProof/>
                <w:webHidden/>
              </w:rPr>
              <w:instrText xml:space="preserve"> PAGEREF _Toc167811833 \h </w:instrText>
            </w:r>
            <w:r w:rsidR="005E1E93">
              <w:rPr>
                <w:noProof/>
                <w:webHidden/>
              </w:rPr>
            </w:r>
            <w:r w:rsidR="005E1E93">
              <w:rPr>
                <w:noProof/>
                <w:webHidden/>
              </w:rPr>
              <w:fldChar w:fldCharType="separate"/>
            </w:r>
            <w:r w:rsidR="005E1E93">
              <w:rPr>
                <w:noProof/>
                <w:webHidden/>
              </w:rPr>
              <w:t>3</w:t>
            </w:r>
            <w:r w:rsidR="005E1E93">
              <w:rPr>
                <w:noProof/>
                <w:webHidden/>
              </w:rPr>
              <w:fldChar w:fldCharType="end"/>
            </w:r>
          </w:hyperlink>
        </w:p>
        <w:p w14:paraId="63612FD9" w14:textId="77777777" w:rsidR="00CF42E9" w:rsidRDefault="00000000">
          <w:pPr>
            <w:pStyle w:val="TOC1"/>
            <w:tabs>
              <w:tab w:val="left" w:pos="440"/>
              <w:tab w:val="right" w:leader="dot" w:pos="9350"/>
            </w:tabs>
            <w:rPr>
              <w:rFonts w:asciiTheme="minorHAnsi" w:eastAsiaTheme="minorEastAsia" w:hAnsiTheme="minorHAnsi"/>
              <w:noProof/>
              <w:color w:val="auto"/>
              <w:sz w:val="22"/>
            </w:rPr>
          </w:pPr>
          <w:hyperlink w:anchor="_Toc167811834" w:history="1">
            <w:r w:rsidR="005E1E93" w:rsidRPr="00A5745C">
              <w:rPr>
                <w:rStyle w:val="Hyperlink"/>
                <w:noProof/>
              </w:rPr>
              <w:t>3</w:t>
            </w:r>
            <w:r w:rsidR="005E1E93">
              <w:rPr>
                <w:rFonts w:asciiTheme="minorHAnsi" w:eastAsiaTheme="minorEastAsia" w:hAnsiTheme="minorHAnsi"/>
                <w:noProof/>
                <w:color w:val="auto"/>
                <w:sz w:val="22"/>
              </w:rPr>
              <w:tab/>
            </w:r>
            <w:r w:rsidR="005E1E93" w:rsidRPr="00A5745C">
              <w:rPr>
                <w:rStyle w:val="Hyperlink"/>
                <w:noProof/>
              </w:rPr>
              <w:t>Scope and objectives</w:t>
            </w:r>
            <w:r w:rsidR="005E1E93">
              <w:rPr>
                <w:noProof/>
                <w:webHidden/>
              </w:rPr>
              <w:tab/>
            </w:r>
            <w:r w:rsidR="005E1E93">
              <w:rPr>
                <w:noProof/>
                <w:webHidden/>
              </w:rPr>
              <w:fldChar w:fldCharType="begin"/>
            </w:r>
            <w:r w:rsidR="005E1E93">
              <w:rPr>
                <w:noProof/>
                <w:webHidden/>
              </w:rPr>
              <w:instrText xml:space="preserve"> PAGEREF _Toc167811834 \h </w:instrText>
            </w:r>
            <w:r w:rsidR="005E1E93">
              <w:rPr>
                <w:noProof/>
                <w:webHidden/>
              </w:rPr>
            </w:r>
            <w:r w:rsidR="005E1E93">
              <w:rPr>
                <w:noProof/>
                <w:webHidden/>
              </w:rPr>
              <w:fldChar w:fldCharType="separate"/>
            </w:r>
            <w:r w:rsidR="005E1E93">
              <w:rPr>
                <w:noProof/>
                <w:webHidden/>
              </w:rPr>
              <w:t>4</w:t>
            </w:r>
            <w:r w:rsidR="005E1E93">
              <w:rPr>
                <w:noProof/>
                <w:webHidden/>
              </w:rPr>
              <w:fldChar w:fldCharType="end"/>
            </w:r>
          </w:hyperlink>
        </w:p>
        <w:p w14:paraId="227593FE" w14:textId="77777777" w:rsidR="00CF42E9" w:rsidRDefault="00000000">
          <w:pPr>
            <w:pStyle w:val="TOC1"/>
            <w:tabs>
              <w:tab w:val="left" w:pos="440"/>
              <w:tab w:val="right" w:leader="dot" w:pos="9350"/>
            </w:tabs>
            <w:rPr>
              <w:rFonts w:asciiTheme="minorHAnsi" w:eastAsiaTheme="minorEastAsia" w:hAnsiTheme="minorHAnsi"/>
              <w:noProof/>
              <w:color w:val="auto"/>
              <w:sz w:val="22"/>
            </w:rPr>
          </w:pPr>
          <w:hyperlink w:anchor="_Toc167811835" w:history="1">
            <w:r w:rsidR="005E1E93" w:rsidRPr="00A5745C">
              <w:rPr>
                <w:rStyle w:val="Hyperlink"/>
                <w:noProof/>
              </w:rPr>
              <w:t>4</w:t>
            </w:r>
            <w:r w:rsidR="005E1E93">
              <w:rPr>
                <w:rFonts w:asciiTheme="minorHAnsi" w:eastAsiaTheme="minorEastAsia" w:hAnsiTheme="minorHAnsi"/>
                <w:noProof/>
                <w:color w:val="auto"/>
                <w:sz w:val="22"/>
              </w:rPr>
              <w:tab/>
            </w:r>
            <w:r w:rsidR="005E1E93" w:rsidRPr="00A5745C">
              <w:rPr>
                <w:rStyle w:val="Hyperlink"/>
                <w:noProof/>
                <w:shd w:val="clear" w:color="auto" w:fill="FFFFFF"/>
              </w:rPr>
              <w:t>Financial analysis</w:t>
            </w:r>
            <w:r w:rsidR="005E1E93">
              <w:rPr>
                <w:noProof/>
                <w:webHidden/>
              </w:rPr>
              <w:tab/>
            </w:r>
            <w:r w:rsidR="005E1E93">
              <w:rPr>
                <w:noProof/>
                <w:webHidden/>
              </w:rPr>
              <w:fldChar w:fldCharType="begin"/>
            </w:r>
            <w:r w:rsidR="005E1E93">
              <w:rPr>
                <w:noProof/>
                <w:webHidden/>
              </w:rPr>
              <w:instrText xml:space="preserve"> PAGEREF _Toc167811835 \h </w:instrText>
            </w:r>
            <w:r w:rsidR="005E1E93">
              <w:rPr>
                <w:noProof/>
                <w:webHidden/>
              </w:rPr>
            </w:r>
            <w:r w:rsidR="005E1E93">
              <w:rPr>
                <w:noProof/>
                <w:webHidden/>
              </w:rPr>
              <w:fldChar w:fldCharType="separate"/>
            </w:r>
            <w:r w:rsidR="005E1E93">
              <w:rPr>
                <w:noProof/>
                <w:webHidden/>
              </w:rPr>
              <w:t>4</w:t>
            </w:r>
            <w:r w:rsidR="005E1E93">
              <w:rPr>
                <w:noProof/>
                <w:webHidden/>
              </w:rPr>
              <w:fldChar w:fldCharType="end"/>
            </w:r>
          </w:hyperlink>
        </w:p>
        <w:p w14:paraId="13BB29EE" w14:textId="77777777" w:rsidR="00CF42E9" w:rsidRDefault="00000000">
          <w:pPr>
            <w:pStyle w:val="TOC2"/>
            <w:tabs>
              <w:tab w:val="left" w:pos="880"/>
              <w:tab w:val="right" w:leader="dot" w:pos="9350"/>
            </w:tabs>
            <w:rPr>
              <w:noProof/>
            </w:rPr>
          </w:pPr>
          <w:hyperlink w:anchor="_Toc167811836" w:history="1">
            <w:r w:rsidR="005E1E93" w:rsidRPr="00A5745C">
              <w:rPr>
                <w:rStyle w:val="Hyperlink"/>
                <w:noProof/>
              </w:rPr>
              <w:t>4.1</w:t>
            </w:r>
            <w:r w:rsidR="005E1E93">
              <w:rPr>
                <w:noProof/>
              </w:rPr>
              <w:tab/>
            </w:r>
            <w:r w:rsidR="005E1E93" w:rsidRPr="00A5745C">
              <w:rPr>
                <w:rStyle w:val="Hyperlink"/>
                <w:noProof/>
              </w:rPr>
              <w:t>Income Statement</w:t>
            </w:r>
            <w:r w:rsidR="005E1E93">
              <w:rPr>
                <w:noProof/>
                <w:webHidden/>
              </w:rPr>
              <w:tab/>
            </w:r>
            <w:r w:rsidR="005E1E93">
              <w:rPr>
                <w:noProof/>
                <w:webHidden/>
              </w:rPr>
              <w:fldChar w:fldCharType="begin"/>
            </w:r>
            <w:r w:rsidR="005E1E93">
              <w:rPr>
                <w:noProof/>
                <w:webHidden/>
              </w:rPr>
              <w:instrText xml:space="preserve"> PAGEREF _Toc167811836 \h </w:instrText>
            </w:r>
            <w:r w:rsidR="005E1E93">
              <w:rPr>
                <w:noProof/>
                <w:webHidden/>
              </w:rPr>
            </w:r>
            <w:r w:rsidR="005E1E93">
              <w:rPr>
                <w:noProof/>
                <w:webHidden/>
              </w:rPr>
              <w:fldChar w:fldCharType="separate"/>
            </w:r>
            <w:r w:rsidR="005E1E93">
              <w:rPr>
                <w:noProof/>
                <w:webHidden/>
              </w:rPr>
              <w:t>4</w:t>
            </w:r>
            <w:r w:rsidR="005E1E93">
              <w:rPr>
                <w:noProof/>
                <w:webHidden/>
              </w:rPr>
              <w:fldChar w:fldCharType="end"/>
            </w:r>
          </w:hyperlink>
        </w:p>
        <w:p w14:paraId="0E443AD9" w14:textId="77777777" w:rsidR="00CF42E9" w:rsidRDefault="00000000">
          <w:pPr>
            <w:pStyle w:val="TOC2"/>
            <w:tabs>
              <w:tab w:val="left" w:pos="880"/>
              <w:tab w:val="right" w:leader="dot" w:pos="9350"/>
            </w:tabs>
            <w:rPr>
              <w:noProof/>
            </w:rPr>
          </w:pPr>
          <w:hyperlink w:anchor="_Toc167811837" w:history="1">
            <w:r w:rsidR="005E1E93" w:rsidRPr="00A5745C">
              <w:rPr>
                <w:rStyle w:val="Hyperlink"/>
                <w:noProof/>
              </w:rPr>
              <w:t>4.2</w:t>
            </w:r>
            <w:r w:rsidR="005E1E93">
              <w:rPr>
                <w:noProof/>
              </w:rPr>
              <w:tab/>
            </w:r>
            <w:r w:rsidR="005E1E93" w:rsidRPr="00A5745C">
              <w:rPr>
                <w:rStyle w:val="Hyperlink"/>
                <w:noProof/>
              </w:rPr>
              <w:t>Balance Sheet</w:t>
            </w:r>
            <w:r w:rsidR="005E1E93">
              <w:rPr>
                <w:noProof/>
                <w:webHidden/>
              </w:rPr>
              <w:tab/>
            </w:r>
            <w:r w:rsidR="005E1E93">
              <w:rPr>
                <w:noProof/>
                <w:webHidden/>
              </w:rPr>
              <w:fldChar w:fldCharType="begin"/>
            </w:r>
            <w:r w:rsidR="005E1E93">
              <w:rPr>
                <w:noProof/>
                <w:webHidden/>
              </w:rPr>
              <w:instrText xml:space="preserve"> PAGEREF _Toc167811837 \h </w:instrText>
            </w:r>
            <w:r w:rsidR="005E1E93">
              <w:rPr>
                <w:noProof/>
                <w:webHidden/>
              </w:rPr>
            </w:r>
            <w:r w:rsidR="005E1E93">
              <w:rPr>
                <w:noProof/>
                <w:webHidden/>
              </w:rPr>
              <w:fldChar w:fldCharType="separate"/>
            </w:r>
            <w:r w:rsidR="005E1E93">
              <w:rPr>
                <w:noProof/>
                <w:webHidden/>
              </w:rPr>
              <w:t>5</w:t>
            </w:r>
            <w:r w:rsidR="005E1E93">
              <w:rPr>
                <w:noProof/>
                <w:webHidden/>
              </w:rPr>
              <w:fldChar w:fldCharType="end"/>
            </w:r>
          </w:hyperlink>
        </w:p>
        <w:p w14:paraId="6A9250D3" w14:textId="77777777" w:rsidR="00CF42E9" w:rsidRDefault="00000000">
          <w:pPr>
            <w:pStyle w:val="TOC1"/>
            <w:tabs>
              <w:tab w:val="left" w:pos="440"/>
              <w:tab w:val="right" w:leader="dot" w:pos="9350"/>
            </w:tabs>
            <w:rPr>
              <w:rFonts w:asciiTheme="minorHAnsi" w:eastAsiaTheme="minorEastAsia" w:hAnsiTheme="minorHAnsi"/>
              <w:noProof/>
              <w:color w:val="auto"/>
              <w:sz w:val="22"/>
            </w:rPr>
          </w:pPr>
          <w:hyperlink w:anchor="_Toc167811838" w:history="1">
            <w:r w:rsidR="005E1E93" w:rsidRPr="00A5745C">
              <w:rPr>
                <w:rStyle w:val="Hyperlink"/>
                <w:noProof/>
              </w:rPr>
              <w:t>5</w:t>
            </w:r>
            <w:r w:rsidR="005E1E93">
              <w:rPr>
                <w:rFonts w:asciiTheme="minorHAnsi" w:eastAsiaTheme="minorEastAsia" w:hAnsiTheme="minorHAnsi"/>
                <w:noProof/>
                <w:color w:val="auto"/>
                <w:sz w:val="22"/>
              </w:rPr>
              <w:tab/>
            </w:r>
            <w:r w:rsidR="005E1E93" w:rsidRPr="00A5745C">
              <w:rPr>
                <w:rStyle w:val="Hyperlink"/>
                <w:noProof/>
                <w:shd w:val="clear" w:color="auto" w:fill="FFFFFF"/>
              </w:rPr>
              <w:t>Additional financial information</w:t>
            </w:r>
            <w:r w:rsidR="005E1E93">
              <w:rPr>
                <w:noProof/>
                <w:webHidden/>
              </w:rPr>
              <w:tab/>
            </w:r>
            <w:r w:rsidR="005E1E93">
              <w:rPr>
                <w:noProof/>
                <w:webHidden/>
              </w:rPr>
              <w:fldChar w:fldCharType="begin"/>
            </w:r>
            <w:r w:rsidR="005E1E93">
              <w:rPr>
                <w:noProof/>
                <w:webHidden/>
              </w:rPr>
              <w:instrText xml:space="preserve"> PAGEREF _Toc167811838 \h </w:instrText>
            </w:r>
            <w:r w:rsidR="005E1E93">
              <w:rPr>
                <w:noProof/>
                <w:webHidden/>
              </w:rPr>
            </w:r>
            <w:r w:rsidR="005E1E93">
              <w:rPr>
                <w:noProof/>
                <w:webHidden/>
              </w:rPr>
              <w:fldChar w:fldCharType="separate"/>
            </w:r>
            <w:r w:rsidR="005E1E93">
              <w:rPr>
                <w:noProof/>
                <w:webHidden/>
              </w:rPr>
              <w:t>6</w:t>
            </w:r>
            <w:r w:rsidR="005E1E93">
              <w:rPr>
                <w:noProof/>
                <w:webHidden/>
              </w:rPr>
              <w:fldChar w:fldCharType="end"/>
            </w:r>
          </w:hyperlink>
        </w:p>
        <w:p w14:paraId="0A339F20" w14:textId="77777777" w:rsidR="00CF42E9" w:rsidRDefault="00000000">
          <w:pPr>
            <w:pStyle w:val="TOC2"/>
            <w:tabs>
              <w:tab w:val="left" w:pos="880"/>
              <w:tab w:val="right" w:leader="dot" w:pos="9350"/>
            </w:tabs>
            <w:rPr>
              <w:noProof/>
            </w:rPr>
          </w:pPr>
          <w:hyperlink w:anchor="_Toc167811839" w:history="1">
            <w:r w:rsidR="005E1E93" w:rsidRPr="00A5745C">
              <w:rPr>
                <w:rStyle w:val="Hyperlink"/>
                <w:noProof/>
              </w:rPr>
              <w:t>5.1</w:t>
            </w:r>
            <w:r w:rsidR="005E1E93">
              <w:rPr>
                <w:noProof/>
              </w:rPr>
              <w:tab/>
            </w:r>
            <w:r w:rsidR="005E1E93" w:rsidRPr="00A5745C">
              <w:rPr>
                <w:rStyle w:val="Hyperlink"/>
                <w:noProof/>
              </w:rPr>
              <w:t>Average room rate</w:t>
            </w:r>
            <w:r w:rsidR="005E1E93">
              <w:rPr>
                <w:noProof/>
                <w:webHidden/>
              </w:rPr>
              <w:tab/>
            </w:r>
            <w:r w:rsidR="005E1E93">
              <w:rPr>
                <w:noProof/>
                <w:webHidden/>
              </w:rPr>
              <w:fldChar w:fldCharType="begin"/>
            </w:r>
            <w:r w:rsidR="005E1E93">
              <w:rPr>
                <w:noProof/>
                <w:webHidden/>
              </w:rPr>
              <w:instrText xml:space="preserve"> PAGEREF _Toc167811839 \h </w:instrText>
            </w:r>
            <w:r w:rsidR="005E1E93">
              <w:rPr>
                <w:noProof/>
                <w:webHidden/>
              </w:rPr>
            </w:r>
            <w:r w:rsidR="005E1E93">
              <w:rPr>
                <w:noProof/>
                <w:webHidden/>
              </w:rPr>
              <w:fldChar w:fldCharType="separate"/>
            </w:r>
            <w:r w:rsidR="005E1E93">
              <w:rPr>
                <w:noProof/>
                <w:webHidden/>
              </w:rPr>
              <w:t>6</w:t>
            </w:r>
            <w:r w:rsidR="005E1E93">
              <w:rPr>
                <w:noProof/>
                <w:webHidden/>
              </w:rPr>
              <w:fldChar w:fldCharType="end"/>
            </w:r>
          </w:hyperlink>
        </w:p>
        <w:p w14:paraId="796C3463" w14:textId="77777777" w:rsidR="00CF42E9" w:rsidRDefault="00000000">
          <w:pPr>
            <w:pStyle w:val="TOC2"/>
            <w:tabs>
              <w:tab w:val="left" w:pos="880"/>
              <w:tab w:val="right" w:leader="dot" w:pos="9350"/>
            </w:tabs>
            <w:rPr>
              <w:noProof/>
            </w:rPr>
          </w:pPr>
          <w:hyperlink w:anchor="_Toc167811840" w:history="1">
            <w:r w:rsidR="005E1E93" w:rsidRPr="00A5745C">
              <w:rPr>
                <w:rStyle w:val="Hyperlink"/>
                <w:noProof/>
              </w:rPr>
              <w:t>5.2</w:t>
            </w:r>
            <w:r w:rsidR="005E1E93">
              <w:rPr>
                <w:noProof/>
              </w:rPr>
              <w:tab/>
            </w:r>
            <w:r w:rsidR="005E1E93" w:rsidRPr="00A5745C">
              <w:rPr>
                <w:rStyle w:val="Hyperlink"/>
                <w:noProof/>
              </w:rPr>
              <w:t>Occupancy rate</w:t>
            </w:r>
            <w:r w:rsidR="005E1E93">
              <w:rPr>
                <w:noProof/>
                <w:webHidden/>
              </w:rPr>
              <w:tab/>
            </w:r>
            <w:r w:rsidR="005E1E93">
              <w:rPr>
                <w:noProof/>
                <w:webHidden/>
              </w:rPr>
              <w:fldChar w:fldCharType="begin"/>
            </w:r>
            <w:r w:rsidR="005E1E93">
              <w:rPr>
                <w:noProof/>
                <w:webHidden/>
              </w:rPr>
              <w:instrText xml:space="preserve"> PAGEREF _Toc167811840 \h </w:instrText>
            </w:r>
            <w:r w:rsidR="005E1E93">
              <w:rPr>
                <w:noProof/>
                <w:webHidden/>
              </w:rPr>
            </w:r>
            <w:r w:rsidR="005E1E93">
              <w:rPr>
                <w:noProof/>
                <w:webHidden/>
              </w:rPr>
              <w:fldChar w:fldCharType="separate"/>
            </w:r>
            <w:r w:rsidR="005E1E93">
              <w:rPr>
                <w:noProof/>
                <w:webHidden/>
              </w:rPr>
              <w:t>6</w:t>
            </w:r>
            <w:r w:rsidR="005E1E93">
              <w:rPr>
                <w:noProof/>
                <w:webHidden/>
              </w:rPr>
              <w:fldChar w:fldCharType="end"/>
            </w:r>
          </w:hyperlink>
        </w:p>
        <w:p w14:paraId="4722A8C9" w14:textId="77777777" w:rsidR="00CF42E9" w:rsidRDefault="00000000">
          <w:pPr>
            <w:pStyle w:val="TOC1"/>
            <w:tabs>
              <w:tab w:val="left" w:pos="440"/>
              <w:tab w:val="right" w:leader="dot" w:pos="9350"/>
            </w:tabs>
            <w:rPr>
              <w:rFonts w:asciiTheme="minorHAnsi" w:eastAsiaTheme="minorEastAsia" w:hAnsiTheme="minorHAnsi"/>
              <w:noProof/>
              <w:color w:val="auto"/>
              <w:sz w:val="22"/>
            </w:rPr>
          </w:pPr>
          <w:hyperlink w:anchor="_Toc167811841" w:history="1">
            <w:r w:rsidR="005E1E93" w:rsidRPr="00A5745C">
              <w:rPr>
                <w:rStyle w:val="Hyperlink"/>
                <w:noProof/>
              </w:rPr>
              <w:t>6</w:t>
            </w:r>
            <w:r w:rsidR="005E1E93">
              <w:rPr>
                <w:rFonts w:asciiTheme="minorHAnsi" w:eastAsiaTheme="minorEastAsia" w:hAnsiTheme="minorHAnsi"/>
                <w:noProof/>
                <w:color w:val="auto"/>
                <w:sz w:val="22"/>
              </w:rPr>
              <w:tab/>
            </w:r>
            <w:r w:rsidR="005E1E93" w:rsidRPr="00A5745C">
              <w:rPr>
                <w:rStyle w:val="Hyperlink"/>
                <w:noProof/>
              </w:rPr>
              <w:t>Turnaround strategy</w:t>
            </w:r>
            <w:r w:rsidR="005E1E93">
              <w:rPr>
                <w:noProof/>
                <w:webHidden/>
              </w:rPr>
              <w:tab/>
            </w:r>
            <w:r w:rsidR="005E1E93">
              <w:rPr>
                <w:noProof/>
                <w:webHidden/>
              </w:rPr>
              <w:fldChar w:fldCharType="begin"/>
            </w:r>
            <w:r w:rsidR="005E1E93">
              <w:rPr>
                <w:noProof/>
                <w:webHidden/>
              </w:rPr>
              <w:instrText xml:space="preserve"> PAGEREF _Toc167811841 \h </w:instrText>
            </w:r>
            <w:r w:rsidR="005E1E93">
              <w:rPr>
                <w:noProof/>
                <w:webHidden/>
              </w:rPr>
            </w:r>
            <w:r w:rsidR="005E1E93">
              <w:rPr>
                <w:noProof/>
                <w:webHidden/>
              </w:rPr>
              <w:fldChar w:fldCharType="separate"/>
            </w:r>
            <w:r w:rsidR="005E1E93">
              <w:rPr>
                <w:noProof/>
                <w:webHidden/>
              </w:rPr>
              <w:t>7</w:t>
            </w:r>
            <w:r w:rsidR="005E1E93">
              <w:rPr>
                <w:noProof/>
                <w:webHidden/>
              </w:rPr>
              <w:fldChar w:fldCharType="end"/>
            </w:r>
          </w:hyperlink>
        </w:p>
        <w:p w14:paraId="17B1F360" w14:textId="77777777" w:rsidR="00CF42E9" w:rsidRDefault="00000000">
          <w:pPr>
            <w:pStyle w:val="TOC1"/>
            <w:tabs>
              <w:tab w:val="left" w:pos="440"/>
              <w:tab w:val="right" w:leader="dot" w:pos="9350"/>
            </w:tabs>
            <w:rPr>
              <w:rFonts w:asciiTheme="minorHAnsi" w:eastAsiaTheme="minorEastAsia" w:hAnsiTheme="minorHAnsi"/>
              <w:noProof/>
              <w:color w:val="auto"/>
              <w:sz w:val="22"/>
            </w:rPr>
          </w:pPr>
          <w:hyperlink w:anchor="_Toc167811842" w:history="1">
            <w:r w:rsidR="005E1E93" w:rsidRPr="00A5745C">
              <w:rPr>
                <w:rStyle w:val="Hyperlink"/>
                <w:rFonts w:eastAsia="Times New Roman"/>
                <w:noProof/>
              </w:rPr>
              <w:t>7</w:t>
            </w:r>
            <w:r w:rsidR="005E1E93">
              <w:rPr>
                <w:rFonts w:asciiTheme="minorHAnsi" w:eastAsiaTheme="minorEastAsia" w:hAnsiTheme="minorHAnsi"/>
                <w:noProof/>
                <w:color w:val="auto"/>
                <w:sz w:val="22"/>
              </w:rPr>
              <w:tab/>
            </w:r>
            <w:r w:rsidR="005E1E93" w:rsidRPr="00A5745C">
              <w:rPr>
                <w:rStyle w:val="Hyperlink"/>
                <w:rFonts w:eastAsia="Times New Roman"/>
                <w:noProof/>
              </w:rPr>
              <w:t>Financial projections</w:t>
            </w:r>
            <w:r w:rsidR="005E1E93">
              <w:rPr>
                <w:noProof/>
                <w:webHidden/>
              </w:rPr>
              <w:tab/>
            </w:r>
            <w:r w:rsidR="005E1E93">
              <w:rPr>
                <w:noProof/>
                <w:webHidden/>
              </w:rPr>
              <w:fldChar w:fldCharType="begin"/>
            </w:r>
            <w:r w:rsidR="005E1E93">
              <w:rPr>
                <w:noProof/>
                <w:webHidden/>
              </w:rPr>
              <w:instrText xml:space="preserve"> PAGEREF _Toc167811842 \h </w:instrText>
            </w:r>
            <w:r w:rsidR="005E1E93">
              <w:rPr>
                <w:noProof/>
                <w:webHidden/>
              </w:rPr>
            </w:r>
            <w:r w:rsidR="005E1E93">
              <w:rPr>
                <w:noProof/>
                <w:webHidden/>
              </w:rPr>
              <w:fldChar w:fldCharType="separate"/>
            </w:r>
            <w:r w:rsidR="005E1E93">
              <w:rPr>
                <w:noProof/>
                <w:webHidden/>
              </w:rPr>
              <w:t>8</w:t>
            </w:r>
            <w:r w:rsidR="005E1E93">
              <w:rPr>
                <w:noProof/>
                <w:webHidden/>
              </w:rPr>
              <w:fldChar w:fldCharType="end"/>
            </w:r>
          </w:hyperlink>
        </w:p>
        <w:p w14:paraId="20D260E0" w14:textId="77777777" w:rsidR="00CF42E9" w:rsidRDefault="00000000">
          <w:pPr>
            <w:pStyle w:val="TOC2"/>
            <w:tabs>
              <w:tab w:val="left" w:pos="880"/>
              <w:tab w:val="right" w:leader="dot" w:pos="9350"/>
            </w:tabs>
            <w:rPr>
              <w:noProof/>
            </w:rPr>
          </w:pPr>
          <w:hyperlink w:anchor="_Toc167811843" w:history="1">
            <w:r w:rsidR="005E1E93" w:rsidRPr="00A5745C">
              <w:rPr>
                <w:rStyle w:val="Hyperlink"/>
                <w:noProof/>
              </w:rPr>
              <w:t>7.1</w:t>
            </w:r>
            <w:r w:rsidR="005E1E93">
              <w:rPr>
                <w:noProof/>
              </w:rPr>
              <w:tab/>
            </w:r>
            <w:r w:rsidR="005E1E93" w:rsidRPr="00A5745C">
              <w:rPr>
                <w:rStyle w:val="Hyperlink"/>
                <w:noProof/>
              </w:rPr>
              <w:t>Income Statement</w:t>
            </w:r>
            <w:r w:rsidR="005E1E93">
              <w:rPr>
                <w:noProof/>
                <w:webHidden/>
              </w:rPr>
              <w:tab/>
            </w:r>
            <w:r w:rsidR="005E1E93">
              <w:rPr>
                <w:noProof/>
                <w:webHidden/>
              </w:rPr>
              <w:fldChar w:fldCharType="begin"/>
            </w:r>
            <w:r w:rsidR="005E1E93">
              <w:rPr>
                <w:noProof/>
                <w:webHidden/>
              </w:rPr>
              <w:instrText xml:space="preserve"> PAGEREF _Toc167811843 \h </w:instrText>
            </w:r>
            <w:r w:rsidR="005E1E93">
              <w:rPr>
                <w:noProof/>
                <w:webHidden/>
              </w:rPr>
            </w:r>
            <w:r w:rsidR="005E1E93">
              <w:rPr>
                <w:noProof/>
                <w:webHidden/>
              </w:rPr>
              <w:fldChar w:fldCharType="separate"/>
            </w:r>
            <w:r w:rsidR="005E1E93">
              <w:rPr>
                <w:noProof/>
                <w:webHidden/>
              </w:rPr>
              <w:t>8</w:t>
            </w:r>
            <w:r w:rsidR="005E1E93">
              <w:rPr>
                <w:noProof/>
                <w:webHidden/>
              </w:rPr>
              <w:fldChar w:fldCharType="end"/>
            </w:r>
          </w:hyperlink>
        </w:p>
        <w:p w14:paraId="41DB314A" w14:textId="77777777" w:rsidR="00CF42E9" w:rsidRDefault="00000000">
          <w:pPr>
            <w:pStyle w:val="TOC2"/>
            <w:tabs>
              <w:tab w:val="left" w:pos="880"/>
              <w:tab w:val="right" w:leader="dot" w:pos="9350"/>
            </w:tabs>
            <w:rPr>
              <w:noProof/>
            </w:rPr>
          </w:pPr>
          <w:hyperlink w:anchor="_Toc167811844" w:history="1">
            <w:r w:rsidR="005E1E93" w:rsidRPr="00A5745C">
              <w:rPr>
                <w:rStyle w:val="Hyperlink"/>
                <w:noProof/>
              </w:rPr>
              <w:t>1.1</w:t>
            </w:r>
            <w:r w:rsidR="005E1E93">
              <w:rPr>
                <w:noProof/>
              </w:rPr>
              <w:tab/>
            </w:r>
            <w:r w:rsidR="005E1E93" w:rsidRPr="00A5745C">
              <w:rPr>
                <w:rStyle w:val="Hyperlink"/>
                <w:noProof/>
              </w:rPr>
              <w:t>Balance Sheet</w:t>
            </w:r>
            <w:r w:rsidR="005E1E93">
              <w:rPr>
                <w:noProof/>
                <w:webHidden/>
              </w:rPr>
              <w:tab/>
            </w:r>
            <w:r w:rsidR="005E1E93">
              <w:rPr>
                <w:noProof/>
                <w:webHidden/>
              </w:rPr>
              <w:fldChar w:fldCharType="begin"/>
            </w:r>
            <w:r w:rsidR="005E1E93">
              <w:rPr>
                <w:noProof/>
                <w:webHidden/>
              </w:rPr>
              <w:instrText xml:space="preserve"> PAGEREF _Toc167811844 \h </w:instrText>
            </w:r>
            <w:r w:rsidR="005E1E93">
              <w:rPr>
                <w:noProof/>
                <w:webHidden/>
              </w:rPr>
            </w:r>
            <w:r w:rsidR="005E1E93">
              <w:rPr>
                <w:noProof/>
                <w:webHidden/>
              </w:rPr>
              <w:fldChar w:fldCharType="separate"/>
            </w:r>
            <w:r w:rsidR="005E1E93">
              <w:rPr>
                <w:noProof/>
                <w:webHidden/>
              </w:rPr>
              <w:t>8</w:t>
            </w:r>
            <w:r w:rsidR="005E1E93">
              <w:rPr>
                <w:noProof/>
                <w:webHidden/>
              </w:rPr>
              <w:fldChar w:fldCharType="end"/>
            </w:r>
          </w:hyperlink>
        </w:p>
        <w:p w14:paraId="10FEBB67" w14:textId="77777777" w:rsidR="00CF42E9" w:rsidRDefault="00000000">
          <w:pPr>
            <w:pStyle w:val="TOC2"/>
            <w:tabs>
              <w:tab w:val="left" w:pos="880"/>
              <w:tab w:val="right" w:leader="dot" w:pos="9350"/>
            </w:tabs>
            <w:rPr>
              <w:noProof/>
            </w:rPr>
          </w:pPr>
          <w:hyperlink w:anchor="_Toc167811845" w:history="1">
            <w:r w:rsidR="005E1E93" w:rsidRPr="00A5745C">
              <w:rPr>
                <w:rStyle w:val="Hyperlink"/>
                <w:noProof/>
              </w:rPr>
              <w:t>1.2</w:t>
            </w:r>
            <w:r w:rsidR="005E1E93">
              <w:rPr>
                <w:noProof/>
              </w:rPr>
              <w:tab/>
            </w:r>
            <w:r w:rsidR="005E1E93" w:rsidRPr="00A5745C">
              <w:rPr>
                <w:rStyle w:val="Hyperlink"/>
                <w:noProof/>
              </w:rPr>
              <w:t>Cash Flow Statement</w:t>
            </w:r>
            <w:r w:rsidR="005E1E93">
              <w:rPr>
                <w:noProof/>
                <w:webHidden/>
              </w:rPr>
              <w:tab/>
            </w:r>
            <w:r w:rsidR="005E1E93">
              <w:rPr>
                <w:noProof/>
                <w:webHidden/>
              </w:rPr>
              <w:fldChar w:fldCharType="begin"/>
            </w:r>
            <w:r w:rsidR="005E1E93">
              <w:rPr>
                <w:noProof/>
                <w:webHidden/>
              </w:rPr>
              <w:instrText xml:space="preserve"> PAGEREF _Toc167811845 \h </w:instrText>
            </w:r>
            <w:r w:rsidR="005E1E93">
              <w:rPr>
                <w:noProof/>
                <w:webHidden/>
              </w:rPr>
            </w:r>
            <w:r w:rsidR="005E1E93">
              <w:rPr>
                <w:noProof/>
                <w:webHidden/>
              </w:rPr>
              <w:fldChar w:fldCharType="separate"/>
            </w:r>
            <w:r w:rsidR="005E1E93">
              <w:rPr>
                <w:noProof/>
                <w:webHidden/>
              </w:rPr>
              <w:t>9</w:t>
            </w:r>
            <w:r w:rsidR="005E1E93">
              <w:rPr>
                <w:noProof/>
                <w:webHidden/>
              </w:rPr>
              <w:fldChar w:fldCharType="end"/>
            </w:r>
          </w:hyperlink>
        </w:p>
        <w:p w14:paraId="176817E4" w14:textId="77777777" w:rsidR="00CF42E9" w:rsidRDefault="00000000">
          <w:pPr>
            <w:pStyle w:val="TOC1"/>
            <w:tabs>
              <w:tab w:val="left" w:pos="440"/>
              <w:tab w:val="right" w:leader="dot" w:pos="9350"/>
            </w:tabs>
            <w:rPr>
              <w:rFonts w:asciiTheme="minorHAnsi" w:eastAsiaTheme="minorEastAsia" w:hAnsiTheme="minorHAnsi"/>
              <w:noProof/>
              <w:color w:val="auto"/>
              <w:sz w:val="22"/>
            </w:rPr>
          </w:pPr>
          <w:hyperlink w:anchor="_Toc167811846" w:history="1">
            <w:r w:rsidR="005E1E93" w:rsidRPr="00A5745C">
              <w:rPr>
                <w:rStyle w:val="Hyperlink"/>
                <w:noProof/>
              </w:rPr>
              <w:t>8</w:t>
            </w:r>
            <w:r w:rsidR="005E1E93">
              <w:rPr>
                <w:rFonts w:asciiTheme="minorHAnsi" w:eastAsiaTheme="minorEastAsia" w:hAnsiTheme="minorHAnsi"/>
                <w:noProof/>
                <w:color w:val="auto"/>
                <w:sz w:val="22"/>
              </w:rPr>
              <w:tab/>
            </w:r>
            <w:r w:rsidR="005E1E93" w:rsidRPr="00A5745C">
              <w:rPr>
                <w:rStyle w:val="Hyperlink"/>
                <w:noProof/>
              </w:rPr>
              <w:t>Conclusion</w:t>
            </w:r>
            <w:r w:rsidR="005E1E93">
              <w:rPr>
                <w:noProof/>
                <w:webHidden/>
              </w:rPr>
              <w:tab/>
            </w:r>
            <w:r w:rsidR="005E1E93">
              <w:rPr>
                <w:noProof/>
                <w:webHidden/>
              </w:rPr>
              <w:fldChar w:fldCharType="begin"/>
            </w:r>
            <w:r w:rsidR="005E1E93">
              <w:rPr>
                <w:noProof/>
                <w:webHidden/>
              </w:rPr>
              <w:instrText xml:space="preserve"> PAGEREF _Toc167811846 \h </w:instrText>
            </w:r>
            <w:r w:rsidR="005E1E93">
              <w:rPr>
                <w:noProof/>
                <w:webHidden/>
              </w:rPr>
            </w:r>
            <w:r w:rsidR="005E1E93">
              <w:rPr>
                <w:noProof/>
                <w:webHidden/>
              </w:rPr>
              <w:fldChar w:fldCharType="separate"/>
            </w:r>
            <w:r w:rsidR="005E1E93">
              <w:rPr>
                <w:noProof/>
                <w:webHidden/>
              </w:rPr>
              <w:t>9</w:t>
            </w:r>
            <w:r w:rsidR="005E1E93">
              <w:rPr>
                <w:noProof/>
                <w:webHidden/>
              </w:rPr>
              <w:fldChar w:fldCharType="end"/>
            </w:r>
          </w:hyperlink>
        </w:p>
        <w:p w14:paraId="0F694585" w14:textId="77777777" w:rsidR="00CF42E9" w:rsidRDefault="00000000">
          <w:pPr>
            <w:pStyle w:val="TOC1"/>
            <w:tabs>
              <w:tab w:val="left" w:pos="440"/>
              <w:tab w:val="right" w:leader="dot" w:pos="9350"/>
            </w:tabs>
            <w:rPr>
              <w:rFonts w:asciiTheme="minorHAnsi" w:eastAsiaTheme="minorEastAsia" w:hAnsiTheme="minorHAnsi"/>
              <w:noProof/>
              <w:color w:val="auto"/>
              <w:sz w:val="22"/>
            </w:rPr>
          </w:pPr>
          <w:hyperlink w:anchor="_Toc167811847" w:history="1">
            <w:r w:rsidR="005E1E93" w:rsidRPr="00A5745C">
              <w:rPr>
                <w:rStyle w:val="Hyperlink"/>
                <w:noProof/>
              </w:rPr>
              <w:t>9</w:t>
            </w:r>
            <w:r w:rsidR="005E1E93">
              <w:rPr>
                <w:rFonts w:asciiTheme="minorHAnsi" w:eastAsiaTheme="minorEastAsia" w:hAnsiTheme="minorHAnsi"/>
                <w:noProof/>
                <w:color w:val="auto"/>
                <w:sz w:val="22"/>
              </w:rPr>
              <w:tab/>
            </w:r>
            <w:r w:rsidR="005E1E93" w:rsidRPr="00A5745C">
              <w:rPr>
                <w:rStyle w:val="Hyperlink"/>
                <w:noProof/>
              </w:rPr>
              <w:t>References</w:t>
            </w:r>
            <w:r w:rsidR="005E1E93">
              <w:rPr>
                <w:noProof/>
                <w:webHidden/>
              </w:rPr>
              <w:tab/>
            </w:r>
            <w:r w:rsidR="005E1E93">
              <w:rPr>
                <w:noProof/>
                <w:webHidden/>
              </w:rPr>
              <w:fldChar w:fldCharType="begin"/>
            </w:r>
            <w:r w:rsidR="005E1E93">
              <w:rPr>
                <w:noProof/>
                <w:webHidden/>
              </w:rPr>
              <w:instrText xml:space="preserve"> PAGEREF _Toc167811847 \h </w:instrText>
            </w:r>
            <w:r w:rsidR="005E1E93">
              <w:rPr>
                <w:noProof/>
                <w:webHidden/>
              </w:rPr>
            </w:r>
            <w:r w:rsidR="005E1E93">
              <w:rPr>
                <w:noProof/>
                <w:webHidden/>
              </w:rPr>
              <w:fldChar w:fldCharType="separate"/>
            </w:r>
            <w:r w:rsidR="005E1E93">
              <w:rPr>
                <w:noProof/>
                <w:webHidden/>
              </w:rPr>
              <w:t>10</w:t>
            </w:r>
            <w:r w:rsidR="005E1E93">
              <w:rPr>
                <w:noProof/>
                <w:webHidden/>
              </w:rPr>
              <w:fldChar w:fldCharType="end"/>
            </w:r>
          </w:hyperlink>
        </w:p>
        <w:p w14:paraId="549CC1ED" w14:textId="77777777" w:rsidR="008337DB" w:rsidRDefault="005E1E93">
          <w:r>
            <w:rPr>
              <w:b/>
              <w:bCs/>
              <w:noProof/>
            </w:rPr>
            <w:fldChar w:fldCharType="end"/>
          </w:r>
        </w:p>
      </w:sdtContent>
    </w:sdt>
    <w:p w14:paraId="1CC88D4C" w14:textId="77777777" w:rsidR="008337DB" w:rsidRDefault="008337DB" w:rsidP="008337DB">
      <w:pPr>
        <w:spacing w:line="259" w:lineRule="auto"/>
        <w:jc w:val="center"/>
        <w:rPr>
          <w:b/>
        </w:rPr>
      </w:pPr>
    </w:p>
    <w:p w14:paraId="54E15B2C" w14:textId="77777777" w:rsidR="008337DB" w:rsidRDefault="005E1E93" w:rsidP="008337DB">
      <w:pPr>
        <w:spacing w:line="259" w:lineRule="auto"/>
        <w:jc w:val="center"/>
        <w:rPr>
          <w:rFonts w:eastAsiaTheme="majorEastAsia" w:cstheme="majorBidi"/>
          <w:b/>
          <w:szCs w:val="32"/>
        </w:rPr>
      </w:pPr>
      <w:r>
        <w:br w:type="page"/>
      </w:r>
    </w:p>
    <w:p w14:paraId="64739A86" w14:textId="77777777" w:rsidR="00D1341B" w:rsidRDefault="005E1E93" w:rsidP="006B1169">
      <w:pPr>
        <w:pStyle w:val="Heading1"/>
      </w:pPr>
      <w:bookmarkStart w:id="0" w:name="_Toc167811832"/>
      <w:r>
        <w:lastRenderedPageBreak/>
        <w:t>Introduction</w:t>
      </w:r>
      <w:bookmarkEnd w:id="0"/>
      <w:r>
        <w:t xml:space="preserve"> </w:t>
      </w:r>
    </w:p>
    <w:p w14:paraId="41FBE3F7" w14:textId="77777777" w:rsidR="00C82C33" w:rsidRDefault="005E1E93" w:rsidP="00510EB2">
      <w:r>
        <w:t xml:space="preserve">The following report discusses the trends and patterns </w:t>
      </w:r>
      <w:r w:rsidR="008337DB">
        <w:t>of Seacrest Lodge</w:t>
      </w:r>
      <w:r>
        <w:t xml:space="preserve">. </w:t>
      </w:r>
      <w:r w:rsidR="008337DB">
        <w:t xml:space="preserve">Seacrest Lodge </w:t>
      </w:r>
      <w:r>
        <w:t>is</w:t>
      </w:r>
      <w:r w:rsidR="006524C4">
        <w:t xml:space="preserve"> present at coastline</w:t>
      </w:r>
      <w:r>
        <w:t>.</w:t>
      </w:r>
      <w:r w:rsidR="006524C4">
        <w:t xml:space="preserve"> The Lodge provide restaurant, bar and event facilities</w:t>
      </w:r>
      <w:r>
        <w:t>. In the previous year, the hotel faced a decline in revenue and occupancy rate, and the customer satisfaction rate also decreased</w:t>
      </w:r>
      <w:r w:rsidR="008337DB">
        <w:t xml:space="preserve"> (Seacrest Lodge, 2023)</w:t>
      </w:r>
      <w:r>
        <w:t xml:space="preserve">. The </w:t>
      </w:r>
      <w:r w:rsidR="008337DB">
        <w:t>owners</w:t>
      </w:r>
      <w:r>
        <w:t xml:space="preserve"> of </w:t>
      </w:r>
      <w:r w:rsidR="008337DB">
        <w:t xml:space="preserve">Seacrest Lodge </w:t>
      </w:r>
      <w:r>
        <w:t xml:space="preserve">are concerned about their viability and enlist my expertise </w:t>
      </w:r>
      <w:r w:rsidR="00C55216">
        <w:t>to manage</w:t>
      </w:r>
      <w:r>
        <w:t xml:space="preserve"> the business. The report discusses the trends and patterns </w:t>
      </w:r>
      <w:r w:rsidR="008337DB">
        <w:t>in Seacrest Lodge</w:t>
      </w:r>
      <w:r>
        <w:t>, the financial performance of the previous three years, the key reasons for the business decline, and the turnaround strategy. In the end, conclude the overall report.</w:t>
      </w:r>
    </w:p>
    <w:p w14:paraId="77655A09" w14:textId="77777777" w:rsidR="00C82C33" w:rsidRDefault="005E1E93" w:rsidP="008337DB">
      <w:pPr>
        <w:pStyle w:val="Heading1"/>
      </w:pPr>
      <w:bookmarkStart w:id="1" w:name="_Toc167811833"/>
      <w:r>
        <w:t>Market Analysis of Seacrest Lodge</w:t>
      </w:r>
      <w:bookmarkEnd w:id="1"/>
      <w:r>
        <w:t xml:space="preserve"> </w:t>
      </w:r>
    </w:p>
    <w:p w14:paraId="063C0D46" w14:textId="77777777" w:rsidR="008337DB" w:rsidRDefault="005E1E93" w:rsidP="00C55216">
      <w:r>
        <w:t xml:space="preserve">The Seacrest Lodge's performance is steady to brisk in the high-interest rate, post-pandemic, and inflationary rates around the globe. Seacrest Lodge </w:t>
      </w:r>
      <w:r w:rsidR="00D1341B">
        <w:t xml:space="preserve">in 2023 was making a rapid recovery. </w:t>
      </w:r>
      <w:r>
        <w:t xml:space="preserve">Seacrest Lodge </w:t>
      </w:r>
      <w:r w:rsidR="00D1341B">
        <w:t xml:space="preserve">needs to recover its revenue, operating expenses, and profitability and work more to achieve the target. Different factors like convention and business opportunities </w:t>
      </w:r>
      <w:r>
        <w:t>play</w:t>
      </w:r>
      <w:r w:rsidR="00D1341B">
        <w:t xml:space="preserve"> a significant role </w:t>
      </w:r>
      <w:r>
        <w:t>in</w:t>
      </w:r>
      <w:r w:rsidR="00D1341B">
        <w:t xml:space="preserve"> the revenue and profitability recovery of the hotel industry</w:t>
      </w:r>
      <w:r w:rsidR="001F7BA5">
        <w:t xml:space="preserve"> (</w:t>
      </w:r>
      <w:r w:rsidR="001F7BA5" w:rsidRPr="001F7BA5">
        <w:t>Ranasinghe et al., 2020)</w:t>
      </w:r>
      <w:r w:rsidR="00D1341B" w:rsidRPr="001F7BA5">
        <w:t>.</w:t>
      </w:r>
      <w:r w:rsidR="00D1341B">
        <w:t xml:space="preserve"> Moreover, </w:t>
      </w:r>
      <w:r>
        <w:t xml:space="preserve">Seacrest Lodge </w:t>
      </w:r>
      <w:r w:rsidR="00D1341B">
        <w:t xml:space="preserve">is one of the </w:t>
      </w:r>
      <w:r>
        <w:t>most consumer-attractive</w:t>
      </w:r>
      <w:r w:rsidR="00D1341B">
        <w:t xml:space="preserve"> </w:t>
      </w:r>
      <w:r>
        <w:t>hotels</w:t>
      </w:r>
      <w:r w:rsidR="00D1341B">
        <w:t xml:space="preserve"> that are found in</w:t>
      </w:r>
      <w:r>
        <w:t xml:space="preserve"> the UK</w:t>
      </w:r>
      <w:r w:rsidR="00D1341B">
        <w:t xml:space="preserve">. </w:t>
      </w:r>
      <w:r>
        <w:t xml:space="preserve">Seacrest Lodge </w:t>
      </w:r>
      <w:r w:rsidR="00D1341B">
        <w:t xml:space="preserve">provides free Wi-Fi services to their consumers to the feasible and convenient for the consumers so that the guests can easily stay in the </w:t>
      </w:r>
      <w:r>
        <w:t xml:space="preserve">Seacrest Lodge </w:t>
      </w:r>
      <w:r w:rsidR="00D1341B">
        <w:t>Hotel without any disruption</w:t>
      </w:r>
      <w:r>
        <w:t xml:space="preserve"> (</w:t>
      </w:r>
      <w:r w:rsidR="001F7BA5" w:rsidRPr="001F7BA5">
        <w:t>Mitomi et al., 2016</w:t>
      </w:r>
      <w:r w:rsidRPr="001F7BA5">
        <w:t>)</w:t>
      </w:r>
      <w:r w:rsidR="00D1341B" w:rsidRPr="001F7BA5">
        <w:t>.</w:t>
      </w:r>
      <w:r>
        <w:t xml:space="preserve"> The patterns of the Seacrest Lodge are three-dimensional patterns that are spatiotemporal, particularly the height of the building is important to optimize the planning and management of the building policies. These patterns three-dimensional patterns of the building impact the air quality of urban heights and also help to mitigate the effect of heat</w:t>
      </w:r>
      <w:r w:rsidR="001F7BA5">
        <w:t xml:space="preserve"> (</w:t>
      </w:r>
      <w:r w:rsidR="001F7BA5" w:rsidRPr="001F7BA5">
        <w:t>Chen et al., 2020)</w:t>
      </w:r>
      <w:r w:rsidRPr="001F7BA5">
        <w:t>.</w:t>
      </w:r>
      <w:r>
        <w:t xml:space="preserve"> Moreover, the previous three years' financial records of the Seacrest Lodge Hotel represent that there is a consistent decline in their revenue. The decline in revenue shows that the urban heights face the potential challenge of attracting new customers and retaining the previous ones (Seacrest Lodge, 2022). Moreover, the occupancy rate of the Seacrest Lodge has significantly dropped in the previous three years. The Seacrest Lodge market is highly competitive and represents the newer and modern resorts to the guests. The competitors of the hotel set high standards policies to increase their revenue and provide high-quality services with proper amenities. This helps to attract customers and give them a competitive advantage. In addition, customer preferences are one of the other key factors in maintaining the reputation </w:t>
      </w:r>
      <w:r w:rsidRPr="008337DB">
        <w:t>of the hotel (Revell, 2020). However</w:t>
      </w:r>
      <w:r>
        <w:t xml:space="preserve">, the Seacrest Lodge is unable to give personalized services to their guests </w:t>
      </w:r>
      <w:r>
        <w:lastRenderedPageBreak/>
        <w:t>and make them competitive in the hotel industry. The customer's review represents that the Seacrest Lodge's revenue decline is due to their low quality of services and dissatisfaction with the gusts of the hotel</w:t>
      </w:r>
      <w:r w:rsidR="001F7BA5">
        <w:t xml:space="preserve"> (Ali et al., 2021)</w:t>
      </w:r>
      <w:r>
        <w:t xml:space="preserve">. The Seacrest Lodge needs to improve their hotel services to enhance the customer satisfaction rate. The major issues that the Seacrest Lodge guests raise about the hotel are the low-quality service, there are no modern amenities, and zero maintenance </w:t>
      </w:r>
      <w:r w:rsidRPr="008337DB">
        <w:t>in the hotel (Fernandes Sampaio et al, 2020).</w:t>
      </w:r>
      <w:r>
        <w:t xml:space="preserve"> To overcome this challenge the hotel needs to high investment to improve their facilities and services.</w:t>
      </w:r>
    </w:p>
    <w:p w14:paraId="48D5EF9A" w14:textId="77777777" w:rsidR="00203236" w:rsidRDefault="005E1E93" w:rsidP="00203236">
      <w:pPr>
        <w:pStyle w:val="Heading1"/>
      </w:pPr>
      <w:bookmarkStart w:id="2" w:name="_Toc167811834"/>
      <w:r>
        <w:t>Scope and objectives</w:t>
      </w:r>
      <w:bookmarkEnd w:id="2"/>
    </w:p>
    <w:p w14:paraId="5255B120" w14:textId="77777777" w:rsidR="00E44250" w:rsidRDefault="005E1E93" w:rsidP="00E44250">
      <w:pPr>
        <w:rPr>
          <w:shd w:val="clear" w:color="auto" w:fill="FFFFFF"/>
        </w:rPr>
      </w:pPr>
      <w:r>
        <w:rPr>
          <w:shd w:val="clear" w:color="auto" w:fill="FFFFFF"/>
        </w:rPr>
        <w:t>The scope of the report is to provide a comprehensive analysis of the market performance and operational and financial activities of Seacrest Lodge. The major objective is the identification of factors that decline revenue, impact occupancy rate and average room rate and customer satisfaction</w:t>
      </w:r>
      <w:r w:rsidR="001F7BA5">
        <w:rPr>
          <w:shd w:val="clear" w:color="auto" w:fill="FFFFFF"/>
        </w:rPr>
        <w:t xml:space="preserve"> (</w:t>
      </w:r>
      <w:r w:rsidR="001F7BA5" w:rsidRPr="001F7BA5">
        <w:t>Matsuoka, 2022)</w:t>
      </w:r>
      <w:r w:rsidRPr="001F7BA5">
        <w:t>.</w:t>
      </w:r>
      <w:r>
        <w:rPr>
          <w:shd w:val="clear" w:color="auto" w:fill="FFFFFF"/>
        </w:rPr>
        <w:t xml:space="preserve"> Another objective aims to evaluate the competitiveness and quality of services provided at Lodge which are restaurant, bar, spa and event management services to market analysis and customer trends. Developing an effective turnaround strategy is the key object that will enhance guest satisfaction, help the Lodge achieve operational efficiency and attract targeted customers while restoring profitability and the overall image of the lodge</w:t>
      </w:r>
      <w:r w:rsidR="001F7BA5">
        <w:rPr>
          <w:shd w:val="clear" w:color="auto" w:fill="FFFFFF"/>
        </w:rPr>
        <w:t xml:space="preserve"> (</w:t>
      </w:r>
      <w:r w:rsidR="001F7BA5" w:rsidRPr="001F7BA5">
        <w:t>Aripin and Agusiady, 2024)</w:t>
      </w:r>
      <w:r w:rsidRPr="001F7BA5">
        <w:t>.</w:t>
      </w:r>
      <w:r>
        <w:rPr>
          <w:shd w:val="clear" w:color="auto" w:fill="FFFFFF"/>
        </w:rPr>
        <w:t xml:space="preserve"> The recommendations will be provided to Seacrest Lodge for short-term and long-term growth and improvements.</w:t>
      </w:r>
    </w:p>
    <w:p w14:paraId="3C78EBB9" w14:textId="77777777" w:rsidR="008540A3" w:rsidRDefault="005E1E93" w:rsidP="008540A3">
      <w:pPr>
        <w:pStyle w:val="Heading1"/>
        <w:rPr>
          <w:shd w:val="clear" w:color="auto" w:fill="FFFFFF"/>
        </w:rPr>
      </w:pPr>
      <w:bookmarkStart w:id="3" w:name="_Toc167811835"/>
      <w:r>
        <w:rPr>
          <w:shd w:val="clear" w:color="auto" w:fill="FFFFFF"/>
        </w:rPr>
        <w:t>Financial analysis</w:t>
      </w:r>
      <w:bookmarkEnd w:id="3"/>
    </w:p>
    <w:p w14:paraId="05F7DC8C" w14:textId="77777777" w:rsidR="008540A3" w:rsidRPr="008540A3" w:rsidRDefault="005E1E93" w:rsidP="008540A3">
      <w:pPr>
        <w:rPr>
          <w:shd w:val="clear" w:color="auto" w:fill="F5F5F5"/>
        </w:rPr>
      </w:pPr>
      <w:r w:rsidRPr="008540A3">
        <w:t xml:space="preserve">Financial analysis is the procedure that allows businesses </w:t>
      </w:r>
      <w:r w:rsidR="006524C4">
        <w:t xml:space="preserve">to examine their performance for industrial and economic environment for decision-making process </w:t>
      </w:r>
      <w:r w:rsidRPr="008540A3">
        <w:t>or recommendations. Mostly decisions and recommendations addressed during financial analysis help companies to provide capital to the companies that help them to invest in company equity and securities and tell them the prices</w:t>
      </w:r>
      <w:r w:rsidR="00B16FF7">
        <w:rPr>
          <w:shd w:val="clear" w:color="auto" w:fill="F5F5F5"/>
        </w:rPr>
        <w:t xml:space="preserve"> (</w:t>
      </w:r>
      <w:r w:rsidR="00B16FF7" w:rsidRPr="00B16FF7">
        <w:t>Hasanaj and Kuqi, 2019).</w:t>
      </w:r>
      <w:r w:rsidR="00B16FF7">
        <w:rPr>
          <w:shd w:val="clear" w:color="auto" w:fill="F5F5F5"/>
        </w:rPr>
        <w:t xml:space="preserve"> </w:t>
      </w:r>
      <w:r>
        <w:rPr>
          <w:shd w:val="clear" w:color="auto" w:fill="FFFFFF"/>
        </w:rPr>
        <w:t>The financial analysis of Seacrest Lodge is essential to provide information about its revenue streams, profits and cost structure. It allows the Lodge to analyze its inefficiencies and predict future performance and helps in the decision-making process to achieve financial stability a</w:t>
      </w:r>
      <w:r w:rsidR="001F7BA5">
        <w:rPr>
          <w:shd w:val="clear" w:color="auto" w:fill="FFFFFF"/>
        </w:rPr>
        <w:t>nd long-term business stability (</w:t>
      </w:r>
      <w:r w:rsidR="001F7BA5" w:rsidRPr="001F7BA5">
        <w:t>Osadchy et al., 2018).</w:t>
      </w:r>
    </w:p>
    <w:p w14:paraId="10D48D27" w14:textId="77777777" w:rsidR="008540A3" w:rsidRDefault="005E1E93" w:rsidP="003C6788">
      <w:pPr>
        <w:pStyle w:val="Heading2"/>
      </w:pPr>
      <w:bookmarkStart w:id="4" w:name="_Toc167811836"/>
      <w:r>
        <w:t>Income statement</w:t>
      </w:r>
      <w:bookmarkEnd w:id="4"/>
    </w:p>
    <w:p w14:paraId="4537BDAD" w14:textId="77777777" w:rsidR="003C6788" w:rsidRPr="001F7BA5" w:rsidRDefault="006524C4" w:rsidP="003C6788">
      <w:pPr>
        <w:rPr>
          <w:rStyle w:val="oxzekf"/>
          <w:rFonts w:cs="Arial"/>
          <w:color w:val="auto"/>
          <w:szCs w:val="24"/>
          <w:shd w:val="clear" w:color="auto" w:fill="FFFFFF"/>
        </w:rPr>
      </w:pPr>
      <w:r>
        <w:rPr>
          <w:rStyle w:val="oxzekf"/>
          <w:rFonts w:cs="Arial"/>
          <w:color w:val="auto"/>
          <w:szCs w:val="24"/>
          <w:shd w:val="clear" w:color="auto" w:fill="FFFFFF"/>
        </w:rPr>
        <w:t xml:space="preserve">The type of financial statement </w:t>
      </w:r>
      <w:r w:rsidR="005E1E93" w:rsidRPr="001F7BA5">
        <w:rPr>
          <w:rStyle w:val="oxzekf"/>
          <w:rFonts w:cs="Arial"/>
          <w:color w:val="auto"/>
          <w:szCs w:val="24"/>
          <w:shd w:val="clear" w:color="auto" w:fill="FFFFFF"/>
        </w:rPr>
        <w:t xml:space="preserve">that defines the income and expenses of a company over time. It shows whether a company is in profit or loss. When an income statement is combined with a </w:t>
      </w:r>
      <w:r w:rsidR="005E1E93" w:rsidRPr="001F7BA5">
        <w:rPr>
          <w:rStyle w:val="oxzekf"/>
          <w:rFonts w:cs="Arial"/>
          <w:color w:val="auto"/>
          <w:szCs w:val="24"/>
          <w:shd w:val="clear" w:color="auto" w:fill="FFFFFF"/>
        </w:rPr>
        <w:lastRenderedPageBreak/>
        <w:t>balanced sheet and cash flow statement it helps businesses und</w:t>
      </w:r>
      <w:r w:rsidR="00B16FF7" w:rsidRPr="001F7BA5">
        <w:rPr>
          <w:rStyle w:val="oxzekf"/>
          <w:rFonts w:cs="Arial"/>
          <w:color w:val="auto"/>
          <w:szCs w:val="24"/>
          <w:shd w:val="clear" w:color="auto" w:fill="FFFFFF"/>
        </w:rPr>
        <w:t>erstand its financial health (Lee et al., 2017</w:t>
      </w:r>
      <w:r w:rsidR="001F7BA5">
        <w:rPr>
          <w:rStyle w:val="oxzekf"/>
          <w:rFonts w:cs="Arial"/>
          <w:color w:val="auto"/>
          <w:szCs w:val="24"/>
          <w:shd w:val="clear" w:color="auto" w:fill="FFFFFF"/>
        </w:rPr>
        <w:t xml:space="preserve">; </w:t>
      </w:r>
      <w:r w:rsidR="001F7BA5" w:rsidRPr="001F7BA5">
        <w:t>Sridewiarsi and Eva, 2023</w:t>
      </w:r>
      <w:r w:rsidR="00B16FF7" w:rsidRPr="001F7BA5">
        <w:t>).</w:t>
      </w:r>
    </w:p>
    <w:p w14:paraId="06746BA5" w14:textId="77777777" w:rsidR="003C6788" w:rsidRDefault="005E1E93" w:rsidP="003C6788">
      <w:r>
        <w:t xml:space="preserve">The following table shows the overview of the income statement of Seacrest Lodge for the years 2021, 2022 and 2023. </w:t>
      </w:r>
      <w:r w:rsidR="006524C4">
        <w:t>This income statement defines the net income of the Lodge which is</w:t>
      </w:r>
      <w:r>
        <w:t xml:space="preserve"> </w:t>
      </w:r>
      <w:r w:rsidR="00FF31C9">
        <w:t>declining</w:t>
      </w:r>
      <w:r>
        <w:t xml:space="preserve"> gradually as operating costs and total revenue generation value are increasing. According to the income statement, the year 2023 has the worst financial health as revenue generation is far less than the operational expenses because of which net income shows negative value and in 2023 Seacrest Lodge faces loss. According to </w:t>
      </w:r>
      <w:r w:rsidR="00FF31C9" w:rsidRPr="00FF31C9">
        <w:t>Mun and Jang, (2018),</w:t>
      </w:r>
      <w:r w:rsidR="00FF31C9">
        <w:rPr>
          <w:rFonts w:ascii="Arial" w:hAnsi="Arial" w:cs="Arial"/>
          <w:color w:val="222222"/>
          <w:sz w:val="20"/>
          <w:szCs w:val="20"/>
          <w:shd w:val="clear" w:color="auto" w:fill="FFFFFF"/>
        </w:rPr>
        <w:t xml:space="preserve"> </w:t>
      </w:r>
      <w:r>
        <w:t xml:space="preserve">when a business </w:t>
      </w:r>
      <w:r w:rsidR="006524C4">
        <w:t xml:space="preserve">have less operational expenses its </w:t>
      </w:r>
      <w:r>
        <w:t>net income rises which will ultimately increase the revenue generation</w:t>
      </w:r>
      <w:r w:rsidR="00FF31C9">
        <w:t>.</w:t>
      </w:r>
    </w:p>
    <w:p w14:paraId="3B524B98" w14:textId="77777777" w:rsidR="003C6788" w:rsidRPr="003C6788" w:rsidRDefault="005E1E93" w:rsidP="003C6788">
      <w:pPr>
        <w:rPr>
          <w:sz w:val="22"/>
          <w:szCs w:val="20"/>
        </w:rPr>
      </w:pPr>
      <w:r>
        <w:rPr>
          <w:noProof/>
        </w:rPr>
        <w:drawing>
          <wp:inline distT="0" distB="0" distL="0" distR="0" wp14:anchorId="65B7360C" wp14:editId="40A154D5">
            <wp:extent cx="5943600" cy="13684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368425"/>
                    </a:xfrm>
                    <a:prstGeom prst="rect">
                      <a:avLst/>
                    </a:prstGeom>
                  </pic:spPr>
                </pic:pic>
              </a:graphicData>
            </a:graphic>
          </wp:inline>
        </w:drawing>
      </w:r>
    </w:p>
    <w:p w14:paraId="5F2AD7F7" w14:textId="77777777" w:rsidR="003C6788" w:rsidRDefault="005E1E93" w:rsidP="00FF31C9">
      <w:pPr>
        <w:pStyle w:val="Heading2"/>
      </w:pPr>
      <w:bookmarkStart w:id="5" w:name="_Toc167811837"/>
      <w:r>
        <w:t>Balance Sheet</w:t>
      </w:r>
      <w:bookmarkEnd w:id="5"/>
    </w:p>
    <w:p w14:paraId="09ABFF18" w14:textId="77777777" w:rsidR="00FF31C9" w:rsidRDefault="006524C4" w:rsidP="00FF31C9">
      <w:r>
        <w:t xml:space="preserve">The type of financial statement that defines </w:t>
      </w:r>
      <w:r w:rsidR="005E1E93" w:rsidRPr="00FF31C9">
        <w:t>the assets, liabilities and shareholder equity at any time. The balance sheet forms the foundation for computing rates for investors and the capital structure</w:t>
      </w:r>
      <w:r w:rsidR="00B16FF7">
        <w:t xml:space="preserve"> of the company (</w:t>
      </w:r>
      <w:r w:rsidR="00B16FF7" w:rsidRPr="00B16FF7">
        <w:t>Castillo, 2016</w:t>
      </w:r>
      <w:r w:rsidR="001F7BA5">
        <w:t xml:space="preserve">; </w:t>
      </w:r>
      <w:r w:rsidR="001F7BA5" w:rsidRPr="001F7BA5">
        <w:t>Kapan and Minoiu, 2018</w:t>
      </w:r>
      <w:r w:rsidR="00B16FF7" w:rsidRPr="001F7BA5">
        <w:t>).</w:t>
      </w:r>
    </w:p>
    <w:p w14:paraId="2665DF76" w14:textId="77777777" w:rsidR="00950B25" w:rsidRDefault="005E1E93" w:rsidP="00950B25">
      <w:pPr>
        <w:rPr>
          <w:shd w:val="clear" w:color="auto" w:fill="FFFFFF"/>
        </w:rPr>
      </w:pPr>
      <w:r>
        <w:rPr>
          <w:shd w:val="clear" w:color="auto" w:fill="FFFFFF"/>
        </w:rPr>
        <w:t>The table below shows the balance sheet for Seacrest Lodge for the years 2021, 2022 and 2023. The table shows the equity and liability of Seacrest Lodge in the given years. According to the balance sheet the Lodge faces financial fluctuation in balance sheet for cash and equivalents, total assets and accounts receivables t</w:t>
      </w:r>
      <w:r w:rsidR="001F7BA5">
        <w:rPr>
          <w:shd w:val="clear" w:color="auto" w:fill="FFFFFF"/>
        </w:rPr>
        <w:t>hat decline from 2021 to 2023. T</w:t>
      </w:r>
      <w:r>
        <w:rPr>
          <w:shd w:val="clear" w:color="auto" w:fill="FFFFFF"/>
        </w:rPr>
        <w:t>he cost for property and equipment and long-term debts remained constant in all three years only the cost of payable accounts raised.</w:t>
      </w:r>
    </w:p>
    <w:p w14:paraId="2D3A7DFF" w14:textId="77777777" w:rsidR="00950B25" w:rsidRDefault="005E1E93" w:rsidP="00950B25">
      <w:pPr>
        <w:rPr>
          <w:shd w:val="clear" w:color="auto" w:fill="FFFFFF"/>
        </w:rPr>
      </w:pPr>
      <w:r>
        <w:rPr>
          <w:noProof/>
        </w:rPr>
        <w:lastRenderedPageBreak/>
        <w:drawing>
          <wp:inline distT="0" distB="0" distL="0" distR="0" wp14:anchorId="08404D7E" wp14:editId="25E993A5">
            <wp:extent cx="5943600" cy="22256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943600" cy="2225675"/>
                    </a:xfrm>
                    <a:prstGeom prst="rect">
                      <a:avLst/>
                    </a:prstGeom>
                  </pic:spPr>
                </pic:pic>
              </a:graphicData>
            </a:graphic>
          </wp:inline>
        </w:drawing>
      </w:r>
    </w:p>
    <w:p w14:paraId="38006818" w14:textId="77777777" w:rsidR="00950B25" w:rsidRDefault="005E1E93" w:rsidP="00950B25">
      <w:pPr>
        <w:pStyle w:val="Heading1"/>
        <w:rPr>
          <w:shd w:val="clear" w:color="auto" w:fill="FFFFFF"/>
        </w:rPr>
      </w:pPr>
      <w:bookmarkStart w:id="6" w:name="_Toc167811838"/>
      <w:r>
        <w:rPr>
          <w:shd w:val="clear" w:color="auto" w:fill="FFFFFF"/>
        </w:rPr>
        <w:t>Additional financial information</w:t>
      </w:r>
      <w:bookmarkEnd w:id="6"/>
    </w:p>
    <w:p w14:paraId="02A62D00" w14:textId="77777777" w:rsidR="00950B25" w:rsidRDefault="005E1E93" w:rsidP="00950B25">
      <w:pPr>
        <w:pStyle w:val="Heading2"/>
      </w:pPr>
      <w:bookmarkStart w:id="7" w:name="_Toc167811839"/>
      <w:r>
        <w:t>Average room rate</w:t>
      </w:r>
      <w:bookmarkEnd w:id="7"/>
    </w:p>
    <w:p w14:paraId="3C190908" w14:textId="77777777" w:rsidR="00950B25" w:rsidRDefault="005E1E93" w:rsidP="00950B25">
      <w:r>
        <w:t xml:space="preserve">The total revenue generated from a room for the given period is called its average room rate. It is the ratio of </w:t>
      </w:r>
      <w:r w:rsidR="006524C4">
        <w:t xml:space="preserve">revenue generation value of rooms </w:t>
      </w:r>
      <w:r>
        <w:t>to the occupancy time of the room. For the calculation of the average room rate of any hotel, the rooms that are used by hotel staff and other complementary rooms are</w:t>
      </w:r>
      <w:r w:rsidR="00B16FF7">
        <w:t xml:space="preserve"> not considered (</w:t>
      </w:r>
      <w:r w:rsidR="00B16FF7" w:rsidRPr="00B16FF7">
        <w:t>Chattopadhyay and Mitra, 2019).</w:t>
      </w:r>
    </w:p>
    <w:p w14:paraId="277C3BF2" w14:textId="77777777" w:rsidR="00950B25" w:rsidRDefault="005E1E93" w:rsidP="00950B25">
      <w:r>
        <w:t>The following formula is used for the calculation of the average room rate:</w:t>
      </w:r>
    </w:p>
    <w:p w14:paraId="64147AB2" w14:textId="77777777" w:rsidR="00950B25" w:rsidRDefault="005E1E93" w:rsidP="00950B25">
      <w:pPr>
        <w:jc w:val="center"/>
        <w:rPr>
          <w:rFonts w:eastAsiaTheme="minorEastAsia"/>
        </w:rPr>
      </w:pPr>
      <w:r>
        <w:t xml:space="preserve">Average room rate = </w:t>
      </w:r>
      <m:oMath>
        <m:f>
          <m:fPr>
            <m:ctrlPr>
              <w:rPr>
                <w:rFonts w:ascii="Cambria Math" w:hAnsi="Cambria Math"/>
                <w:i/>
                <w:color w:val="auto"/>
                <w:sz w:val="22"/>
              </w:rPr>
            </m:ctrlPr>
          </m:fPr>
          <m:num>
            <m:r>
              <w:rPr>
                <w:rFonts w:ascii="Cambria Math" w:hAnsi="Cambria Math"/>
              </w:rPr>
              <m:t>ARR 2021+ARR 2022+ARR 2023</m:t>
            </m:r>
          </m:num>
          <m:den>
            <m:r>
              <w:rPr>
                <w:rFonts w:ascii="Cambria Math" w:hAnsi="Cambria Math"/>
              </w:rPr>
              <m:t>3</m:t>
            </m:r>
          </m:den>
        </m:f>
      </m:oMath>
    </w:p>
    <w:p w14:paraId="00B3D8F5" w14:textId="77777777" w:rsidR="00950B25" w:rsidRDefault="005E1E93" w:rsidP="00950B25">
      <w:pPr>
        <w:jc w:val="center"/>
        <w:rPr>
          <w:rFonts w:eastAsiaTheme="minorEastAsia"/>
        </w:rPr>
      </w:pPr>
      <w:r>
        <w:rPr>
          <w:rFonts w:eastAsiaTheme="minorEastAsia"/>
        </w:rPr>
        <w:t>Putting the values</w:t>
      </w:r>
    </w:p>
    <w:p w14:paraId="0E96DDC3" w14:textId="77777777" w:rsidR="00950B25" w:rsidRDefault="005E1E93" w:rsidP="00950B25">
      <w:pPr>
        <w:jc w:val="center"/>
        <w:rPr>
          <w:rFonts w:eastAsiaTheme="minorEastAsia"/>
        </w:rPr>
      </w:pPr>
      <w:r>
        <w:t xml:space="preserve">Average room rate = </w:t>
      </w:r>
      <m:oMath>
        <m:f>
          <m:fPr>
            <m:ctrlPr>
              <w:rPr>
                <w:rFonts w:ascii="Cambria Math" w:hAnsi="Cambria Math"/>
                <w:i/>
                <w:color w:val="auto"/>
                <w:sz w:val="22"/>
              </w:rPr>
            </m:ctrlPr>
          </m:fPr>
          <m:num>
            <m:r>
              <m:rPr>
                <m:sty m:val="p"/>
              </m:rPr>
              <w:rPr>
                <w:rStyle w:val="katex-mathml"/>
                <w:rFonts w:ascii="Cambria Math" w:hAnsi="Cambria Math"/>
                <w:color w:val="0D0D0D"/>
                <w:sz w:val="29"/>
                <w:szCs w:val="29"/>
                <w:bdr w:val="none" w:sz="0" w:space="0" w:color="auto" w:frame="1"/>
              </w:rPr>
              <m:t>£260+£240+£210</m:t>
            </m:r>
          </m:num>
          <m:den>
            <m:r>
              <w:rPr>
                <w:rFonts w:ascii="Cambria Math" w:hAnsi="Cambria Math"/>
              </w:rPr>
              <m:t>3</m:t>
            </m:r>
          </m:den>
        </m:f>
      </m:oMath>
    </w:p>
    <w:p w14:paraId="4CC64281" w14:textId="77777777" w:rsidR="00950B25" w:rsidRDefault="005E1E93" w:rsidP="00950B25">
      <w:pPr>
        <w:jc w:val="center"/>
        <w:rPr>
          <w:rFonts w:eastAsiaTheme="minorEastAsia"/>
        </w:rPr>
      </w:pPr>
      <w:r>
        <w:rPr>
          <w:rFonts w:eastAsiaTheme="minorEastAsia"/>
        </w:rPr>
        <w:t xml:space="preserve">Average room rate = </w:t>
      </w:r>
      <m:oMath>
        <m:f>
          <m:fPr>
            <m:ctrlPr>
              <w:rPr>
                <w:rFonts w:ascii="Cambria Math" w:eastAsiaTheme="minorEastAsia" w:hAnsi="Cambria Math"/>
                <w:i/>
                <w:color w:val="auto"/>
                <w:sz w:val="22"/>
              </w:rPr>
            </m:ctrlPr>
          </m:fPr>
          <m:num>
            <m:r>
              <m:rPr>
                <m:sty m:val="p"/>
              </m:rPr>
              <w:rPr>
                <w:rStyle w:val="katex-mathml"/>
                <w:rFonts w:ascii="Cambria Math" w:hAnsi="Cambria Math"/>
                <w:color w:val="0D0D0D"/>
                <w:sz w:val="29"/>
                <w:szCs w:val="29"/>
                <w:bdr w:val="none" w:sz="0" w:space="0" w:color="auto" w:frame="1"/>
              </w:rPr>
              <m:t>£</m:t>
            </m:r>
            <m:r>
              <m:rPr>
                <m:sty m:val="p"/>
              </m:rPr>
              <w:rPr>
                <w:rStyle w:val="katex-mathml"/>
                <w:rFonts w:ascii="Cambria Math"/>
                <w:color w:val="0D0D0D"/>
                <w:sz w:val="29"/>
                <w:szCs w:val="29"/>
                <w:bdr w:val="none" w:sz="0" w:space="0" w:color="auto" w:frame="1"/>
              </w:rPr>
              <m:t xml:space="preserve"> 7103</m:t>
            </m:r>
          </m:num>
          <m:den>
            <m:r>
              <w:rPr>
                <w:rFonts w:ascii="Cambria Math" w:eastAsiaTheme="minorEastAsia" w:hAnsi="Cambria Math"/>
              </w:rPr>
              <m:t>3</m:t>
            </m:r>
          </m:den>
        </m:f>
      </m:oMath>
    </w:p>
    <w:p w14:paraId="6CF22AD6" w14:textId="77777777" w:rsidR="00950B25" w:rsidRPr="00950B25" w:rsidRDefault="005E1E93" w:rsidP="00C9300E">
      <w:pPr>
        <w:jc w:val="left"/>
        <w:rPr>
          <w:rFonts w:eastAsiaTheme="minorEastAsia"/>
        </w:rPr>
      </w:pPr>
      <w:r>
        <w:rPr>
          <w:rFonts w:eastAsiaTheme="minorEastAsia"/>
        </w:rPr>
        <w:t xml:space="preserve">For Seacrest Lodge average room rate for the three years of Seacrest Lodge is </w:t>
      </w:r>
      <w:r>
        <w:rPr>
          <w:rStyle w:val="katex-mathml"/>
          <w:color w:val="0D0D0D"/>
          <w:sz w:val="29"/>
          <w:szCs w:val="29"/>
          <w:bdr w:val="none" w:sz="0" w:space="0" w:color="auto" w:frame="1"/>
        </w:rPr>
        <w:t>£236.67.</w:t>
      </w:r>
    </w:p>
    <w:p w14:paraId="21623F57" w14:textId="77777777" w:rsidR="00950B25" w:rsidRDefault="005E1E93" w:rsidP="00950B25">
      <w:pPr>
        <w:pStyle w:val="Heading2"/>
      </w:pPr>
      <w:bookmarkStart w:id="8" w:name="_Toc167811840"/>
      <w:r>
        <w:t>Occupancy rate</w:t>
      </w:r>
      <w:bookmarkEnd w:id="8"/>
    </w:p>
    <w:p w14:paraId="5124C026" w14:textId="77777777" w:rsidR="00950B25" w:rsidRDefault="005E1E93" w:rsidP="00950B25">
      <w:pPr>
        <w:rPr>
          <w:rFonts w:eastAsiaTheme="minorEastAsia"/>
        </w:rPr>
      </w:pPr>
      <w:r>
        <w:t>The ratio of occupied rooms to the available room space is called the occupancy rate. This ratio helps businesses to understand commercial and real estate changes in the business in the hospitality sector and resorts</w:t>
      </w:r>
      <w:r w:rsidR="00B16FF7">
        <w:t xml:space="preserve"> (</w:t>
      </w:r>
      <w:r w:rsidR="00B16FF7" w:rsidRPr="00B16FF7">
        <w:t>Kim and Srebric, 2017).</w:t>
      </w:r>
    </w:p>
    <w:p w14:paraId="09EC5FF4" w14:textId="77777777" w:rsidR="00C9300E" w:rsidRDefault="005E1E93" w:rsidP="00C9300E">
      <w:pPr>
        <w:rPr>
          <w:rFonts w:eastAsiaTheme="minorEastAsia"/>
        </w:rPr>
      </w:pPr>
      <w:r>
        <w:rPr>
          <w:rFonts w:eastAsiaTheme="minorEastAsia"/>
        </w:rPr>
        <w:t>For the calculation of the occupancy rate of Seacrest Lodge following formula is applied;</w:t>
      </w:r>
    </w:p>
    <w:p w14:paraId="4C29C791" w14:textId="77777777" w:rsidR="00C9300E" w:rsidRDefault="005E1E93" w:rsidP="00C9300E">
      <w:pPr>
        <w:jc w:val="center"/>
        <w:rPr>
          <w:rFonts w:eastAsiaTheme="minorEastAsia"/>
        </w:rPr>
      </w:pPr>
      <w:r>
        <w:rPr>
          <w:rFonts w:eastAsiaTheme="minorEastAsia"/>
        </w:rPr>
        <w:lastRenderedPageBreak/>
        <w:t xml:space="preserve">Occupancy rate = </w:t>
      </w:r>
      <m:oMath>
        <m:f>
          <m:fPr>
            <m:ctrlPr>
              <w:rPr>
                <w:rFonts w:ascii="Cambria Math" w:eastAsiaTheme="minorEastAsia" w:hAnsi="Cambria Math"/>
                <w:i/>
                <w:color w:val="auto"/>
                <w:sz w:val="22"/>
              </w:rPr>
            </m:ctrlPr>
          </m:fPr>
          <m:num>
            <m:r>
              <w:rPr>
                <w:rFonts w:ascii="Cambria Math" w:eastAsiaTheme="minorEastAsia" w:hAnsi="Cambria Math"/>
              </w:rPr>
              <m:t>Occupancy rate 2021+Occupancy rate 2022+Occupancy rate 2023</m:t>
            </m:r>
          </m:num>
          <m:den>
            <m:r>
              <w:rPr>
                <w:rFonts w:ascii="Cambria Math" w:eastAsiaTheme="minorEastAsia" w:hAnsi="Cambria Math"/>
              </w:rPr>
              <m:t>3</m:t>
            </m:r>
          </m:den>
        </m:f>
      </m:oMath>
    </w:p>
    <w:p w14:paraId="35AB84C6" w14:textId="77777777" w:rsidR="00C9300E" w:rsidRDefault="005E1E93" w:rsidP="00C9300E">
      <w:pPr>
        <w:jc w:val="center"/>
        <w:rPr>
          <w:rFonts w:eastAsiaTheme="minorEastAsia"/>
        </w:rPr>
      </w:pPr>
      <w:r>
        <w:rPr>
          <w:rFonts w:eastAsiaTheme="minorEastAsia"/>
        </w:rPr>
        <w:t xml:space="preserve">Occupancy rate = </w:t>
      </w:r>
      <m:oMath>
        <m:f>
          <m:fPr>
            <m:ctrlPr>
              <w:rPr>
                <w:rFonts w:ascii="Cambria Math" w:eastAsiaTheme="minorEastAsia" w:hAnsi="Cambria Math"/>
                <w:i/>
                <w:color w:val="auto"/>
                <w:sz w:val="22"/>
              </w:rPr>
            </m:ctrlPr>
          </m:fPr>
          <m:num>
            <m:r>
              <w:rPr>
                <w:rFonts w:ascii="Cambria Math" w:eastAsiaTheme="minorEastAsia" w:hAnsi="Cambria Math"/>
              </w:rPr>
              <m:t>65%+60%+50%</m:t>
            </m:r>
          </m:num>
          <m:den>
            <m:r>
              <w:rPr>
                <w:rFonts w:ascii="Cambria Math" w:eastAsiaTheme="minorEastAsia" w:hAnsi="Cambria Math"/>
              </w:rPr>
              <m:t>3</m:t>
            </m:r>
          </m:den>
        </m:f>
      </m:oMath>
    </w:p>
    <w:p w14:paraId="1011707B" w14:textId="77777777" w:rsidR="00C9300E" w:rsidRDefault="005E1E93" w:rsidP="00C9300E">
      <w:pPr>
        <w:jc w:val="center"/>
        <w:rPr>
          <w:rFonts w:eastAsiaTheme="minorEastAsia"/>
        </w:rPr>
      </w:pPr>
      <w:r>
        <w:rPr>
          <w:rFonts w:eastAsiaTheme="minorEastAsia"/>
        </w:rPr>
        <w:t xml:space="preserve">Occupancy rate = </w:t>
      </w:r>
      <m:oMath>
        <m:f>
          <m:fPr>
            <m:ctrlPr>
              <w:rPr>
                <w:rFonts w:ascii="Cambria Math" w:eastAsiaTheme="minorEastAsia" w:hAnsi="Cambria Math"/>
                <w:i/>
                <w:color w:val="auto"/>
                <w:sz w:val="22"/>
              </w:rPr>
            </m:ctrlPr>
          </m:fPr>
          <m:num>
            <m:r>
              <w:rPr>
                <w:rFonts w:ascii="Cambria Math" w:eastAsiaTheme="minorEastAsia" w:hAnsi="Cambria Math"/>
              </w:rPr>
              <m:t>175</m:t>
            </m:r>
          </m:num>
          <m:den>
            <m:r>
              <w:rPr>
                <w:rFonts w:ascii="Cambria Math" w:eastAsiaTheme="minorEastAsia" w:hAnsi="Cambria Math"/>
              </w:rPr>
              <m:t>3</m:t>
            </m:r>
          </m:den>
        </m:f>
      </m:oMath>
    </w:p>
    <w:p w14:paraId="0814DC47" w14:textId="77777777" w:rsidR="00C9300E" w:rsidRDefault="005E1E93" w:rsidP="00C9300E">
      <w:pPr>
        <w:jc w:val="center"/>
        <w:rPr>
          <w:rFonts w:eastAsiaTheme="minorEastAsia"/>
        </w:rPr>
      </w:pPr>
      <w:r>
        <w:rPr>
          <w:rFonts w:eastAsiaTheme="minorEastAsia"/>
        </w:rPr>
        <w:t>Occupancy rate = 58.33%</w:t>
      </w:r>
    </w:p>
    <w:p w14:paraId="23534F1C" w14:textId="77777777" w:rsidR="00C9300E" w:rsidRDefault="005E1E93" w:rsidP="00C9300E">
      <w:pPr>
        <w:rPr>
          <w:rFonts w:eastAsiaTheme="minorEastAsia"/>
        </w:rPr>
      </w:pPr>
      <w:r>
        <w:rPr>
          <w:rFonts w:eastAsiaTheme="minorEastAsia"/>
        </w:rPr>
        <w:t>For Seacrest Lodge average occupancy rate for the years 2021, 2022 and 2023 is 58.33%.</w:t>
      </w:r>
    </w:p>
    <w:p w14:paraId="4E0EAB4E" w14:textId="77777777" w:rsidR="00C9300E" w:rsidRDefault="005E1E93" w:rsidP="00C9300E">
      <w:pPr>
        <w:pStyle w:val="Heading1"/>
        <w:rPr>
          <w:rFonts w:eastAsiaTheme="minorEastAsia"/>
        </w:rPr>
      </w:pPr>
      <w:bookmarkStart w:id="9" w:name="_Toc167811841"/>
      <w:r>
        <w:rPr>
          <w:rFonts w:eastAsiaTheme="minorEastAsia"/>
        </w:rPr>
        <w:t>Turnaround strategy</w:t>
      </w:r>
      <w:bookmarkEnd w:id="9"/>
    </w:p>
    <w:p w14:paraId="23CEA9C7" w14:textId="77777777" w:rsidR="001452B1" w:rsidRPr="001F7BA5" w:rsidRDefault="005E1E93" w:rsidP="001452B1">
      <w:pPr>
        <w:rPr>
          <w:color w:val="auto"/>
          <w:sz w:val="22"/>
          <w:szCs w:val="20"/>
        </w:rPr>
      </w:pPr>
      <w:r w:rsidRPr="001F7BA5">
        <w:rPr>
          <w:rStyle w:val="oxzekf"/>
          <w:rFonts w:cs="Arial"/>
          <w:color w:val="auto"/>
          <w:szCs w:val="24"/>
          <w:shd w:val="clear" w:color="auto" w:fill="FFFFFF"/>
        </w:rPr>
        <w:t>Turnaround strategies are the procedures that help companies restore their financial health and viability when they are not performing well. The major goal of a turnaround strategy is to prevent insolvency and liquidation in return for profit. These are different from other approaches to management and focus on enhancing sales, cutting costs and crisis management</w:t>
      </w:r>
      <w:r w:rsidR="00B16FF7" w:rsidRPr="001F7BA5">
        <w:rPr>
          <w:rStyle w:val="oxzekf"/>
          <w:rFonts w:cs="Arial"/>
          <w:color w:val="auto"/>
          <w:szCs w:val="24"/>
          <w:shd w:val="clear" w:color="auto" w:fill="FFFFFF"/>
        </w:rPr>
        <w:t xml:space="preserve"> (</w:t>
      </w:r>
      <w:r w:rsidR="00B16FF7" w:rsidRPr="001F7BA5">
        <w:rPr>
          <w:color w:val="auto"/>
        </w:rPr>
        <w:t>Ukaidi, 2016)</w:t>
      </w:r>
      <w:r w:rsidRPr="001F7BA5">
        <w:rPr>
          <w:color w:val="auto"/>
        </w:rPr>
        <w:t>.</w:t>
      </w:r>
      <w:r w:rsidRPr="001F7BA5">
        <w:rPr>
          <w:rStyle w:val="oxzekf"/>
          <w:rFonts w:cs="Arial"/>
          <w:color w:val="auto"/>
          <w:szCs w:val="24"/>
          <w:shd w:val="clear" w:color="auto" w:fill="FFFFFF"/>
        </w:rPr>
        <w:t xml:space="preserve"> The turnaround strategies that help Seacrest revitalize its financial health are as under:</w:t>
      </w:r>
    </w:p>
    <w:p w14:paraId="4A53F3FC" w14:textId="77777777" w:rsidR="001452B1" w:rsidRPr="001452B1" w:rsidRDefault="005E1E93" w:rsidP="001452B1">
      <w:pPr>
        <w:pStyle w:val="ListParagraph"/>
        <w:numPr>
          <w:ilvl w:val="0"/>
          <w:numId w:val="5"/>
        </w:numPr>
        <w:rPr>
          <w:shd w:val="clear" w:color="auto" w:fill="FFFFFF"/>
        </w:rPr>
      </w:pPr>
      <w:r w:rsidRPr="001452B1">
        <w:rPr>
          <w:shd w:val="clear" w:color="auto" w:fill="FFFFFF"/>
        </w:rPr>
        <w:t>As the expenses of Seacrest Lodge are more than the generated income it is obvious that the Lodge will be in the loss. It is the primary cause of which various hotel businesses fail or flop. Seacrest should ensure to reduce the cost and make more profit before the business</w:t>
      </w:r>
      <w:r w:rsidR="00B16FF7">
        <w:rPr>
          <w:shd w:val="clear" w:color="auto" w:fill="FFFFFF"/>
        </w:rPr>
        <w:t xml:space="preserve"> fails (</w:t>
      </w:r>
      <w:r w:rsidR="00B16FF7" w:rsidRPr="00B16FF7">
        <w:t>Revell, 2020).</w:t>
      </w:r>
    </w:p>
    <w:p w14:paraId="11C3E956" w14:textId="77777777" w:rsidR="001452B1" w:rsidRPr="001452B1" w:rsidRDefault="005E1E93" w:rsidP="001452B1">
      <w:pPr>
        <w:pStyle w:val="ListParagraph"/>
        <w:numPr>
          <w:ilvl w:val="0"/>
          <w:numId w:val="5"/>
        </w:numPr>
        <w:rPr>
          <w:shd w:val="clear" w:color="auto" w:fill="FFFFFF"/>
        </w:rPr>
      </w:pPr>
      <w:r w:rsidRPr="001452B1">
        <w:rPr>
          <w:shd w:val="clear" w:color="auto" w:fill="FFFFFF"/>
        </w:rPr>
        <w:t>Seacrest Lodge should develop effective marketing strategies to achieve better outcomes. As the currently the lodge is in a loss it can consider skipping marketing or adopting no-cost marketing strategies. Or the Lodge can directly tar</w:t>
      </w:r>
      <w:r w:rsidR="00B16FF7">
        <w:rPr>
          <w:shd w:val="clear" w:color="auto" w:fill="FFFFFF"/>
        </w:rPr>
        <w:t>get guests through social media (</w:t>
      </w:r>
      <w:r w:rsidR="00B16FF7" w:rsidRPr="00B16FF7">
        <w:t>Simister et al., 2023).</w:t>
      </w:r>
    </w:p>
    <w:p w14:paraId="23DB331A" w14:textId="77777777" w:rsidR="001452B1" w:rsidRPr="001452B1" w:rsidRDefault="005E1E93" w:rsidP="001452B1">
      <w:pPr>
        <w:pStyle w:val="ListParagraph"/>
        <w:numPr>
          <w:ilvl w:val="0"/>
          <w:numId w:val="5"/>
        </w:numPr>
        <w:rPr>
          <w:shd w:val="clear" w:color="auto" w:fill="FFFFFF"/>
        </w:rPr>
      </w:pPr>
      <w:r w:rsidRPr="001452B1">
        <w:rPr>
          <w:shd w:val="clear" w:color="auto" w:fill="FFFFFF"/>
        </w:rPr>
        <w:t>The Seacrest Lodge should develop effective pricing and flexible cancellation policies as they are the factors to which guests are attracted. Pricing strategies include various factors and as the Lodge does not want to lose its customers therefore it should set effective pricing strategies to gene</w:t>
      </w:r>
      <w:r w:rsidR="00B16FF7">
        <w:rPr>
          <w:shd w:val="clear" w:color="auto" w:fill="FFFFFF"/>
        </w:rPr>
        <w:t>rate more profit (</w:t>
      </w:r>
      <w:r w:rsidR="00B16FF7" w:rsidRPr="00B16FF7">
        <w:t>Benitez-Aurioles,</w:t>
      </w:r>
      <w:r w:rsidR="00B16FF7">
        <w:t xml:space="preserve"> </w:t>
      </w:r>
      <w:r w:rsidR="00B16FF7" w:rsidRPr="00B16FF7">
        <w:t>2018).</w:t>
      </w:r>
    </w:p>
    <w:p w14:paraId="2B444264" w14:textId="77777777" w:rsidR="001452B1" w:rsidRPr="001452B1" w:rsidRDefault="005E1E93" w:rsidP="001452B1">
      <w:pPr>
        <w:pStyle w:val="ListParagraph"/>
        <w:numPr>
          <w:ilvl w:val="0"/>
          <w:numId w:val="5"/>
        </w:numPr>
        <w:rPr>
          <w:shd w:val="clear" w:color="auto" w:fill="FFFFFF"/>
        </w:rPr>
      </w:pPr>
      <w:r w:rsidRPr="001452B1">
        <w:rPr>
          <w:shd w:val="clear" w:color="auto" w:fill="FFFFFF"/>
        </w:rPr>
        <w:t xml:space="preserve">As the business operations get complicated the Seacrest Lodge can take ideas from its staff and employees. At this stage, managers find it difficult to come up with new ideas and find solutions based on conclusions about the difficulties. Staff and employees at Seacrest Lodge are the ones who are actually </w:t>
      </w:r>
      <w:r w:rsidR="00CF42E9">
        <w:rPr>
          <w:shd w:val="clear" w:color="auto" w:fill="FFFFFF"/>
        </w:rPr>
        <w:t>at the front end of the business (</w:t>
      </w:r>
      <w:r w:rsidR="00CF42E9" w:rsidRPr="00CF42E9">
        <w:t>Dedeoğlu et al., 2018).</w:t>
      </w:r>
    </w:p>
    <w:p w14:paraId="74B3B6EA" w14:textId="77777777" w:rsidR="00C9300E" w:rsidRPr="001452B1" w:rsidRDefault="005E1E93" w:rsidP="001452B1">
      <w:pPr>
        <w:pStyle w:val="ListParagraph"/>
        <w:numPr>
          <w:ilvl w:val="0"/>
          <w:numId w:val="5"/>
        </w:numPr>
        <w:rPr>
          <w:shd w:val="clear" w:color="auto" w:fill="FFFFFF"/>
        </w:rPr>
      </w:pPr>
      <w:r w:rsidRPr="001452B1">
        <w:rPr>
          <w:shd w:val="clear" w:color="auto" w:fill="FFFFFF"/>
        </w:rPr>
        <w:lastRenderedPageBreak/>
        <w:t>Seacrest can also implement a low season strategy as low seasons have the potential to make or break the business. As the budget of Seacrest is already tight significant changes in bookings can have a great impact on revenue generation. The Lodge can implement the right procedures that help business to advance their tactics. The Lodge can attract more guests through smart plannin</w:t>
      </w:r>
      <w:r w:rsidR="00CF42E9">
        <w:rPr>
          <w:shd w:val="clear" w:color="auto" w:fill="FFFFFF"/>
        </w:rPr>
        <w:t>g and ideas even in low seasons (</w:t>
      </w:r>
      <w:r w:rsidR="00CF42E9" w:rsidRPr="005E1E93">
        <w:t>Corluka, 2019).</w:t>
      </w:r>
    </w:p>
    <w:p w14:paraId="2D7D1EE1" w14:textId="77777777" w:rsidR="00C9300E" w:rsidRDefault="005E1E93" w:rsidP="00C9300E">
      <w:pPr>
        <w:pStyle w:val="Heading1"/>
        <w:rPr>
          <w:rFonts w:eastAsia="Times New Roman"/>
        </w:rPr>
      </w:pPr>
      <w:bookmarkStart w:id="10" w:name="_Toc159682684"/>
      <w:bookmarkStart w:id="11" w:name="_Toc167811842"/>
      <w:r>
        <w:rPr>
          <w:rFonts w:eastAsia="Times New Roman"/>
        </w:rPr>
        <w:t>Financial projections</w:t>
      </w:r>
      <w:bookmarkEnd w:id="10"/>
      <w:bookmarkEnd w:id="11"/>
    </w:p>
    <w:p w14:paraId="3416588F" w14:textId="73DA9DF9" w:rsidR="00C9300E" w:rsidRDefault="005E1E93" w:rsidP="00C9300E">
      <w:pPr>
        <w:pStyle w:val="Heading2"/>
      </w:pPr>
      <w:bookmarkStart w:id="12" w:name="_Toc159682685"/>
      <w:bookmarkStart w:id="13" w:name="_Toc167811843"/>
      <w:r>
        <w:t>Income Statement</w:t>
      </w:r>
      <w:bookmarkEnd w:id="12"/>
      <w:bookmarkEnd w:id="13"/>
    </w:p>
    <w:p w14:paraId="24EB3C97" w14:textId="4B85A8E3" w:rsidR="00FD0AC9" w:rsidRPr="00FD0AC9" w:rsidRDefault="00FD0AC9" w:rsidP="00FD0AC9">
      <w:r>
        <w:rPr>
          <w:noProof/>
        </w:rPr>
        <w:drawing>
          <wp:inline distT="0" distB="0" distL="0" distR="0" wp14:anchorId="61ACF1D7" wp14:editId="2762B7FB">
            <wp:extent cx="5943600" cy="315341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153410"/>
                    </a:xfrm>
                    <a:prstGeom prst="rect">
                      <a:avLst/>
                    </a:prstGeom>
                  </pic:spPr>
                </pic:pic>
              </a:graphicData>
            </a:graphic>
          </wp:inline>
        </w:drawing>
      </w:r>
    </w:p>
    <w:p w14:paraId="3E8FCB1A" w14:textId="77777777" w:rsidR="00C9300E" w:rsidRDefault="00C9300E" w:rsidP="00C9300E">
      <w:pPr>
        <w:rPr>
          <w:rFonts w:cs="Times New Roman"/>
        </w:rPr>
      </w:pPr>
    </w:p>
    <w:p w14:paraId="2D6F7CF0" w14:textId="75A26451" w:rsidR="00C9300E" w:rsidRDefault="005E1E93" w:rsidP="00D07D8B">
      <w:pPr>
        <w:pStyle w:val="Heading2"/>
      </w:pPr>
      <w:bookmarkStart w:id="14" w:name="_Toc159682686"/>
      <w:bookmarkStart w:id="15" w:name="_Toc167811844"/>
      <w:r>
        <w:lastRenderedPageBreak/>
        <w:t>Balance Sheet</w:t>
      </w:r>
      <w:bookmarkEnd w:id="14"/>
      <w:bookmarkEnd w:id="15"/>
    </w:p>
    <w:p w14:paraId="0AA5902D" w14:textId="084C580D" w:rsidR="00FD0AC9" w:rsidRDefault="00FD0AC9" w:rsidP="00FD0AC9">
      <w:r>
        <w:rPr>
          <w:noProof/>
        </w:rPr>
        <w:drawing>
          <wp:inline distT="0" distB="0" distL="0" distR="0" wp14:anchorId="4EB0E3DF" wp14:editId="71B51C99">
            <wp:extent cx="5943600" cy="26365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636520"/>
                    </a:xfrm>
                    <a:prstGeom prst="rect">
                      <a:avLst/>
                    </a:prstGeom>
                  </pic:spPr>
                </pic:pic>
              </a:graphicData>
            </a:graphic>
          </wp:inline>
        </w:drawing>
      </w:r>
    </w:p>
    <w:p w14:paraId="59E65D9E" w14:textId="77777777" w:rsidR="00FD0AC9" w:rsidRPr="00FD0AC9" w:rsidRDefault="00FD0AC9" w:rsidP="00FD0AC9"/>
    <w:p w14:paraId="7F0DCEA2" w14:textId="622C4694" w:rsidR="00C9300E" w:rsidRDefault="005E1E93" w:rsidP="00D07D8B">
      <w:pPr>
        <w:pStyle w:val="Heading2"/>
        <w:spacing w:line="240" w:lineRule="auto"/>
        <w:jc w:val="left"/>
      </w:pPr>
      <w:bookmarkStart w:id="16" w:name="_Toc159682687"/>
      <w:bookmarkStart w:id="17" w:name="_Toc167811845"/>
      <w:r>
        <w:t>Cash Flow Statement</w:t>
      </w:r>
      <w:bookmarkEnd w:id="16"/>
      <w:bookmarkEnd w:id="17"/>
    </w:p>
    <w:p w14:paraId="579C81E4" w14:textId="190FC754" w:rsidR="00FD0AC9" w:rsidRPr="00FD0AC9" w:rsidRDefault="00FD0AC9" w:rsidP="00FD0AC9">
      <w:r>
        <w:rPr>
          <w:noProof/>
        </w:rPr>
        <w:drawing>
          <wp:inline distT="0" distB="0" distL="0" distR="0" wp14:anchorId="0D5EAD6C" wp14:editId="011B6927">
            <wp:extent cx="5943600" cy="2624455"/>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624455"/>
                    </a:xfrm>
                    <a:prstGeom prst="rect">
                      <a:avLst/>
                    </a:prstGeom>
                  </pic:spPr>
                </pic:pic>
              </a:graphicData>
            </a:graphic>
          </wp:inline>
        </w:drawing>
      </w:r>
    </w:p>
    <w:p w14:paraId="469815EC" w14:textId="77777777" w:rsidR="00C9300E" w:rsidRPr="0045524E" w:rsidRDefault="00C9300E" w:rsidP="00C9300E"/>
    <w:p w14:paraId="538DEAB5" w14:textId="77777777" w:rsidR="00950B25" w:rsidRDefault="005E1E93" w:rsidP="001452B1">
      <w:pPr>
        <w:pStyle w:val="Heading1"/>
      </w:pPr>
      <w:bookmarkStart w:id="18" w:name="_Toc167811846"/>
      <w:r>
        <w:t>Conclusion</w:t>
      </w:r>
      <w:bookmarkEnd w:id="18"/>
    </w:p>
    <w:p w14:paraId="0671F1C8" w14:textId="77777777" w:rsidR="00B16FF7" w:rsidRDefault="005E1E93" w:rsidP="00B16FF7">
      <w:r>
        <w:rPr>
          <w:shd w:val="clear" w:color="auto" w:fill="FFFFFF"/>
        </w:rPr>
        <w:t xml:space="preserve">Seacrest Lodge is facing financial losses that are in the form of revenue decline, low average room rate, and low occupancy rate in the last three years for years 2021, 2022 and 2023. The financial analysis has highlighted the causes of the ineffective financial health of the Seacrest Lodge. To revitalize its financial health Seacrets can develop a turnaround strategy that is focused on reducing </w:t>
      </w:r>
      <w:r>
        <w:rPr>
          <w:shd w:val="clear" w:color="auto" w:fill="FFFFFF"/>
        </w:rPr>
        <w:lastRenderedPageBreak/>
        <w:t>cost, effective marketing and enhancing guests' experience. Investments and planning help Seacrest to grow sustainably enhance customer satisfaction and achieve its market position.</w:t>
      </w:r>
    </w:p>
    <w:p w14:paraId="5C5538D5" w14:textId="77777777" w:rsidR="001452B1" w:rsidRPr="001452B1" w:rsidRDefault="001452B1" w:rsidP="001452B1"/>
    <w:p w14:paraId="4C721F8A" w14:textId="77777777" w:rsidR="00FF31C9" w:rsidRPr="00FF31C9" w:rsidRDefault="00FF31C9" w:rsidP="00FF31C9"/>
    <w:p w14:paraId="5130DB01" w14:textId="77777777" w:rsidR="008540A3" w:rsidRPr="008540A3" w:rsidRDefault="008540A3" w:rsidP="008540A3"/>
    <w:p w14:paraId="5A4EA874" w14:textId="77777777" w:rsidR="00E44250" w:rsidRDefault="00E44250" w:rsidP="00E44250"/>
    <w:p w14:paraId="16A143FC" w14:textId="77777777" w:rsidR="008337DB" w:rsidRDefault="008337DB">
      <w:pPr>
        <w:spacing w:line="259" w:lineRule="auto"/>
        <w:jc w:val="left"/>
      </w:pPr>
    </w:p>
    <w:p w14:paraId="43B9C5DB" w14:textId="77777777" w:rsidR="00C55216" w:rsidRDefault="005E1E93" w:rsidP="008337DB">
      <w:pPr>
        <w:pStyle w:val="Heading1"/>
      </w:pPr>
      <w:bookmarkStart w:id="19" w:name="_Toc167811847"/>
      <w:r>
        <w:t>References</w:t>
      </w:r>
      <w:bookmarkEnd w:id="19"/>
    </w:p>
    <w:p w14:paraId="1050A781" w14:textId="77777777" w:rsidR="001F7BA5" w:rsidRPr="001F7BA5" w:rsidRDefault="001F7BA5" w:rsidP="001F7BA5">
      <w:pPr>
        <w:ind w:left="720" w:hanging="720"/>
        <w:rPr>
          <w:rFonts w:cs="Times New Roman"/>
          <w:szCs w:val="24"/>
          <w:shd w:val="clear" w:color="auto" w:fill="FFFFFF"/>
        </w:rPr>
      </w:pPr>
      <w:proofErr w:type="spellStart"/>
      <w:r w:rsidRPr="001F7BA5">
        <w:rPr>
          <w:rFonts w:cs="Times New Roman"/>
          <w:color w:val="222222"/>
          <w:szCs w:val="24"/>
          <w:shd w:val="clear" w:color="auto" w:fill="FFFFFF"/>
        </w:rPr>
        <w:t>Aripin</w:t>
      </w:r>
      <w:proofErr w:type="spellEnd"/>
      <w:r w:rsidRPr="001F7BA5">
        <w:rPr>
          <w:rFonts w:cs="Times New Roman"/>
          <w:color w:val="222222"/>
          <w:szCs w:val="24"/>
          <w:shd w:val="clear" w:color="auto" w:fill="FFFFFF"/>
        </w:rPr>
        <w:t>, Z. and Agusiady, R., 2024. STRATEGIES FOR MAINTAINING CUSTOMER SATISFACTION POST PRODUCT RECALL: SYNERGY OF SETTLEMENT, BRAND EQUITY, AND LEVEL OF SEVERITY. </w:t>
      </w:r>
      <w:r w:rsidRPr="001F7BA5">
        <w:rPr>
          <w:rFonts w:cs="Times New Roman"/>
          <w:i/>
          <w:iCs/>
          <w:color w:val="222222"/>
          <w:szCs w:val="24"/>
          <w:shd w:val="clear" w:color="auto" w:fill="FFFFFF"/>
        </w:rPr>
        <w:t>Journal of Economics, Accounting, Business, Management, Engineering and Society</w:t>
      </w:r>
      <w:r w:rsidRPr="001F7BA5">
        <w:rPr>
          <w:rFonts w:cs="Times New Roman"/>
          <w:color w:val="222222"/>
          <w:szCs w:val="24"/>
          <w:shd w:val="clear" w:color="auto" w:fill="FFFFFF"/>
        </w:rPr>
        <w:t>, </w:t>
      </w:r>
      <w:r w:rsidRPr="001F7BA5">
        <w:rPr>
          <w:rFonts w:cs="Times New Roman"/>
          <w:i/>
          <w:iCs/>
          <w:color w:val="222222"/>
          <w:szCs w:val="24"/>
          <w:shd w:val="clear" w:color="auto" w:fill="FFFFFF"/>
        </w:rPr>
        <w:t>1</w:t>
      </w:r>
      <w:r w:rsidRPr="001F7BA5">
        <w:rPr>
          <w:rFonts w:cs="Times New Roman"/>
          <w:color w:val="222222"/>
          <w:szCs w:val="24"/>
          <w:shd w:val="clear" w:color="auto" w:fill="FFFFFF"/>
        </w:rPr>
        <w:t>(3), pp.63-77.</w:t>
      </w:r>
    </w:p>
    <w:p w14:paraId="0136CB9F" w14:textId="77777777" w:rsidR="001F7BA5" w:rsidRPr="001F7BA5" w:rsidRDefault="001F7BA5" w:rsidP="001F7BA5">
      <w:pPr>
        <w:ind w:left="720" w:hanging="720"/>
        <w:rPr>
          <w:rFonts w:cs="Times New Roman"/>
          <w:szCs w:val="24"/>
          <w:shd w:val="clear" w:color="auto" w:fill="FFFFFF"/>
        </w:rPr>
      </w:pPr>
      <w:r w:rsidRPr="001F7BA5">
        <w:rPr>
          <w:rFonts w:cs="Times New Roman"/>
          <w:szCs w:val="24"/>
          <w:shd w:val="clear" w:color="auto" w:fill="FFFFFF"/>
        </w:rPr>
        <w:t>Benitez-Aurioles, B., 2018. Why are flexible booking policies priced negatively? </w:t>
      </w:r>
      <w:r w:rsidRPr="001F7BA5">
        <w:rPr>
          <w:rFonts w:cs="Times New Roman"/>
          <w:i/>
          <w:iCs/>
          <w:szCs w:val="24"/>
          <w:shd w:val="clear" w:color="auto" w:fill="FFFFFF"/>
        </w:rPr>
        <w:t>Tourism Management</w:t>
      </w:r>
      <w:r w:rsidRPr="001F7BA5">
        <w:rPr>
          <w:rFonts w:cs="Times New Roman"/>
          <w:szCs w:val="24"/>
          <w:shd w:val="clear" w:color="auto" w:fill="FFFFFF"/>
        </w:rPr>
        <w:t>, </w:t>
      </w:r>
      <w:r w:rsidRPr="001F7BA5">
        <w:rPr>
          <w:rFonts w:cs="Times New Roman"/>
          <w:i/>
          <w:iCs/>
          <w:szCs w:val="24"/>
          <w:shd w:val="clear" w:color="auto" w:fill="FFFFFF"/>
        </w:rPr>
        <w:t>67</w:t>
      </w:r>
      <w:r w:rsidRPr="001F7BA5">
        <w:rPr>
          <w:rFonts w:cs="Times New Roman"/>
          <w:szCs w:val="24"/>
          <w:shd w:val="clear" w:color="auto" w:fill="FFFFFF"/>
        </w:rPr>
        <w:t>, pp.312-325.</w:t>
      </w:r>
    </w:p>
    <w:p w14:paraId="2E2E3861" w14:textId="77777777" w:rsidR="001F7BA5" w:rsidRPr="001F7BA5" w:rsidRDefault="001F7BA5" w:rsidP="001F7BA5">
      <w:pPr>
        <w:ind w:left="720" w:hanging="720"/>
        <w:rPr>
          <w:rFonts w:cs="Times New Roman"/>
          <w:szCs w:val="24"/>
          <w:shd w:val="clear" w:color="auto" w:fill="FFFFFF"/>
        </w:rPr>
      </w:pPr>
      <w:r w:rsidRPr="001F7BA5">
        <w:rPr>
          <w:rFonts w:cs="Times New Roman"/>
          <w:szCs w:val="24"/>
          <w:shd w:val="clear" w:color="auto" w:fill="FFFFFF"/>
        </w:rPr>
        <w:t>Castillo, E.A., 2016. Beyond the Balance Sheet. </w:t>
      </w:r>
      <w:r w:rsidRPr="001F7BA5">
        <w:rPr>
          <w:rFonts w:cs="Times New Roman"/>
          <w:i/>
          <w:iCs/>
          <w:szCs w:val="24"/>
          <w:shd w:val="clear" w:color="auto" w:fill="FFFFFF"/>
        </w:rPr>
        <w:t>Journal of Nonprofit Education &amp; Leadership</w:t>
      </w:r>
      <w:r w:rsidRPr="001F7BA5">
        <w:rPr>
          <w:rFonts w:cs="Times New Roman"/>
          <w:szCs w:val="24"/>
          <w:shd w:val="clear" w:color="auto" w:fill="FFFFFF"/>
        </w:rPr>
        <w:t>, </w:t>
      </w:r>
      <w:r w:rsidRPr="001F7BA5">
        <w:rPr>
          <w:rFonts w:cs="Times New Roman"/>
          <w:i/>
          <w:iCs/>
          <w:szCs w:val="24"/>
          <w:shd w:val="clear" w:color="auto" w:fill="FFFFFF"/>
        </w:rPr>
        <w:t>6</w:t>
      </w:r>
      <w:r w:rsidRPr="001F7BA5">
        <w:rPr>
          <w:rFonts w:cs="Times New Roman"/>
          <w:szCs w:val="24"/>
          <w:shd w:val="clear" w:color="auto" w:fill="FFFFFF"/>
        </w:rPr>
        <w:t>(3).</w:t>
      </w:r>
    </w:p>
    <w:p w14:paraId="3E359BC2" w14:textId="77777777" w:rsidR="001F7BA5" w:rsidRPr="001F7BA5" w:rsidRDefault="001F7BA5" w:rsidP="001F7BA5">
      <w:pPr>
        <w:ind w:left="720" w:hanging="720"/>
        <w:rPr>
          <w:rFonts w:cs="Times New Roman"/>
          <w:szCs w:val="24"/>
          <w:shd w:val="clear" w:color="auto" w:fill="FFFFFF"/>
        </w:rPr>
      </w:pPr>
      <w:r w:rsidRPr="001F7BA5">
        <w:rPr>
          <w:rFonts w:cs="Times New Roman"/>
          <w:szCs w:val="24"/>
          <w:shd w:val="clear" w:color="auto" w:fill="FFFFFF"/>
        </w:rPr>
        <w:t>Chattopadhyay, M. and Mitra, S.K., 2019. Determinants of revenue per available room: Influential roles of average daily rate, demand, seasonality and yearly trend. </w:t>
      </w:r>
      <w:r w:rsidRPr="001F7BA5">
        <w:rPr>
          <w:rFonts w:cs="Times New Roman"/>
          <w:i/>
          <w:iCs/>
          <w:szCs w:val="24"/>
          <w:shd w:val="clear" w:color="auto" w:fill="FFFFFF"/>
        </w:rPr>
        <w:t>International Journal of Hospitality Management</w:t>
      </w:r>
      <w:r w:rsidRPr="001F7BA5">
        <w:rPr>
          <w:rFonts w:cs="Times New Roman"/>
          <w:szCs w:val="24"/>
          <w:shd w:val="clear" w:color="auto" w:fill="FFFFFF"/>
        </w:rPr>
        <w:t>, </w:t>
      </w:r>
      <w:r w:rsidRPr="001F7BA5">
        <w:rPr>
          <w:rFonts w:cs="Times New Roman"/>
          <w:i/>
          <w:iCs/>
          <w:szCs w:val="24"/>
          <w:shd w:val="clear" w:color="auto" w:fill="FFFFFF"/>
        </w:rPr>
        <w:t>77</w:t>
      </w:r>
      <w:r w:rsidRPr="001F7BA5">
        <w:rPr>
          <w:rFonts w:cs="Times New Roman"/>
          <w:szCs w:val="24"/>
          <w:shd w:val="clear" w:color="auto" w:fill="FFFFFF"/>
        </w:rPr>
        <w:t>, pp.573-582.</w:t>
      </w:r>
    </w:p>
    <w:p w14:paraId="29A54180" w14:textId="77777777" w:rsidR="001F7BA5" w:rsidRPr="001F7BA5" w:rsidRDefault="001F7BA5" w:rsidP="001F7BA5">
      <w:pPr>
        <w:ind w:left="720" w:hanging="720"/>
        <w:rPr>
          <w:rFonts w:cs="Times New Roman"/>
          <w:szCs w:val="24"/>
          <w:shd w:val="clear" w:color="auto" w:fill="FFFFFF"/>
        </w:rPr>
      </w:pPr>
      <w:r w:rsidRPr="001F7BA5">
        <w:rPr>
          <w:rFonts w:cs="Times New Roman"/>
          <w:color w:val="222222"/>
          <w:szCs w:val="24"/>
          <w:shd w:val="clear" w:color="auto" w:fill="FFFFFF"/>
        </w:rPr>
        <w:t>Chen, Y., Shan, B., Yu, X., Zhang, Q. and Ren, Q., 2022. Comprehensive effect of the three-dimensional spatial distribution pattern of buildings on the urban thermal environment. </w:t>
      </w:r>
      <w:r w:rsidRPr="001F7BA5">
        <w:rPr>
          <w:rFonts w:cs="Times New Roman"/>
          <w:i/>
          <w:iCs/>
          <w:color w:val="222222"/>
          <w:szCs w:val="24"/>
          <w:shd w:val="clear" w:color="auto" w:fill="FFFFFF"/>
        </w:rPr>
        <w:t>Urban Climate</w:t>
      </w:r>
      <w:r w:rsidRPr="001F7BA5">
        <w:rPr>
          <w:rFonts w:cs="Times New Roman"/>
          <w:color w:val="222222"/>
          <w:szCs w:val="24"/>
          <w:shd w:val="clear" w:color="auto" w:fill="FFFFFF"/>
        </w:rPr>
        <w:t>, </w:t>
      </w:r>
      <w:r w:rsidRPr="001F7BA5">
        <w:rPr>
          <w:rFonts w:cs="Times New Roman"/>
          <w:i/>
          <w:iCs/>
          <w:color w:val="222222"/>
          <w:szCs w:val="24"/>
          <w:shd w:val="clear" w:color="auto" w:fill="FFFFFF"/>
        </w:rPr>
        <w:t>46</w:t>
      </w:r>
      <w:r w:rsidRPr="001F7BA5">
        <w:rPr>
          <w:rFonts w:cs="Times New Roman"/>
          <w:color w:val="222222"/>
          <w:szCs w:val="24"/>
          <w:shd w:val="clear" w:color="auto" w:fill="FFFFFF"/>
        </w:rPr>
        <w:t>, p.101324.</w:t>
      </w:r>
    </w:p>
    <w:p w14:paraId="43CE8964" w14:textId="77777777" w:rsidR="001F7BA5" w:rsidRPr="001F7BA5" w:rsidRDefault="001F7BA5" w:rsidP="001F7BA5">
      <w:pPr>
        <w:ind w:left="720" w:hanging="720"/>
        <w:rPr>
          <w:rFonts w:cs="Times New Roman"/>
          <w:szCs w:val="24"/>
          <w:shd w:val="clear" w:color="auto" w:fill="FFFFFF"/>
        </w:rPr>
      </w:pPr>
      <w:r w:rsidRPr="001F7BA5">
        <w:rPr>
          <w:rFonts w:cs="Times New Roman"/>
          <w:szCs w:val="24"/>
          <w:shd w:val="clear" w:color="auto" w:fill="FFFFFF"/>
        </w:rPr>
        <w:t>Corluka, G., 2019. Tourism seasonality–an overview. </w:t>
      </w:r>
      <w:r w:rsidRPr="001F7BA5">
        <w:rPr>
          <w:rFonts w:cs="Times New Roman"/>
          <w:i/>
          <w:iCs/>
          <w:szCs w:val="24"/>
          <w:shd w:val="clear" w:color="auto" w:fill="FFFFFF"/>
        </w:rPr>
        <w:t>Journal of Business Paradigms</w:t>
      </w:r>
      <w:r w:rsidRPr="001F7BA5">
        <w:rPr>
          <w:rFonts w:cs="Times New Roman"/>
          <w:szCs w:val="24"/>
          <w:shd w:val="clear" w:color="auto" w:fill="FFFFFF"/>
        </w:rPr>
        <w:t>, </w:t>
      </w:r>
      <w:r w:rsidRPr="001F7BA5">
        <w:rPr>
          <w:rFonts w:cs="Times New Roman"/>
          <w:i/>
          <w:iCs/>
          <w:szCs w:val="24"/>
          <w:shd w:val="clear" w:color="auto" w:fill="FFFFFF"/>
        </w:rPr>
        <w:t>4</w:t>
      </w:r>
      <w:r w:rsidRPr="001F7BA5">
        <w:rPr>
          <w:rFonts w:cs="Times New Roman"/>
          <w:szCs w:val="24"/>
          <w:shd w:val="clear" w:color="auto" w:fill="FFFFFF"/>
        </w:rPr>
        <w:t>(1), pp.21-43.</w:t>
      </w:r>
    </w:p>
    <w:p w14:paraId="65799C84" w14:textId="77777777" w:rsidR="001F7BA5" w:rsidRPr="001F7BA5" w:rsidRDefault="001F7BA5" w:rsidP="001F7BA5">
      <w:pPr>
        <w:ind w:left="720" w:hanging="720"/>
        <w:rPr>
          <w:rFonts w:cs="Times New Roman"/>
          <w:szCs w:val="24"/>
          <w:shd w:val="clear" w:color="auto" w:fill="FFFFFF"/>
        </w:rPr>
      </w:pPr>
      <w:r w:rsidRPr="001F7BA5">
        <w:rPr>
          <w:rFonts w:cs="Times New Roman"/>
          <w:szCs w:val="24"/>
          <w:shd w:val="clear" w:color="auto" w:fill="FFFFFF"/>
        </w:rPr>
        <w:t>Dedeoğlu, B.B., Aydın, Ş. and Boğan, E., 2018. The role of the employees in the innovation of the hotel enterprises.</w:t>
      </w:r>
    </w:p>
    <w:p w14:paraId="05764FF8" w14:textId="77777777" w:rsidR="001F7BA5" w:rsidRPr="001F7BA5" w:rsidRDefault="001F7BA5" w:rsidP="001F7BA5">
      <w:pPr>
        <w:ind w:left="720" w:hanging="720"/>
        <w:rPr>
          <w:rFonts w:cs="Times New Roman"/>
          <w:szCs w:val="24"/>
        </w:rPr>
      </w:pPr>
      <w:r w:rsidRPr="001F7BA5">
        <w:rPr>
          <w:rFonts w:cs="Times New Roman"/>
          <w:color w:val="222222"/>
          <w:szCs w:val="24"/>
          <w:shd w:val="clear" w:color="auto" w:fill="FFFFFF"/>
        </w:rPr>
        <w:lastRenderedPageBreak/>
        <w:t>Fernandes Sampaio, C.A., Hernández Mogollón, J.M. and de Ascensão Gouveia Rodrigues, R.J., 2020. The relationship between market orientation, customer loyalty and business performance: A sample from the Western Europe hotel industry. </w:t>
      </w:r>
      <w:r w:rsidRPr="001F7BA5">
        <w:rPr>
          <w:rFonts w:cs="Times New Roman"/>
          <w:i/>
          <w:iCs/>
          <w:color w:val="222222"/>
          <w:szCs w:val="24"/>
          <w:shd w:val="clear" w:color="auto" w:fill="FFFFFF"/>
        </w:rPr>
        <w:t>Tourism and Hospitality Research</w:t>
      </w:r>
      <w:r w:rsidRPr="001F7BA5">
        <w:rPr>
          <w:rFonts w:cs="Times New Roman"/>
          <w:color w:val="222222"/>
          <w:szCs w:val="24"/>
          <w:shd w:val="clear" w:color="auto" w:fill="FFFFFF"/>
        </w:rPr>
        <w:t>, </w:t>
      </w:r>
      <w:r w:rsidRPr="001F7BA5">
        <w:rPr>
          <w:rFonts w:cs="Times New Roman"/>
          <w:i/>
          <w:iCs/>
          <w:color w:val="222222"/>
          <w:szCs w:val="24"/>
          <w:shd w:val="clear" w:color="auto" w:fill="FFFFFF"/>
        </w:rPr>
        <w:t>20</w:t>
      </w:r>
      <w:r w:rsidRPr="001F7BA5">
        <w:rPr>
          <w:rFonts w:cs="Times New Roman"/>
          <w:color w:val="222222"/>
          <w:szCs w:val="24"/>
          <w:shd w:val="clear" w:color="auto" w:fill="FFFFFF"/>
        </w:rPr>
        <w:t>(2), pp.131-143.</w:t>
      </w:r>
    </w:p>
    <w:p w14:paraId="26E692AB" w14:textId="77777777" w:rsidR="001F7BA5" w:rsidRPr="001F7BA5" w:rsidRDefault="001F7BA5" w:rsidP="001F7BA5">
      <w:pPr>
        <w:ind w:left="720" w:hanging="720"/>
        <w:rPr>
          <w:rFonts w:cs="Times New Roman"/>
          <w:szCs w:val="24"/>
          <w:shd w:val="clear" w:color="auto" w:fill="FFFFFF"/>
        </w:rPr>
      </w:pPr>
      <w:r w:rsidRPr="001F7BA5">
        <w:rPr>
          <w:rFonts w:cs="Times New Roman"/>
          <w:szCs w:val="24"/>
          <w:shd w:val="clear" w:color="auto" w:fill="FFFFFF"/>
        </w:rPr>
        <w:t>Hasanaj, P. and Kuqi, B., 2019. Analysis of financial statements. </w:t>
      </w:r>
      <w:r w:rsidRPr="001F7BA5">
        <w:rPr>
          <w:rFonts w:cs="Times New Roman"/>
          <w:i/>
          <w:iCs/>
          <w:szCs w:val="24"/>
          <w:shd w:val="clear" w:color="auto" w:fill="FFFFFF"/>
        </w:rPr>
        <w:t>Humanities and Social Science Research</w:t>
      </w:r>
      <w:r w:rsidRPr="001F7BA5">
        <w:rPr>
          <w:rFonts w:cs="Times New Roman"/>
          <w:szCs w:val="24"/>
          <w:shd w:val="clear" w:color="auto" w:fill="FFFFFF"/>
        </w:rPr>
        <w:t>, </w:t>
      </w:r>
      <w:r w:rsidRPr="001F7BA5">
        <w:rPr>
          <w:rFonts w:cs="Times New Roman"/>
          <w:i/>
          <w:iCs/>
          <w:szCs w:val="24"/>
          <w:shd w:val="clear" w:color="auto" w:fill="FFFFFF"/>
        </w:rPr>
        <w:t>2</w:t>
      </w:r>
      <w:r w:rsidRPr="001F7BA5">
        <w:rPr>
          <w:rFonts w:cs="Times New Roman"/>
          <w:szCs w:val="24"/>
          <w:shd w:val="clear" w:color="auto" w:fill="FFFFFF"/>
        </w:rPr>
        <w:t>(2), pp.p17-p17.</w:t>
      </w:r>
    </w:p>
    <w:p w14:paraId="76957F16" w14:textId="77777777" w:rsidR="001F7BA5" w:rsidRPr="001F7BA5" w:rsidRDefault="001F7BA5" w:rsidP="001F7BA5">
      <w:pPr>
        <w:ind w:left="720" w:hanging="720"/>
        <w:rPr>
          <w:rFonts w:cs="Times New Roman"/>
          <w:szCs w:val="24"/>
          <w:shd w:val="clear" w:color="auto" w:fill="FFFFFF"/>
        </w:rPr>
      </w:pPr>
      <w:r w:rsidRPr="001F7BA5">
        <w:rPr>
          <w:rFonts w:cs="Times New Roman"/>
          <w:color w:val="222222"/>
          <w:szCs w:val="24"/>
          <w:shd w:val="clear" w:color="auto" w:fill="FFFFFF"/>
        </w:rPr>
        <w:t>Kapan, T. and Minoiu, C., 2018. Balance sheet strength and bank lending: Evidence from the global financial crisis. </w:t>
      </w:r>
      <w:r w:rsidRPr="001F7BA5">
        <w:rPr>
          <w:rFonts w:cs="Times New Roman"/>
          <w:i/>
          <w:iCs/>
          <w:color w:val="222222"/>
          <w:szCs w:val="24"/>
          <w:shd w:val="clear" w:color="auto" w:fill="FFFFFF"/>
        </w:rPr>
        <w:t>Journal of Banking &amp; Finance</w:t>
      </w:r>
      <w:r w:rsidRPr="001F7BA5">
        <w:rPr>
          <w:rFonts w:cs="Times New Roman"/>
          <w:color w:val="222222"/>
          <w:szCs w:val="24"/>
          <w:shd w:val="clear" w:color="auto" w:fill="FFFFFF"/>
        </w:rPr>
        <w:t>, </w:t>
      </w:r>
      <w:r w:rsidRPr="001F7BA5">
        <w:rPr>
          <w:rFonts w:cs="Times New Roman"/>
          <w:i/>
          <w:iCs/>
          <w:color w:val="222222"/>
          <w:szCs w:val="24"/>
          <w:shd w:val="clear" w:color="auto" w:fill="FFFFFF"/>
        </w:rPr>
        <w:t>92</w:t>
      </w:r>
      <w:r w:rsidRPr="001F7BA5">
        <w:rPr>
          <w:rFonts w:cs="Times New Roman"/>
          <w:color w:val="222222"/>
          <w:szCs w:val="24"/>
          <w:shd w:val="clear" w:color="auto" w:fill="FFFFFF"/>
        </w:rPr>
        <w:t>, pp.35-50.</w:t>
      </w:r>
    </w:p>
    <w:p w14:paraId="60396E72" w14:textId="77777777" w:rsidR="001F7BA5" w:rsidRPr="001F7BA5" w:rsidRDefault="001F7BA5" w:rsidP="001F7BA5">
      <w:pPr>
        <w:ind w:left="720" w:hanging="720"/>
        <w:rPr>
          <w:rFonts w:cs="Times New Roman"/>
          <w:szCs w:val="24"/>
          <w:shd w:val="clear" w:color="auto" w:fill="FFFFFF"/>
        </w:rPr>
      </w:pPr>
      <w:r w:rsidRPr="001F7BA5">
        <w:rPr>
          <w:rFonts w:cs="Times New Roman"/>
          <w:szCs w:val="24"/>
          <w:shd w:val="clear" w:color="auto" w:fill="FFFFFF"/>
        </w:rPr>
        <w:t>Kim, Y.S. and Srebric, J., 2017. Impact of occupancy rates on the building electricity consumption in commercial buildings. </w:t>
      </w:r>
      <w:r w:rsidRPr="001F7BA5">
        <w:rPr>
          <w:rFonts w:cs="Times New Roman"/>
          <w:i/>
          <w:iCs/>
          <w:szCs w:val="24"/>
          <w:shd w:val="clear" w:color="auto" w:fill="FFFFFF"/>
        </w:rPr>
        <w:t>Energy and Buildings</w:t>
      </w:r>
      <w:r w:rsidRPr="001F7BA5">
        <w:rPr>
          <w:rFonts w:cs="Times New Roman"/>
          <w:szCs w:val="24"/>
          <w:shd w:val="clear" w:color="auto" w:fill="FFFFFF"/>
        </w:rPr>
        <w:t>, </w:t>
      </w:r>
      <w:r w:rsidRPr="001F7BA5">
        <w:rPr>
          <w:rFonts w:cs="Times New Roman"/>
          <w:i/>
          <w:iCs/>
          <w:szCs w:val="24"/>
          <w:shd w:val="clear" w:color="auto" w:fill="FFFFFF"/>
        </w:rPr>
        <w:t>138</w:t>
      </w:r>
      <w:r w:rsidRPr="001F7BA5">
        <w:rPr>
          <w:rFonts w:cs="Times New Roman"/>
          <w:szCs w:val="24"/>
          <w:shd w:val="clear" w:color="auto" w:fill="FFFFFF"/>
        </w:rPr>
        <w:t>, pp.591-600.</w:t>
      </w:r>
    </w:p>
    <w:p w14:paraId="164EE435" w14:textId="77777777" w:rsidR="001F7BA5" w:rsidRPr="001F7BA5" w:rsidRDefault="001F7BA5" w:rsidP="001F7BA5">
      <w:pPr>
        <w:ind w:left="720" w:hanging="720"/>
        <w:rPr>
          <w:rFonts w:cs="Times New Roman"/>
          <w:szCs w:val="24"/>
          <w:shd w:val="clear" w:color="auto" w:fill="FFFFFF"/>
        </w:rPr>
      </w:pPr>
      <w:r w:rsidRPr="001F7BA5">
        <w:rPr>
          <w:rFonts w:cs="Times New Roman"/>
          <w:szCs w:val="24"/>
          <w:shd w:val="clear" w:color="auto" w:fill="FFFFFF"/>
        </w:rPr>
        <w:t>Lee, B.B., Shin, H., Vetter, W. and Kim, D.W., 2017. Management of income statement variables to report small positive earnings numbers. </w:t>
      </w:r>
      <w:r w:rsidRPr="001F7BA5">
        <w:rPr>
          <w:rFonts w:cs="Times New Roman"/>
          <w:i/>
          <w:iCs/>
          <w:szCs w:val="24"/>
          <w:shd w:val="clear" w:color="auto" w:fill="FFFFFF"/>
        </w:rPr>
        <w:t>Asian Review of Accounting</w:t>
      </w:r>
      <w:r w:rsidRPr="001F7BA5">
        <w:rPr>
          <w:rFonts w:cs="Times New Roman"/>
          <w:szCs w:val="24"/>
          <w:shd w:val="clear" w:color="auto" w:fill="FFFFFF"/>
        </w:rPr>
        <w:t>, </w:t>
      </w:r>
      <w:r w:rsidRPr="001F7BA5">
        <w:rPr>
          <w:rFonts w:cs="Times New Roman"/>
          <w:i/>
          <w:iCs/>
          <w:szCs w:val="24"/>
          <w:shd w:val="clear" w:color="auto" w:fill="FFFFFF"/>
        </w:rPr>
        <w:t>25</w:t>
      </w:r>
      <w:r w:rsidRPr="001F7BA5">
        <w:rPr>
          <w:rFonts w:cs="Times New Roman"/>
          <w:szCs w:val="24"/>
          <w:shd w:val="clear" w:color="auto" w:fill="FFFFFF"/>
        </w:rPr>
        <w:t>(1), pp.58-84.</w:t>
      </w:r>
    </w:p>
    <w:p w14:paraId="6B958218" w14:textId="77777777" w:rsidR="001F7BA5" w:rsidRPr="001F7BA5" w:rsidRDefault="001F7BA5" w:rsidP="001F7BA5">
      <w:pPr>
        <w:ind w:left="720" w:hanging="720"/>
        <w:rPr>
          <w:rFonts w:cs="Times New Roman"/>
          <w:szCs w:val="24"/>
          <w:shd w:val="clear" w:color="auto" w:fill="FFFFFF"/>
        </w:rPr>
      </w:pPr>
      <w:r w:rsidRPr="001F7BA5">
        <w:rPr>
          <w:rFonts w:cs="Times New Roman"/>
          <w:color w:val="222222"/>
          <w:szCs w:val="24"/>
          <w:shd w:val="clear" w:color="auto" w:fill="FFFFFF"/>
        </w:rPr>
        <w:t>Matsuoka, K., 2022. Effects of revenue management on perceived value, customer satisfaction, and customer loyalty. </w:t>
      </w:r>
      <w:r w:rsidRPr="001F7BA5">
        <w:rPr>
          <w:rFonts w:cs="Times New Roman"/>
          <w:i/>
          <w:iCs/>
          <w:color w:val="222222"/>
          <w:szCs w:val="24"/>
          <w:shd w:val="clear" w:color="auto" w:fill="FFFFFF"/>
        </w:rPr>
        <w:t>Journal of Business Research</w:t>
      </w:r>
      <w:r w:rsidRPr="001F7BA5">
        <w:rPr>
          <w:rFonts w:cs="Times New Roman"/>
          <w:color w:val="222222"/>
          <w:szCs w:val="24"/>
          <w:shd w:val="clear" w:color="auto" w:fill="FFFFFF"/>
        </w:rPr>
        <w:t>, </w:t>
      </w:r>
      <w:r w:rsidRPr="001F7BA5">
        <w:rPr>
          <w:rFonts w:cs="Times New Roman"/>
          <w:i/>
          <w:iCs/>
          <w:color w:val="222222"/>
          <w:szCs w:val="24"/>
          <w:shd w:val="clear" w:color="auto" w:fill="FFFFFF"/>
        </w:rPr>
        <w:t>148</w:t>
      </w:r>
      <w:r w:rsidRPr="001F7BA5">
        <w:rPr>
          <w:rFonts w:cs="Times New Roman"/>
          <w:color w:val="222222"/>
          <w:szCs w:val="24"/>
          <w:shd w:val="clear" w:color="auto" w:fill="FFFFFF"/>
        </w:rPr>
        <w:t>, pp.131-148.</w:t>
      </w:r>
    </w:p>
    <w:p w14:paraId="61ACBF70" w14:textId="77777777" w:rsidR="001F7BA5" w:rsidRPr="001F7BA5" w:rsidRDefault="001F7BA5" w:rsidP="001F7BA5">
      <w:pPr>
        <w:ind w:left="720" w:hanging="720"/>
        <w:rPr>
          <w:rFonts w:cs="Times New Roman"/>
          <w:szCs w:val="24"/>
          <w:shd w:val="clear" w:color="auto" w:fill="FFFFFF"/>
        </w:rPr>
      </w:pPr>
      <w:r w:rsidRPr="001F7BA5">
        <w:rPr>
          <w:rFonts w:cs="Times New Roman"/>
          <w:color w:val="222222"/>
          <w:szCs w:val="24"/>
          <w:shd w:val="clear" w:color="auto" w:fill="FFFFFF"/>
        </w:rPr>
        <w:t>Mitomi, K., Endo, M., Hirota, M., Yokoyama, S., Shoji, Y. and Ishikawa, H., 2016. How to find accessible free Wi-Fi at tourist spots in Japan. In </w:t>
      </w:r>
      <w:r w:rsidRPr="001F7BA5">
        <w:rPr>
          <w:rFonts w:cs="Times New Roman"/>
          <w:i/>
          <w:iCs/>
          <w:color w:val="222222"/>
          <w:szCs w:val="24"/>
          <w:shd w:val="clear" w:color="auto" w:fill="FFFFFF"/>
        </w:rPr>
        <w:t>Social Informatics: 8th International Conference, SocInfo 2016, Bellevue, WA, USA, November 11-14, 2016, Proceedings, Part I 8</w:t>
      </w:r>
      <w:r w:rsidRPr="001F7BA5">
        <w:rPr>
          <w:rFonts w:cs="Times New Roman"/>
          <w:color w:val="222222"/>
          <w:szCs w:val="24"/>
          <w:shd w:val="clear" w:color="auto" w:fill="FFFFFF"/>
        </w:rPr>
        <w:t> (pp. 389-403). Springer International Publishing.</w:t>
      </w:r>
    </w:p>
    <w:p w14:paraId="3B391B1B" w14:textId="77777777" w:rsidR="001F7BA5" w:rsidRPr="001F7BA5" w:rsidRDefault="001F7BA5" w:rsidP="001F7BA5">
      <w:pPr>
        <w:ind w:left="720" w:hanging="720"/>
        <w:rPr>
          <w:rFonts w:cs="Times New Roman"/>
          <w:szCs w:val="24"/>
          <w:shd w:val="clear" w:color="auto" w:fill="FFFFFF"/>
        </w:rPr>
      </w:pPr>
      <w:r w:rsidRPr="001F7BA5">
        <w:rPr>
          <w:rFonts w:cs="Times New Roman"/>
          <w:szCs w:val="24"/>
          <w:shd w:val="clear" w:color="auto" w:fill="FFFFFF"/>
        </w:rPr>
        <w:t>Mun, S.G. and Jang, S.S., 2018. Restaurant operating expenses and their effects on profitability enhancement. </w:t>
      </w:r>
      <w:r w:rsidRPr="001F7BA5">
        <w:rPr>
          <w:rFonts w:cs="Times New Roman"/>
          <w:i/>
          <w:iCs/>
          <w:szCs w:val="24"/>
          <w:shd w:val="clear" w:color="auto" w:fill="FFFFFF"/>
        </w:rPr>
        <w:t>International Journal of Hospitality Management</w:t>
      </w:r>
      <w:r w:rsidRPr="001F7BA5">
        <w:rPr>
          <w:rFonts w:cs="Times New Roman"/>
          <w:szCs w:val="24"/>
          <w:shd w:val="clear" w:color="auto" w:fill="FFFFFF"/>
        </w:rPr>
        <w:t>, </w:t>
      </w:r>
      <w:r w:rsidRPr="001F7BA5">
        <w:rPr>
          <w:rFonts w:cs="Times New Roman"/>
          <w:i/>
          <w:iCs/>
          <w:szCs w:val="24"/>
          <w:shd w:val="clear" w:color="auto" w:fill="FFFFFF"/>
        </w:rPr>
        <w:t>71</w:t>
      </w:r>
      <w:r w:rsidRPr="001F7BA5">
        <w:rPr>
          <w:rFonts w:cs="Times New Roman"/>
          <w:szCs w:val="24"/>
          <w:shd w:val="clear" w:color="auto" w:fill="FFFFFF"/>
        </w:rPr>
        <w:t>, pp.68-76.</w:t>
      </w:r>
    </w:p>
    <w:p w14:paraId="18D1B879" w14:textId="77777777" w:rsidR="001F7BA5" w:rsidRPr="001F7BA5" w:rsidRDefault="001F7BA5" w:rsidP="001F7BA5">
      <w:pPr>
        <w:ind w:left="720" w:hanging="720"/>
        <w:rPr>
          <w:rFonts w:cs="Times New Roman"/>
          <w:szCs w:val="24"/>
          <w:shd w:val="clear" w:color="auto" w:fill="FFFFFF"/>
        </w:rPr>
      </w:pPr>
      <w:r w:rsidRPr="001F7BA5">
        <w:rPr>
          <w:rFonts w:cs="Times New Roman"/>
          <w:color w:val="222222"/>
          <w:szCs w:val="24"/>
          <w:shd w:val="clear" w:color="auto" w:fill="FFFFFF"/>
        </w:rPr>
        <w:t>Osadchy, E.A., Akhmetshin, E.M., Amirova, E.F., Bochkareva, T.N., Gazizyanova, Y.Y. and Yumashev, A.V., 2018. Financial statements of a company as an information base for decision-making in a transforming economy.</w:t>
      </w:r>
    </w:p>
    <w:p w14:paraId="409EAF62" w14:textId="77777777" w:rsidR="001F7BA5" w:rsidRPr="001F7BA5" w:rsidRDefault="001F7BA5" w:rsidP="001F7BA5">
      <w:pPr>
        <w:ind w:left="720" w:hanging="720"/>
        <w:rPr>
          <w:rFonts w:cs="Times New Roman"/>
          <w:szCs w:val="24"/>
          <w:shd w:val="clear" w:color="auto" w:fill="FFFFFF"/>
        </w:rPr>
      </w:pPr>
      <w:r w:rsidRPr="001F7BA5">
        <w:rPr>
          <w:rFonts w:cs="Times New Roman"/>
          <w:color w:val="222222"/>
          <w:szCs w:val="24"/>
          <w:shd w:val="clear" w:color="auto" w:fill="FFFFFF"/>
        </w:rPr>
        <w:t>Ranasinghe, R., Damunupola, A., Wijesundara, S., Karunarathna, C., Nawarathna, D., Gamage, S., Ranaweera, A. and Idroos, A.A., 2020. Tourism after corona: Impacts of COVID 19 pandemic and way forward for tourism, hotel and mice industry in Sri Lanka. </w:t>
      </w:r>
      <w:r w:rsidRPr="001F7BA5">
        <w:rPr>
          <w:rFonts w:cs="Times New Roman"/>
          <w:i/>
          <w:iCs/>
          <w:color w:val="222222"/>
          <w:szCs w:val="24"/>
          <w:shd w:val="clear" w:color="auto" w:fill="FFFFFF"/>
        </w:rPr>
        <w:t>Hotel and mice industry in Sri Lanka (April 22, 2020)</w:t>
      </w:r>
      <w:r w:rsidRPr="001F7BA5">
        <w:rPr>
          <w:rFonts w:cs="Times New Roman"/>
          <w:color w:val="222222"/>
          <w:szCs w:val="24"/>
          <w:shd w:val="clear" w:color="auto" w:fill="FFFFFF"/>
        </w:rPr>
        <w:t>.</w:t>
      </w:r>
    </w:p>
    <w:p w14:paraId="7C6D6D2E" w14:textId="77777777" w:rsidR="001F7BA5" w:rsidRPr="001F7BA5" w:rsidRDefault="001F7BA5" w:rsidP="001F7BA5">
      <w:pPr>
        <w:ind w:left="720" w:hanging="720"/>
        <w:rPr>
          <w:rFonts w:cs="Times New Roman"/>
          <w:szCs w:val="24"/>
          <w:shd w:val="clear" w:color="auto" w:fill="FFFFFF"/>
        </w:rPr>
      </w:pPr>
      <w:r w:rsidRPr="001F7BA5">
        <w:rPr>
          <w:rFonts w:cs="Times New Roman"/>
          <w:szCs w:val="24"/>
          <w:shd w:val="clear" w:color="auto" w:fill="FFFFFF"/>
        </w:rPr>
        <w:lastRenderedPageBreak/>
        <w:t>Revell, K.D., 2020. Luxury Hotels and Urban Hostels: Carl Fisher, Resort Architecture, and the Contrasting Worlds of Miami Beach's Pre-Depression-Era Lodging. </w:t>
      </w:r>
      <w:r w:rsidRPr="001F7BA5">
        <w:rPr>
          <w:rFonts w:cs="Times New Roman"/>
          <w:i/>
          <w:iCs/>
          <w:szCs w:val="24"/>
          <w:shd w:val="clear" w:color="auto" w:fill="FFFFFF"/>
        </w:rPr>
        <w:t>Journal of the Society of Architectural Historians</w:t>
      </w:r>
      <w:r w:rsidRPr="001F7BA5">
        <w:rPr>
          <w:rFonts w:cs="Times New Roman"/>
          <w:szCs w:val="24"/>
          <w:shd w:val="clear" w:color="auto" w:fill="FFFFFF"/>
        </w:rPr>
        <w:t>, </w:t>
      </w:r>
      <w:r w:rsidRPr="001F7BA5">
        <w:rPr>
          <w:rFonts w:cs="Times New Roman"/>
          <w:i/>
          <w:iCs/>
          <w:szCs w:val="24"/>
          <w:shd w:val="clear" w:color="auto" w:fill="FFFFFF"/>
        </w:rPr>
        <w:t>79</w:t>
      </w:r>
      <w:r w:rsidRPr="001F7BA5">
        <w:rPr>
          <w:rFonts w:cs="Times New Roman"/>
          <w:szCs w:val="24"/>
          <w:shd w:val="clear" w:color="auto" w:fill="FFFFFF"/>
        </w:rPr>
        <w:t>(1), pp.39-60.</w:t>
      </w:r>
    </w:p>
    <w:p w14:paraId="0D027C0B" w14:textId="77777777" w:rsidR="001F7BA5" w:rsidRPr="001F7BA5" w:rsidRDefault="001F7BA5" w:rsidP="001F7BA5">
      <w:pPr>
        <w:ind w:left="720" w:hanging="720"/>
        <w:rPr>
          <w:rFonts w:cs="Times New Roman"/>
          <w:szCs w:val="24"/>
        </w:rPr>
      </w:pPr>
      <w:r w:rsidRPr="001F7BA5">
        <w:rPr>
          <w:rFonts w:cs="Times New Roman"/>
          <w:szCs w:val="24"/>
        </w:rPr>
        <w:t xml:space="preserve">Seacrest Lodge, 2022. Online Available at: </w:t>
      </w:r>
      <w:hyperlink r:id="rId12" w:history="1">
        <w:r w:rsidRPr="001F7BA5">
          <w:rPr>
            <w:rStyle w:val="Hyperlink"/>
            <w:rFonts w:cs="Times New Roman"/>
            <w:szCs w:val="24"/>
          </w:rPr>
          <w:t>https://seacrestpetroleo.com/wp-content/uploads/2023/04/seacrest-petroleo-annual-report-2022-web.pdf</w:t>
        </w:r>
      </w:hyperlink>
      <w:r w:rsidRPr="001F7BA5">
        <w:rPr>
          <w:rFonts w:cs="Times New Roman"/>
          <w:szCs w:val="24"/>
        </w:rPr>
        <w:t>. Accessed Date: [28/05/2024].</w:t>
      </w:r>
    </w:p>
    <w:p w14:paraId="227A9414" w14:textId="77777777" w:rsidR="001F7BA5" w:rsidRPr="001F7BA5" w:rsidRDefault="001F7BA5" w:rsidP="001F7BA5">
      <w:pPr>
        <w:ind w:left="720" w:hanging="720"/>
        <w:rPr>
          <w:rFonts w:cs="Times New Roman"/>
          <w:szCs w:val="24"/>
          <w:shd w:val="clear" w:color="auto" w:fill="FFFFFF"/>
        </w:rPr>
      </w:pPr>
      <w:r w:rsidRPr="001F7BA5">
        <w:rPr>
          <w:rFonts w:cs="Times New Roman"/>
          <w:szCs w:val="24"/>
          <w:shd w:val="clear" w:color="auto" w:fill="FFFFFF"/>
        </w:rPr>
        <w:t>Simister, S., Flint, N., Webb, J., Nyarko, O., Secrest, A., Lewis, B. and Dickerson, T., 2023. Exploring the knowledge, attitude, and practices of over-the-counter medical sellers in Ghana. </w:t>
      </w:r>
      <w:r w:rsidRPr="001F7BA5">
        <w:rPr>
          <w:rFonts w:cs="Times New Roman"/>
          <w:i/>
          <w:iCs/>
          <w:szCs w:val="24"/>
          <w:shd w:val="clear" w:color="auto" w:fill="FFFFFF"/>
        </w:rPr>
        <w:t>Journal of Public Health in Africa</w:t>
      </w:r>
      <w:r w:rsidRPr="001F7BA5">
        <w:rPr>
          <w:rFonts w:cs="Times New Roman"/>
          <w:szCs w:val="24"/>
          <w:shd w:val="clear" w:color="auto" w:fill="FFFFFF"/>
        </w:rPr>
        <w:t>, </w:t>
      </w:r>
      <w:r w:rsidRPr="001F7BA5">
        <w:rPr>
          <w:rFonts w:cs="Times New Roman"/>
          <w:i/>
          <w:iCs/>
          <w:szCs w:val="24"/>
          <w:shd w:val="clear" w:color="auto" w:fill="FFFFFF"/>
        </w:rPr>
        <w:t>14</w:t>
      </w:r>
      <w:r w:rsidRPr="001F7BA5">
        <w:rPr>
          <w:rFonts w:cs="Times New Roman"/>
          <w:szCs w:val="24"/>
          <w:shd w:val="clear" w:color="auto" w:fill="FFFFFF"/>
        </w:rPr>
        <w:t>(4).</w:t>
      </w:r>
    </w:p>
    <w:p w14:paraId="4329D8EB" w14:textId="77777777" w:rsidR="001F7BA5" w:rsidRPr="001F7BA5" w:rsidRDefault="001F7BA5" w:rsidP="001F7BA5">
      <w:pPr>
        <w:ind w:left="720" w:hanging="720"/>
        <w:rPr>
          <w:rFonts w:cs="Times New Roman"/>
          <w:szCs w:val="24"/>
          <w:shd w:val="clear" w:color="auto" w:fill="FFFFFF"/>
        </w:rPr>
      </w:pPr>
      <w:proofErr w:type="spellStart"/>
      <w:r w:rsidRPr="001F7BA5">
        <w:rPr>
          <w:rFonts w:cs="Times New Roman"/>
          <w:szCs w:val="24"/>
          <w:shd w:val="clear" w:color="auto" w:fill="FFFFFF"/>
        </w:rPr>
        <w:t>Ukaidi</w:t>
      </w:r>
      <w:proofErr w:type="spellEnd"/>
      <w:r w:rsidRPr="001F7BA5">
        <w:rPr>
          <w:rFonts w:cs="Times New Roman"/>
          <w:szCs w:val="24"/>
          <w:shd w:val="clear" w:color="auto" w:fill="FFFFFF"/>
        </w:rPr>
        <w:t>, C.A., 2016. Turnaround strategy and corporate performance: A study of quoted manufacturing companies in Nigeria. </w:t>
      </w:r>
      <w:r w:rsidRPr="001F7BA5">
        <w:rPr>
          <w:rFonts w:cs="Times New Roman"/>
          <w:i/>
          <w:iCs/>
          <w:szCs w:val="24"/>
          <w:shd w:val="clear" w:color="auto" w:fill="FFFFFF"/>
        </w:rPr>
        <w:t>European Journal of Business and Management</w:t>
      </w:r>
      <w:r w:rsidRPr="001F7BA5">
        <w:rPr>
          <w:rFonts w:cs="Times New Roman"/>
          <w:szCs w:val="24"/>
          <w:shd w:val="clear" w:color="auto" w:fill="FFFFFF"/>
        </w:rPr>
        <w:t>, </w:t>
      </w:r>
      <w:r w:rsidRPr="001F7BA5">
        <w:rPr>
          <w:rFonts w:cs="Times New Roman"/>
          <w:i/>
          <w:iCs/>
          <w:szCs w:val="24"/>
          <w:shd w:val="clear" w:color="auto" w:fill="FFFFFF"/>
        </w:rPr>
        <w:t>8</w:t>
      </w:r>
      <w:r w:rsidRPr="001F7BA5">
        <w:rPr>
          <w:rFonts w:cs="Times New Roman"/>
          <w:szCs w:val="24"/>
          <w:shd w:val="clear" w:color="auto" w:fill="FFFFFF"/>
        </w:rPr>
        <w:t>(19), pp.81-94.</w:t>
      </w:r>
    </w:p>
    <w:p w14:paraId="377384B7" w14:textId="77777777" w:rsidR="00CF42E9" w:rsidRDefault="00CF42E9" w:rsidP="00CF42E9">
      <w:pPr>
        <w:ind w:left="720" w:hanging="720"/>
        <w:rPr>
          <w:shd w:val="clear" w:color="auto" w:fill="FFFFFF"/>
        </w:rPr>
      </w:pPr>
    </w:p>
    <w:sectPr w:rsidR="00CF42E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2283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585559B"/>
    <w:multiLevelType w:val="multilevel"/>
    <w:tmpl w:val="BBFE8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5B28F1"/>
    <w:multiLevelType w:val="multilevel"/>
    <w:tmpl w:val="C1B868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917674"/>
    <w:multiLevelType w:val="multilevel"/>
    <w:tmpl w:val="F14A2A9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61205600"/>
    <w:multiLevelType w:val="hybridMultilevel"/>
    <w:tmpl w:val="154C74EA"/>
    <w:lvl w:ilvl="0" w:tplc="4C0E3A5C">
      <w:start w:val="1"/>
      <w:numFmt w:val="bullet"/>
      <w:lvlText w:val=""/>
      <w:lvlJc w:val="left"/>
      <w:pPr>
        <w:ind w:left="720" w:hanging="360"/>
      </w:pPr>
      <w:rPr>
        <w:rFonts w:ascii="Symbol" w:hAnsi="Symbol" w:hint="default"/>
      </w:rPr>
    </w:lvl>
    <w:lvl w:ilvl="1" w:tplc="661C9A98" w:tentative="1">
      <w:start w:val="1"/>
      <w:numFmt w:val="bullet"/>
      <w:lvlText w:val="o"/>
      <w:lvlJc w:val="left"/>
      <w:pPr>
        <w:ind w:left="1440" w:hanging="360"/>
      </w:pPr>
      <w:rPr>
        <w:rFonts w:ascii="Courier New" w:hAnsi="Courier New" w:cs="Courier New" w:hint="default"/>
      </w:rPr>
    </w:lvl>
    <w:lvl w:ilvl="2" w:tplc="415E053E" w:tentative="1">
      <w:start w:val="1"/>
      <w:numFmt w:val="bullet"/>
      <w:lvlText w:val=""/>
      <w:lvlJc w:val="left"/>
      <w:pPr>
        <w:ind w:left="2160" w:hanging="360"/>
      </w:pPr>
      <w:rPr>
        <w:rFonts w:ascii="Wingdings" w:hAnsi="Wingdings" w:hint="default"/>
      </w:rPr>
    </w:lvl>
    <w:lvl w:ilvl="3" w:tplc="9AE84A36" w:tentative="1">
      <w:start w:val="1"/>
      <w:numFmt w:val="bullet"/>
      <w:lvlText w:val=""/>
      <w:lvlJc w:val="left"/>
      <w:pPr>
        <w:ind w:left="2880" w:hanging="360"/>
      </w:pPr>
      <w:rPr>
        <w:rFonts w:ascii="Symbol" w:hAnsi="Symbol" w:hint="default"/>
      </w:rPr>
    </w:lvl>
    <w:lvl w:ilvl="4" w:tplc="6C662552" w:tentative="1">
      <w:start w:val="1"/>
      <w:numFmt w:val="bullet"/>
      <w:lvlText w:val="o"/>
      <w:lvlJc w:val="left"/>
      <w:pPr>
        <w:ind w:left="3600" w:hanging="360"/>
      </w:pPr>
      <w:rPr>
        <w:rFonts w:ascii="Courier New" w:hAnsi="Courier New" w:cs="Courier New" w:hint="default"/>
      </w:rPr>
    </w:lvl>
    <w:lvl w:ilvl="5" w:tplc="37645B94" w:tentative="1">
      <w:start w:val="1"/>
      <w:numFmt w:val="bullet"/>
      <w:lvlText w:val=""/>
      <w:lvlJc w:val="left"/>
      <w:pPr>
        <w:ind w:left="4320" w:hanging="360"/>
      </w:pPr>
      <w:rPr>
        <w:rFonts w:ascii="Wingdings" w:hAnsi="Wingdings" w:hint="default"/>
      </w:rPr>
    </w:lvl>
    <w:lvl w:ilvl="6" w:tplc="94D8B9EE" w:tentative="1">
      <w:start w:val="1"/>
      <w:numFmt w:val="bullet"/>
      <w:lvlText w:val=""/>
      <w:lvlJc w:val="left"/>
      <w:pPr>
        <w:ind w:left="5040" w:hanging="360"/>
      </w:pPr>
      <w:rPr>
        <w:rFonts w:ascii="Symbol" w:hAnsi="Symbol" w:hint="default"/>
      </w:rPr>
    </w:lvl>
    <w:lvl w:ilvl="7" w:tplc="6792D1DE" w:tentative="1">
      <w:start w:val="1"/>
      <w:numFmt w:val="bullet"/>
      <w:lvlText w:val="o"/>
      <w:lvlJc w:val="left"/>
      <w:pPr>
        <w:ind w:left="5760" w:hanging="360"/>
      </w:pPr>
      <w:rPr>
        <w:rFonts w:ascii="Courier New" w:hAnsi="Courier New" w:cs="Courier New" w:hint="default"/>
      </w:rPr>
    </w:lvl>
    <w:lvl w:ilvl="8" w:tplc="F190AC36" w:tentative="1">
      <w:start w:val="1"/>
      <w:numFmt w:val="bullet"/>
      <w:lvlText w:val=""/>
      <w:lvlJc w:val="left"/>
      <w:pPr>
        <w:ind w:left="6480" w:hanging="360"/>
      </w:pPr>
      <w:rPr>
        <w:rFonts w:ascii="Wingdings" w:hAnsi="Wingdings" w:hint="default"/>
      </w:rPr>
    </w:lvl>
  </w:abstractNum>
  <w:num w:numId="1" w16cid:durableId="1176847841">
    <w:abstractNumId w:val="0"/>
  </w:num>
  <w:num w:numId="2" w16cid:durableId="45422776">
    <w:abstractNumId w:val="2"/>
  </w:num>
  <w:num w:numId="3" w16cid:durableId="1115557809">
    <w:abstractNumId w:val="1"/>
  </w:num>
  <w:num w:numId="4" w16cid:durableId="269776996">
    <w:abstractNumId w:val="3"/>
  </w:num>
  <w:num w:numId="5" w16cid:durableId="12441465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169"/>
    <w:rsid w:val="00043BA0"/>
    <w:rsid w:val="00082213"/>
    <w:rsid w:val="001452B1"/>
    <w:rsid w:val="001562CF"/>
    <w:rsid w:val="001E165E"/>
    <w:rsid w:val="001F7BA5"/>
    <w:rsid w:val="00203236"/>
    <w:rsid w:val="0028752D"/>
    <w:rsid w:val="003C6788"/>
    <w:rsid w:val="0045524E"/>
    <w:rsid w:val="004966C2"/>
    <w:rsid w:val="00510EB2"/>
    <w:rsid w:val="005604C3"/>
    <w:rsid w:val="00580CA5"/>
    <w:rsid w:val="005E1E93"/>
    <w:rsid w:val="00637A14"/>
    <w:rsid w:val="006524C4"/>
    <w:rsid w:val="006B1169"/>
    <w:rsid w:val="00781296"/>
    <w:rsid w:val="007B7309"/>
    <w:rsid w:val="00825C2B"/>
    <w:rsid w:val="008337DB"/>
    <w:rsid w:val="008540A3"/>
    <w:rsid w:val="00901408"/>
    <w:rsid w:val="00950B25"/>
    <w:rsid w:val="009649A5"/>
    <w:rsid w:val="0098288A"/>
    <w:rsid w:val="00A5745C"/>
    <w:rsid w:val="00AB5778"/>
    <w:rsid w:val="00B16FF7"/>
    <w:rsid w:val="00BD5E3C"/>
    <w:rsid w:val="00BF0538"/>
    <w:rsid w:val="00C55216"/>
    <w:rsid w:val="00C82C33"/>
    <w:rsid w:val="00C9300E"/>
    <w:rsid w:val="00CF42E9"/>
    <w:rsid w:val="00D07D8B"/>
    <w:rsid w:val="00D1341B"/>
    <w:rsid w:val="00DA50BA"/>
    <w:rsid w:val="00E44250"/>
    <w:rsid w:val="00E52EBE"/>
    <w:rsid w:val="00E66C93"/>
    <w:rsid w:val="00E8355F"/>
    <w:rsid w:val="00FD0AC9"/>
    <w:rsid w:val="00FF31C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C84540"/>
  <w15:docId w15:val="{09C78E08-7BF6-4174-9C81-8E2AE2659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6C2"/>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D5E3C"/>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966C2"/>
    <w:pPr>
      <w:keepNext/>
      <w:keepLines/>
      <w:numPr>
        <w:ilvl w:val="1"/>
        <w:numId w:val="1"/>
      </w:numPr>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6B1169"/>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E3C"/>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4966C2"/>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6B1169"/>
    <w:rPr>
      <w:rFonts w:ascii="Times New Roman" w:eastAsiaTheme="majorEastAsia" w:hAnsi="Times New Roman" w:cstheme="majorBidi"/>
      <w:i/>
      <w:color w:val="000000" w:themeColor="text1"/>
      <w:sz w:val="24"/>
      <w:szCs w:val="24"/>
    </w:rPr>
  </w:style>
  <w:style w:type="character" w:styleId="Hyperlink">
    <w:name w:val="Hyperlink"/>
    <w:basedOn w:val="DefaultParagraphFont"/>
    <w:uiPriority w:val="99"/>
    <w:unhideWhenUsed/>
    <w:rsid w:val="00C82C33"/>
    <w:rPr>
      <w:color w:val="0000FF"/>
      <w:u w:val="single"/>
    </w:rPr>
  </w:style>
  <w:style w:type="paragraph" w:styleId="NormalWeb">
    <w:name w:val="Normal (Web)"/>
    <w:basedOn w:val="Normal"/>
    <w:uiPriority w:val="99"/>
    <w:semiHidden/>
    <w:unhideWhenUsed/>
    <w:rsid w:val="00C82C33"/>
    <w:pPr>
      <w:spacing w:before="100" w:beforeAutospacing="1" w:after="100" w:afterAutospacing="1" w:line="240" w:lineRule="auto"/>
      <w:jc w:val="left"/>
    </w:pPr>
    <w:rPr>
      <w:rFonts w:eastAsia="Times New Roman" w:cs="Times New Roman"/>
      <w:color w:val="auto"/>
      <w:szCs w:val="24"/>
    </w:rPr>
  </w:style>
  <w:style w:type="character" w:styleId="Strong">
    <w:name w:val="Strong"/>
    <w:basedOn w:val="DefaultParagraphFont"/>
    <w:uiPriority w:val="22"/>
    <w:qFormat/>
    <w:rsid w:val="00C82C33"/>
    <w:rPr>
      <w:b/>
      <w:bCs/>
    </w:rPr>
  </w:style>
  <w:style w:type="paragraph" w:styleId="TOCHeading">
    <w:name w:val="TOC Heading"/>
    <w:basedOn w:val="Heading1"/>
    <w:next w:val="Normal"/>
    <w:uiPriority w:val="39"/>
    <w:unhideWhenUsed/>
    <w:qFormat/>
    <w:rsid w:val="008337DB"/>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337DB"/>
    <w:pPr>
      <w:spacing w:after="100"/>
    </w:pPr>
  </w:style>
  <w:style w:type="paragraph" w:styleId="BalloonText">
    <w:name w:val="Balloon Text"/>
    <w:basedOn w:val="Normal"/>
    <w:link w:val="BalloonTextChar"/>
    <w:uiPriority w:val="99"/>
    <w:semiHidden/>
    <w:unhideWhenUsed/>
    <w:rsid w:val="002032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3236"/>
    <w:rPr>
      <w:rFonts w:ascii="Tahoma" w:hAnsi="Tahoma" w:cs="Tahoma"/>
      <w:color w:val="000000" w:themeColor="text1"/>
      <w:sz w:val="16"/>
      <w:szCs w:val="16"/>
    </w:rPr>
  </w:style>
  <w:style w:type="character" w:customStyle="1" w:styleId="oxzekf">
    <w:name w:val="oxzekf"/>
    <w:basedOn w:val="DefaultParagraphFont"/>
    <w:rsid w:val="003C6788"/>
  </w:style>
  <w:style w:type="character" w:customStyle="1" w:styleId="katex-mathml">
    <w:name w:val="katex-mathml"/>
    <w:basedOn w:val="DefaultParagraphFont"/>
    <w:rsid w:val="00950B25"/>
  </w:style>
  <w:style w:type="table" w:styleId="TableGrid">
    <w:name w:val="Table Grid"/>
    <w:basedOn w:val="TableNormal"/>
    <w:uiPriority w:val="39"/>
    <w:rsid w:val="00C9300E"/>
    <w:pPr>
      <w:spacing w:after="0" w:line="24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452B1"/>
    <w:pPr>
      <w:ind w:left="720"/>
      <w:contextualSpacing/>
    </w:pPr>
  </w:style>
  <w:style w:type="paragraph" w:styleId="TOC2">
    <w:name w:val="toc 2"/>
    <w:basedOn w:val="Normal"/>
    <w:next w:val="Normal"/>
    <w:autoRedefine/>
    <w:uiPriority w:val="39"/>
    <w:unhideWhenUsed/>
    <w:rsid w:val="00CF42E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seacrestpetroleo.com/wp-content/uploads/2023/04/seacrest-petroleo-annual-report-2022-web.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9D83265-D4BF-4640-BDB4-EC32B02CBD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2503</Words>
  <Characters>14272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cp:lastModifiedBy>
  <cp:revision>5</cp:revision>
  <dcterms:created xsi:type="dcterms:W3CDTF">2024-05-31T17:56:00Z</dcterms:created>
  <dcterms:modified xsi:type="dcterms:W3CDTF">2024-05-31T18:00:00Z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72703d59-7e2e-4687-a5f2-9446efab888f</vt:lpwstr>
  </property>
</Properties>
</file>