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12857420"/>
        <w:docPartObj>
          <w:docPartGallery w:val="Cover Pages"/>
          <w:docPartUnique/>
        </w:docPartObj>
      </w:sdtPr>
      <w:sdtEndPr/>
      <w:sdtContent>
        <w:p w14:paraId="3E8FA35F" w14:textId="6FDC5B97" w:rsidR="00CC5AFF" w:rsidRDefault="00CC5AFF"/>
        <w:p w14:paraId="6A20C743" w14:textId="1CCA5D00" w:rsidR="00CC5AFF" w:rsidRDefault="00CC5AFF">
          <w:r>
            <w:rPr>
              <w:noProof/>
            </w:rPr>
            <mc:AlternateContent>
              <mc:Choice Requires="wpg">
                <w:drawing>
                  <wp:anchor distT="0" distB="0" distL="114300" distR="114300" simplePos="0" relativeHeight="251659264" behindDoc="1" locked="0" layoutInCell="1" allowOverlap="1" wp14:anchorId="3E539E63" wp14:editId="28F01A0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C543F0E" w14:textId="5B6B6B49" w:rsidR="00CC5AFF" w:rsidRDefault="001A3F1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C5AFF">
                                        <w:rPr>
                                          <w:color w:val="FFFFFF" w:themeColor="background1"/>
                                          <w:sz w:val="72"/>
                                          <w:szCs w:val="72"/>
                                        </w:rPr>
                                        <w:t>Law Portfolio -   Contract Law AS1</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E539E63"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C543F0E" w14:textId="5B6B6B49" w:rsidR="00CC5AFF" w:rsidRDefault="00CC5AFF">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Law Portfolio -   Contract Law AS1</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1E224A45" wp14:editId="2487EB7F">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D35882" w14:textId="75426349" w:rsidR="00CC5AFF" w:rsidRDefault="00CC5AFF">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E224A45"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4BD35882" w14:textId="75426349" w:rsidR="00CC5AFF" w:rsidRDefault="00CC5AFF">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0D6223FB" wp14:editId="090B1A8C">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A79E0AC" w14:textId="109921AE" w:rsidR="00CC5AFF" w:rsidRDefault="00CC5AFF">
                                    <w:pPr>
                                      <w:pStyle w:val="NoSpacing"/>
                                      <w:spacing w:before="40" w:after="40"/>
                                      <w:rPr>
                                        <w:caps/>
                                        <w:color w:val="4472C4" w:themeColor="accent1"/>
                                        <w:sz w:val="28"/>
                                        <w:szCs w:val="28"/>
                                      </w:rPr>
                                    </w:pPr>
                                    <w:r>
                                      <w:rPr>
                                        <w:caps/>
                                        <w:color w:val="4472C4" w:themeColor="accent1"/>
                                        <w:sz w:val="28"/>
                                        <w:szCs w:val="28"/>
                                      </w:rPr>
                                      <w:t>BMLW5006</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30AD2C88" w14:textId="25FC8CF3" w:rsidR="00CC5AFF" w:rsidRDefault="00CC5AFF">
                                    <w:pPr>
                                      <w:pStyle w:val="NoSpacing"/>
                                      <w:spacing w:before="40" w:after="40"/>
                                      <w:rPr>
                                        <w:caps/>
                                        <w:color w:val="5B9BD5" w:themeColor="accent5"/>
                                        <w:sz w:val="24"/>
                                        <w:szCs w:val="24"/>
                                      </w:rPr>
                                    </w:pPr>
                                    <w:r>
                                      <w:rPr>
                                        <w:caps/>
                                        <w:color w:val="5B9BD5" w:themeColor="accent5"/>
                                        <w:sz w:val="24"/>
                                        <w:szCs w:val="24"/>
                                      </w:rPr>
                                      <w:t>Neve Evans (2000119)</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D6223FB"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A79E0AC" w14:textId="109921AE" w:rsidR="00CC5AFF" w:rsidRDefault="00CC5AFF">
                              <w:pPr>
                                <w:pStyle w:val="NoSpacing"/>
                                <w:spacing w:before="40" w:after="40"/>
                                <w:rPr>
                                  <w:caps/>
                                  <w:color w:val="4472C4" w:themeColor="accent1"/>
                                  <w:sz w:val="28"/>
                                  <w:szCs w:val="28"/>
                                </w:rPr>
                              </w:pPr>
                              <w:r>
                                <w:rPr>
                                  <w:caps/>
                                  <w:color w:val="4472C4" w:themeColor="accent1"/>
                                  <w:sz w:val="28"/>
                                  <w:szCs w:val="28"/>
                                </w:rPr>
                                <w:t>BMLW5006</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0AD2C88" w14:textId="25FC8CF3" w:rsidR="00CC5AFF" w:rsidRDefault="00CC5AFF">
                              <w:pPr>
                                <w:pStyle w:val="NoSpacing"/>
                                <w:spacing w:before="40" w:after="40"/>
                                <w:rPr>
                                  <w:caps/>
                                  <w:color w:val="5B9BD5" w:themeColor="accent5"/>
                                  <w:sz w:val="24"/>
                                  <w:szCs w:val="24"/>
                                </w:rPr>
                              </w:pPr>
                              <w:r>
                                <w:rPr>
                                  <w:caps/>
                                  <w:color w:val="5B9BD5" w:themeColor="accent5"/>
                                  <w:sz w:val="24"/>
                                  <w:szCs w:val="24"/>
                                </w:rPr>
                                <w:t>Neve Evans (2000119)</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A060F7B" wp14:editId="258C920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4A1F0067" w14:textId="6D86CE22" w:rsidR="00CC5AFF" w:rsidRDefault="00CC5AFF">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A060F7B"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4A1F0067" w14:textId="6D86CE22" w:rsidR="00CC5AFF" w:rsidRDefault="00CC5AFF">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sdtContent>
    </w:sdt>
    <w:sdt>
      <w:sdtPr>
        <w:rPr>
          <w:rFonts w:asciiTheme="minorHAnsi" w:eastAsiaTheme="minorEastAsia" w:hAnsiTheme="minorHAnsi" w:cstheme="minorBidi"/>
          <w:color w:val="auto"/>
          <w:sz w:val="22"/>
          <w:szCs w:val="22"/>
          <w:lang w:val="en-GB" w:eastAsia="ja-JP"/>
        </w:rPr>
        <w:id w:val="-140423593"/>
        <w:docPartObj>
          <w:docPartGallery w:val="Table of Contents"/>
          <w:docPartUnique/>
        </w:docPartObj>
      </w:sdtPr>
      <w:sdtEndPr>
        <w:rPr>
          <w:b/>
          <w:bCs/>
          <w:noProof/>
        </w:rPr>
      </w:sdtEndPr>
      <w:sdtContent>
        <w:p w14:paraId="270CF0A8" w14:textId="5CA6888C" w:rsidR="00CC5AFF" w:rsidRDefault="00CC5AFF">
          <w:pPr>
            <w:pStyle w:val="TOCHeading"/>
          </w:pPr>
          <w:r>
            <w:t>Contents</w:t>
          </w:r>
        </w:p>
        <w:p w14:paraId="6F155CDF" w14:textId="4525DC28" w:rsidR="003B479F" w:rsidRDefault="00CC5AFF">
          <w:pPr>
            <w:pStyle w:val="TOC1"/>
            <w:tabs>
              <w:tab w:val="right" w:leader="dot" w:pos="9016"/>
            </w:tabs>
            <w:rPr>
              <w:noProof/>
            </w:rPr>
          </w:pPr>
          <w:r>
            <w:fldChar w:fldCharType="begin"/>
          </w:r>
          <w:r>
            <w:instrText xml:space="preserve"> TOC \o "1-3" \h \z \u </w:instrText>
          </w:r>
          <w:r>
            <w:fldChar w:fldCharType="separate"/>
          </w:r>
          <w:hyperlink w:anchor="_Toc97185269" w:history="1">
            <w:r w:rsidR="003B479F" w:rsidRPr="00EB18F8">
              <w:rPr>
                <w:rStyle w:val="Hyperlink"/>
                <w:noProof/>
              </w:rPr>
              <w:t>Questions and Answers</w:t>
            </w:r>
            <w:r w:rsidR="003B479F">
              <w:rPr>
                <w:noProof/>
                <w:webHidden/>
              </w:rPr>
              <w:tab/>
            </w:r>
            <w:r w:rsidR="003B479F">
              <w:rPr>
                <w:noProof/>
                <w:webHidden/>
              </w:rPr>
              <w:fldChar w:fldCharType="begin"/>
            </w:r>
            <w:r w:rsidR="003B479F">
              <w:rPr>
                <w:noProof/>
                <w:webHidden/>
              </w:rPr>
              <w:instrText xml:space="preserve"> PAGEREF _Toc97185269 \h </w:instrText>
            </w:r>
            <w:r w:rsidR="003B479F">
              <w:rPr>
                <w:noProof/>
                <w:webHidden/>
              </w:rPr>
            </w:r>
            <w:r w:rsidR="003B479F">
              <w:rPr>
                <w:noProof/>
                <w:webHidden/>
              </w:rPr>
              <w:fldChar w:fldCharType="separate"/>
            </w:r>
            <w:r w:rsidR="003B479F">
              <w:rPr>
                <w:noProof/>
                <w:webHidden/>
              </w:rPr>
              <w:t>2</w:t>
            </w:r>
            <w:r w:rsidR="003B479F">
              <w:rPr>
                <w:noProof/>
                <w:webHidden/>
              </w:rPr>
              <w:fldChar w:fldCharType="end"/>
            </w:r>
          </w:hyperlink>
        </w:p>
        <w:p w14:paraId="2198CA1B" w14:textId="44CE9FAF" w:rsidR="003B479F" w:rsidRDefault="003B479F">
          <w:pPr>
            <w:pStyle w:val="TOC3"/>
            <w:tabs>
              <w:tab w:val="right" w:leader="dot" w:pos="9016"/>
            </w:tabs>
            <w:rPr>
              <w:noProof/>
            </w:rPr>
          </w:pPr>
          <w:hyperlink w:anchor="_Toc97185270" w:history="1">
            <w:r w:rsidRPr="00EB18F8">
              <w:rPr>
                <w:rStyle w:val="Hyperlink"/>
                <w:noProof/>
              </w:rPr>
              <w:t>What is the rule of privity of contract?:</w:t>
            </w:r>
            <w:r>
              <w:rPr>
                <w:noProof/>
                <w:webHidden/>
              </w:rPr>
              <w:tab/>
            </w:r>
            <w:r>
              <w:rPr>
                <w:noProof/>
                <w:webHidden/>
              </w:rPr>
              <w:fldChar w:fldCharType="begin"/>
            </w:r>
            <w:r>
              <w:rPr>
                <w:noProof/>
                <w:webHidden/>
              </w:rPr>
              <w:instrText xml:space="preserve"> PAGEREF _Toc97185270 \h </w:instrText>
            </w:r>
            <w:r>
              <w:rPr>
                <w:noProof/>
                <w:webHidden/>
              </w:rPr>
            </w:r>
            <w:r>
              <w:rPr>
                <w:noProof/>
                <w:webHidden/>
              </w:rPr>
              <w:fldChar w:fldCharType="separate"/>
            </w:r>
            <w:r>
              <w:rPr>
                <w:noProof/>
                <w:webHidden/>
              </w:rPr>
              <w:t>2</w:t>
            </w:r>
            <w:r>
              <w:rPr>
                <w:noProof/>
                <w:webHidden/>
              </w:rPr>
              <w:fldChar w:fldCharType="end"/>
            </w:r>
          </w:hyperlink>
        </w:p>
        <w:p w14:paraId="7D8E2148" w14:textId="3A3CB7BD" w:rsidR="003B479F" w:rsidRDefault="003B479F">
          <w:pPr>
            <w:pStyle w:val="TOC3"/>
            <w:tabs>
              <w:tab w:val="right" w:leader="dot" w:pos="9016"/>
            </w:tabs>
            <w:rPr>
              <w:noProof/>
            </w:rPr>
          </w:pPr>
          <w:hyperlink w:anchor="_Toc97185271" w:history="1">
            <w:r w:rsidRPr="00EB18F8">
              <w:rPr>
                <w:rStyle w:val="Hyperlink"/>
                <w:noProof/>
              </w:rPr>
              <w:t>Explain whether past consideration amounts to good consideration:</w:t>
            </w:r>
            <w:r>
              <w:rPr>
                <w:noProof/>
                <w:webHidden/>
              </w:rPr>
              <w:tab/>
            </w:r>
            <w:r>
              <w:rPr>
                <w:noProof/>
                <w:webHidden/>
              </w:rPr>
              <w:fldChar w:fldCharType="begin"/>
            </w:r>
            <w:r>
              <w:rPr>
                <w:noProof/>
                <w:webHidden/>
              </w:rPr>
              <w:instrText xml:space="preserve"> PAGEREF _Toc97185271 \h </w:instrText>
            </w:r>
            <w:r>
              <w:rPr>
                <w:noProof/>
                <w:webHidden/>
              </w:rPr>
            </w:r>
            <w:r>
              <w:rPr>
                <w:noProof/>
                <w:webHidden/>
              </w:rPr>
              <w:fldChar w:fldCharType="separate"/>
            </w:r>
            <w:r>
              <w:rPr>
                <w:noProof/>
                <w:webHidden/>
              </w:rPr>
              <w:t>2</w:t>
            </w:r>
            <w:r>
              <w:rPr>
                <w:noProof/>
                <w:webHidden/>
              </w:rPr>
              <w:fldChar w:fldCharType="end"/>
            </w:r>
          </w:hyperlink>
        </w:p>
        <w:p w14:paraId="509FBF31" w14:textId="0A1E8D37" w:rsidR="003B479F" w:rsidRDefault="003B479F">
          <w:pPr>
            <w:pStyle w:val="TOC3"/>
            <w:tabs>
              <w:tab w:val="right" w:leader="dot" w:pos="9016"/>
            </w:tabs>
            <w:rPr>
              <w:noProof/>
            </w:rPr>
          </w:pPr>
          <w:hyperlink w:anchor="_Toc97185272" w:history="1">
            <w:r w:rsidRPr="00EB18F8">
              <w:rPr>
                <w:rStyle w:val="Hyperlink"/>
                <w:noProof/>
              </w:rPr>
              <w:t>Identify three of the exceptions to the entire performance rule from Cutter v Powell (1795):</w:t>
            </w:r>
            <w:r>
              <w:rPr>
                <w:noProof/>
                <w:webHidden/>
              </w:rPr>
              <w:tab/>
            </w:r>
            <w:r>
              <w:rPr>
                <w:noProof/>
                <w:webHidden/>
              </w:rPr>
              <w:fldChar w:fldCharType="begin"/>
            </w:r>
            <w:r>
              <w:rPr>
                <w:noProof/>
                <w:webHidden/>
              </w:rPr>
              <w:instrText xml:space="preserve"> PAGEREF _Toc97185272 \h </w:instrText>
            </w:r>
            <w:r>
              <w:rPr>
                <w:noProof/>
                <w:webHidden/>
              </w:rPr>
            </w:r>
            <w:r>
              <w:rPr>
                <w:noProof/>
                <w:webHidden/>
              </w:rPr>
              <w:fldChar w:fldCharType="separate"/>
            </w:r>
            <w:r>
              <w:rPr>
                <w:noProof/>
                <w:webHidden/>
              </w:rPr>
              <w:t>3</w:t>
            </w:r>
            <w:r>
              <w:rPr>
                <w:noProof/>
                <w:webHidden/>
              </w:rPr>
              <w:fldChar w:fldCharType="end"/>
            </w:r>
          </w:hyperlink>
        </w:p>
        <w:p w14:paraId="1B769458" w14:textId="0D63D660" w:rsidR="003B479F" w:rsidRDefault="003B479F">
          <w:pPr>
            <w:pStyle w:val="TOC3"/>
            <w:tabs>
              <w:tab w:val="right" w:leader="dot" w:pos="9016"/>
            </w:tabs>
            <w:rPr>
              <w:noProof/>
            </w:rPr>
          </w:pPr>
          <w:hyperlink w:anchor="_Toc97185273" w:history="1">
            <w:r w:rsidRPr="00EB18F8">
              <w:rPr>
                <w:rStyle w:val="Hyperlink"/>
                <w:noProof/>
              </w:rPr>
              <w:t>Advise Arthur whether any valid contracts exist for the sale of the watch:</w:t>
            </w:r>
            <w:r>
              <w:rPr>
                <w:noProof/>
                <w:webHidden/>
              </w:rPr>
              <w:tab/>
            </w:r>
            <w:r>
              <w:rPr>
                <w:noProof/>
                <w:webHidden/>
              </w:rPr>
              <w:fldChar w:fldCharType="begin"/>
            </w:r>
            <w:r>
              <w:rPr>
                <w:noProof/>
                <w:webHidden/>
              </w:rPr>
              <w:instrText xml:space="preserve"> PAGEREF _Toc97185273 \h </w:instrText>
            </w:r>
            <w:r>
              <w:rPr>
                <w:noProof/>
                <w:webHidden/>
              </w:rPr>
            </w:r>
            <w:r>
              <w:rPr>
                <w:noProof/>
                <w:webHidden/>
              </w:rPr>
              <w:fldChar w:fldCharType="separate"/>
            </w:r>
            <w:r>
              <w:rPr>
                <w:noProof/>
                <w:webHidden/>
              </w:rPr>
              <w:t>3</w:t>
            </w:r>
            <w:r>
              <w:rPr>
                <w:noProof/>
                <w:webHidden/>
              </w:rPr>
              <w:fldChar w:fldCharType="end"/>
            </w:r>
          </w:hyperlink>
        </w:p>
        <w:p w14:paraId="2F25A9C5" w14:textId="0690896E" w:rsidR="003B479F" w:rsidRDefault="003B479F">
          <w:pPr>
            <w:pStyle w:val="TOC1"/>
            <w:tabs>
              <w:tab w:val="right" w:leader="dot" w:pos="9016"/>
            </w:tabs>
            <w:rPr>
              <w:noProof/>
            </w:rPr>
          </w:pPr>
          <w:hyperlink w:anchor="_Toc97185274" w:history="1">
            <w:r w:rsidRPr="00EB18F8">
              <w:rPr>
                <w:rStyle w:val="Hyperlink"/>
                <w:noProof/>
              </w:rPr>
              <w:t>References</w:t>
            </w:r>
            <w:r>
              <w:rPr>
                <w:noProof/>
                <w:webHidden/>
              </w:rPr>
              <w:tab/>
            </w:r>
            <w:r>
              <w:rPr>
                <w:noProof/>
                <w:webHidden/>
              </w:rPr>
              <w:fldChar w:fldCharType="begin"/>
            </w:r>
            <w:r>
              <w:rPr>
                <w:noProof/>
                <w:webHidden/>
              </w:rPr>
              <w:instrText xml:space="preserve"> PAGEREF _Toc97185274 \h </w:instrText>
            </w:r>
            <w:r>
              <w:rPr>
                <w:noProof/>
                <w:webHidden/>
              </w:rPr>
            </w:r>
            <w:r>
              <w:rPr>
                <w:noProof/>
                <w:webHidden/>
              </w:rPr>
              <w:fldChar w:fldCharType="separate"/>
            </w:r>
            <w:r>
              <w:rPr>
                <w:noProof/>
                <w:webHidden/>
              </w:rPr>
              <w:t>5</w:t>
            </w:r>
            <w:r>
              <w:rPr>
                <w:noProof/>
                <w:webHidden/>
              </w:rPr>
              <w:fldChar w:fldCharType="end"/>
            </w:r>
          </w:hyperlink>
        </w:p>
        <w:p w14:paraId="52EEAE13" w14:textId="43DD756E" w:rsidR="003B479F" w:rsidRDefault="003B479F">
          <w:pPr>
            <w:pStyle w:val="TOC1"/>
            <w:tabs>
              <w:tab w:val="right" w:leader="dot" w:pos="9016"/>
            </w:tabs>
            <w:rPr>
              <w:noProof/>
            </w:rPr>
          </w:pPr>
          <w:hyperlink w:anchor="_Toc97185275" w:history="1">
            <w:r w:rsidRPr="00EB18F8">
              <w:rPr>
                <w:rStyle w:val="Hyperlink"/>
                <w:noProof/>
              </w:rPr>
              <w:t>Case Law and Legislation</w:t>
            </w:r>
            <w:r>
              <w:rPr>
                <w:noProof/>
                <w:webHidden/>
              </w:rPr>
              <w:tab/>
            </w:r>
            <w:r>
              <w:rPr>
                <w:noProof/>
                <w:webHidden/>
              </w:rPr>
              <w:fldChar w:fldCharType="begin"/>
            </w:r>
            <w:r>
              <w:rPr>
                <w:noProof/>
                <w:webHidden/>
              </w:rPr>
              <w:instrText xml:space="preserve"> PAGEREF _Toc97185275 \h </w:instrText>
            </w:r>
            <w:r>
              <w:rPr>
                <w:noProof/>
                <w:webHidden/>
              </w:rPr>
            </w:r>
            <w:r>
              <w:rPr>
                <w:noProof/>
                <w:webHidden/>
              </w:rPr>
              <w:fldChar w:fldCharType="separate"/>
            </w:r>
            <w:r>
              <w:rPr>
                <w:noProof/>
                <w:webHidden/>
              </w:rPr>
              <w:t>6</w:t>
            </w:r>
            <w:r>
              <w:rPr>
                <w:noProof/>
                <w:webHidden/>
              </w:rPr>
              <w:fldChar w:fldCharType="end"/>
            </w:r>
          </w:hyperlink>
        </w:p>
        <w:p w14:paraId="36792D48" w14:textId="299901FE" w:rsidR="00CC5AFF" w:rsidRDefault="00CC5AFF">
          <w:r>
            <w:rPr>
              <w:b/>
              <w:bCs/>
              <w:noProof/>
            </w:rPr>
            <w:fldChar w:fldCharType="end"/>
          </w:r>
        </w:p>
      </w:sdtContent>
    </w:sdt>
    <w:p w14:paraId="248F9468" w14:textId="63369DBA" w:rsidR="00CC5AFF" w:rsidRDefault="00CC5AFF"/>
    <w:p w14:paraId="414DCA6D" w14:textId="77777777" w:rsidR="00CC5AFF" w:rsidRDefault="00CC5AFF">
      <w:r>
        <w:br w:type="page"/>
      </w:r>
    </w:p>
    <w:p w14:paraId="0CF9B8E3" w14:textId="517DB48B" w:rsidR="00CC5AFF" w:rsidRDefault="00CC5AFF" w:rsidP="00CC5AFF">
      <w:pPr>
        <w:pStyle w:val="Heading1"/>
      </w:pPr>
      <w:bookmarkStart w:id="0" w:name="_Toc97185269"/>
      <w:r>
        <w:lastRenderedPageBreak/>
        <w:t>Questions and Answers</w:t>
      </w:r>
      <w:bookmarkEnd w:id="0"/>
    </w:p>
    <w:p w14:paraId="5137D1CC" w14:textId="77777777" w:rsidR="00CC5AFF" w:rsidRDefault="00CC5AFF"/>
    <w:p w14:paraId="24D1D1AB" w14:textId="29AD16C2" w:rsidR="00CC5AFF" w:rsidRPr="00CC5AFF" w:rsidRDefault="00CC5AFF" w:rsidP="00CC5AFF">
      <w:pPr>
        <w:pStyle w:val="Heading3"/>
        <w:rPr>
          <w:u w:val="single"/>
        </w:rPr>
      </w:pPr>
      <w:bookmarkStart w:id="1" w:name="_Toc97185270"/>
      <w:r w:rsidRPr="00CC5AFF">
        <w:rPr>
          <w:u w:val="single"/>
        </w:rPr>
        <w:t>What is the rule of privity of contract?:</w:t>
      </w:r>
      <w:bookmarkEnd w:id="1"/>
    </w:p>
    <w:p w14:paraId="68D06F37" w14:textId="704ED1E3" w:rsidR="00CC5AFF" w:rsidRDefault="00CC5AFF" w:rsidP="00CC5AFF"/>
    <w:p w14:paraId="1AD6E143" w14:textId="037BA99C" w:rsidR="00CC5AFF" w:rsidRPr="00913BFB" w:rsidRDefault="00836B86" w:rsidP="00CC5AFF">
      <w:r>
        <w:t>Privity</w:t>
      </w:r>
      <w:r w:rsidR="00CC5AFF">
        <w:t xml:space="preserve"> of contract</w:t>
      </w:r>
      <w:r>
        <w:t xml:space="preserve">, a common law doctrine, </w:t>
      </w:r>
      <w:r w:rsidR="00CC5AFF">
        <w:t>means that only those party to a contract</w:t>
      </w:r>
      <w:r>
        <w:t xml:space="preserve"> are bound and therefore are the only ones who can claim under the contract. In the case of </w:t>
      </w:r>
      <w:r w:rsidRPr="00650D11">
        <w:rPr>
          <w:i/>
          <w:iCs/>
        </w:rPr>
        <w:t>Tweddle v Atkinson</w:t>
      </w:r>
      <w:r>
        <w:t xml:space="preserve"> (1861) a contract was entered by the fathers of the bride and groom, this contract was privy to them. When both fathers died, the groom, a third party to this contract, attempted to claim against the executor of the will. The court rejected the claim as the groom was not privy to the contract. </w:t>
      </w:r>
      <w:r w:rsidR="00650D11">
        <w:t xml:space="preserve">However, exceptions have been made, for example, in the </w:t>
      </w:r>
      <w:r w:rsidR="00650D11">
        <w:rPr>
          <w:i/>
          <w:iCs/>
        </w:rPr>
        <w:t>Contracts (Rights of Third Parties) Act 1999</w:t>
      </w:r>
      <w:r w:rsidR="00650D11">
        <w:t xml:space="preserve"> under s1 it says that a third party may in his own right enforce a term of the contract if; s1(1)(a) the contract expressly provides that he may, or s1(1)(b) the term purports to confer a benefit on him. This means that in some cases a third party may be able to</w:t>
      </w:r>
      <w:r w:rsidR="00913BFB">
        <w:t xml:space="preserve"> enforce or benefit from a contract, which under this legislation </w:t>
      </w:r>
      <w:r w:rsidR="00913BFB">
        <w:rPr>
          <w:i/>
          <w:iCs/>
        </w:rPr>
        <w:t xml:space="preserve">Tweddle v Atkinson </w:t>
      </w:r>
      <w:r w:rsidR="00913BFB">
        <w:t>(1861) may have ended in the groom’s favour, due to the original contract being of benefit to him.</w:t>
      </w:r>
    </w:p>
    <w:p w14:paraId="15B0DFBC" w14:textId="77777777" w:rsidR="00CC5AFF" w:rsidRDefault="00CC5AFF" w:rsidP="00CC5AFF">
      <w:pPr>
        <w:pStyle w:val="Heading3"/>
      </w:pPr>
    </w:p>
    <w:p w14:paraId="05AB0B7C" w14:textId="77777777" w:rsidR="00CC5AFF" w:rsidRDefault="00CC5AFF" w:rsidP="00CC5AFF">
      <w:pPr>
        <w:pStyle w:val="Heading3"/>
        <w:rPr>
          <w:u w:val="single"/>
        </w:rPr>
      </w:pPr>
      <w:bookmarkStart w:id="2" w:name="_Toc97185271"/>
      <w:r w:rsidRPr="00CC5AFF">
        <w:rPr>
          <w:u w:val="single"/>
        </w:rPr>
        <w:t>Explain whether past consideration amounts to good consideration:</w:t>
      </w:r>
      <w:bookmarkEnd w:id="2"/>
    </w:p>
    <w:p w14:paraId="0B535D70" w14:textId="62DA4C01" w:rsidR="00CC5AFF" w:rsidRDefault="00CC5AFF" w:rsidP="00CC5AFF">
      <w:pPr>
        <w:pStyle w:val="Heading3"/>
        <w:rPr>
          <w:u w:val="single"/>
        </w:rPr>
      </w:pPr>
    </w:p>
    <w:p w14:paraId="6BA2A617" w14:textId="7F1EA98C" w:rsidR="00913BFB" w:rsidRPr="00C621F5" w:rsidRDefault="005A6762" w:rsidP="00913BFB">
      <w:r>
        <w:t xml:space="preserve">Consideration is when something of value is given in return for the promise, for example, money, a service, </w:t>
      </w:r>
      <w:r w:rsidR="00BB6535">
        <w:t>goods,</w:t>
      </w:r>
      <w:r>
        <w:t xml:space="preserve"> or a promise to not take a course of action. Consideration must be given “for a contract to be legally binding” (Hall Ellis, 2021). </w:t>
      </w:r>
      <w:r w:rsidR="00F0448D">
        <w:t xml:space="preserve">For consideration to amount to good consideration it means that the promised agreement “provides sufficient consideration to the parties” (Incorporated Zone, 2021), for example, a car dealer sells a car to someone for £4000, there is good consideration as they have both received something of value in exchange. </w:t>
      </w:r>
      <w:r w:rsidR="00A9744D">
        <w:t>Past consideration refers to promises made after the events, for example, if Person A is drowning and Person B saves them and Person A then promises a monetary reward but ultimately fails to provide it, Person B cannot claim on it as this promise was made after the act</w:t>
      </w:r>
      <w:r w:rsidR="00107A4A">
        <w:t xml:space="preserve">; it is past consideration and not enforceable. The agreement had to be made before the promise was fulfilled. In the case of </w:t>
      </w:r>
      <w:r w:rsidR="00107A4A">
        <w:rPr>
          <w:i/>
          <w:iCs/>
        </w:rPr>
        <w:t>Ros</w:t>
      </w:r>
      <w:r w:rsidR="00C621F5">
        <w:rPr>
          <w:i/>
          <w:iCs/>
        </w:rPr>
        <w:t xml:space="preserve">corla v Thomas </w:t>
      </w:r>
      <w:r w:rsidR="00C621F5">
        <w:t xml:space="preserve">(1842) Roscorla bought a horse from Thomas, a promise was made at that time to exchange the horse for money, which meant the agreement had good consideration. However, after the promise was fulfilled, Thomas assured Roscorla that the horse was healthy. The horse turned out to be unhealthy and Roscorla attempted to claim on the basis that Thomas promised it was healthy, but this promise was made after the exchange making it past consideration. The court ruled that Thomas had fulfilled his end of the terms by delivering the horse on request in exchange for the money, any promise made after was not applicable; it was past consideration. There is an exception to past consideration that means services and acts that are normally paid for, but a payment is not discussed during the consideration, would usually not be ruled as past consideration. For example, in </w:t>
      </w:r>
      <w:r w:rsidR="00C621F5">
        <w:rPr>
          <w:i/>
          <w:iCs/>
        </w:rPr>
        <w:t xml:space="preserve">Wells v Devani </w:t>
      </w:r>
      <w:r w:rsidR="00C621F5">
        <w:t xml:space="preserve">(2019) </w:t>
      </w:r>
      <w:r w:rsidR="00630CF5">
        <w:t xml:space="preserve">a vendor accepted an agreement to pay 2% plus VAT commission to an estate agent for the sale of flats. The vendor refused to pay, and the estate agent took it to court. The vendor stated that because there was no agreed moment where he had to pay, it was not enforceable. The court ruled in favour of the estate agent implying the term that commission should be paid upon completion. Although the promise of when to pay was past consideration, it was an exception to the rule as </w:t>
      </w:r>
      <w:r w:rsidR="009F5451">
        <w:t>commission is normally paid on completion and so it was an implied term. Overall, past consideration does not usually amount to good consideration, it is always safer and better to make all promises before the initial agreement to cover all grounds.</w:t>
      </w:r>
    </w:p>
    <w:p w14:paraId="2ADD9072" w14:textId="77777777" w:rsidR="00CC5AFF" w:rsidRDefault="00CC5AFF" w:rsidP="00CC5AFF">
      <w:pPr>
        <w:pStyle w:val="Heading3"/>
        <w:rPr>
          <w:u w:val="single"/>
        </w:rPr>
      </w:pPr>
    </w:p>
    <w:p w14:paraId="44E061C6" w14:textId="77777777" w:rsidR="00CC5AFF" w:rsidRDefault="00CC5AFF" w:rsidP="00CC5AFF">
      <w:pPr>
        <w:pStyle w:val="Heading3"/>
        <w:rPr>
          <w:u w:val="single"/>
        </w:rPr>
      </w:pPr>
      <w:bookmarkStart w:id="3" w:name="_Toc97185272"/>
      <w:r>
        <w:rPr>
          <w:u w:val="single"/>
        </w:rPr>
        <w:t>Identify three of the exceptions to the entire performance rule from Cutter v Powell (1795):</w:t>
      </w:r>
      <w:bookmarkEnd w:id="3"/>
    </w:p>
    <w:p w14:paraId="66517826" w14:textId="77777777" w:rsidR="00CC5AFF" w:rsidRDefault="00CC5AFF" w:rsidP="00CC5AFF">
      <w:pPr>
        <w:pStyle w:val="Heading3"/>
        <w:rPr>
          <w:u w:val="single"/>
        </w:rPr>
      </w:pPr>
    </w:p>
    <w:p w14:paraId="35EDB8C9" w14:textId="0DBC8D4F" w:rsidR="00CC5AFF" w:rsidRPr="007649EC" w:rsidRDefault="003E3139" w:rsidP="004F2E4F">
      <w:r>
        <w:t xml:space="preserve">In </w:t>
      </w:r>
      <w:r w:rsidRPr="001F4DA5">
        <w:rPr>
          <w:i/>
          <w:iCs/>
        </w:rPr>
        <w:t>Cutter v Powell</w:t>
      </w:r>
      <w:r w:rsidR="001F4DA5">
        <w:rPr>
          <w:i/>
          <w:iCs/>
        </w:rPr>
        <w:t xml:space="preserve"> (1795)</w:t>
      </w:r>
      <w:r>
        <w:t xml:space="preserve">, Cutter’s widow was not paid anything for his service despite him completing a substantial amount of work for Powell as he did not complete the entire voyage. Due to “the harshness of this rule relating to discharge through performance [it] has been mitigated by the creation of various exceptions” (e-lawresources, n.d) One of these exceptions were the substantial performance doctrine </w:t>
      </w:r>
      <w:r w:rsidR="00F8046A">
        <w:t xml:space="preserve">which according to Upcounsel (2022) means that a party under a contract can still receive for damages if they performed their duties substantially, even if it means the full contract was not fulfilled. This would mean for Cutter that if his performance </w:t>
      </w:r>
      <w:r w:rsidR="003B479F">
        <w:t>were</w:t>
      </w:r>
      <w:r w:rsidR="00F8046A">
        <w:t xml:space="preserve"> </w:t>
      </w:r>
      <w:r w:rsidR="00AA653E">
        <w:t xml:space="preserve">to be </w:t>
      </w:r>
      <w:r w:rsidR="00F8046A">
        <w:t xml:space="preserve">deemed substantial his widow </w:t>
      </w:r>
      <w:r w:rsidR="00AA653E">
        <w:t>would have</w:t>
      </w:r>
      <w:r w:rsidR="00F8046A">
        <w:t xml:space="preserve"> received a partial payment. This doctrine can be seen in </w:t>
      </w:r>
      <w:r w:rsidR="00F8046A">
        <w:rPr>
          <w:i/>
          <w:iCs/>
        </w:rPr>
        <w:t xml:space="preserve">Bolton v Mahadeva </w:t>
      </w:r>
      <w:r w:rsidR="00F8046A">
        <w:t>(1972)</w:t>
      </w:r>
      <w:r w:rsidR="001F4DA5">
        <w:t xml:space="preserve"> in which Bolton installed central heating for Mahadeva for £560, however it was faulty and Mahadeva demanded it to be fixed </w:t>
      </w:r>
      <w:r w:rsidR="008D0377">
        <w:t>but would not pay. Bolton sued and was unsuccessful as the work he did was not a substantial performance. A second exception is the divisible contract rule that means a contract can be divided into separate duties “so that failure to perform on one element of the contract does not necessarily put the promisor in breach of the entire contract” (LAWShelf</w:t>
      </w:r>
      <w:r w:rsidR="00D726C7">
        <w:t xml:space="preserve">, 2022). It could be said that Cutter completed half of the duties as the voyage was completed, despite his death, and that his other duty as second mate was not technically completed, due to his death. The divisible contract rule can be seen in </w:t>
      </w:r>
      <w:r w:rsidR="00D726C7" w:rsidRPr="00D726C7">
        <w:rPr>
          <w:i/>
          <w:iCs/>
        </w:rPr>
        <w:t>Richie v Atkinson</w:t>
      </w:r>
      <w:r w:rsidR="00D726C7">
        <w:t xml:space="preserve"> (1808), there was an agreed quantity of hemp and iron at an agreed price, to be delivered and only </w:t>
      </w:r>
      <w:r w:rsidR="007926DA">
        <w:t xml:space="preserve">part of the agreed quantity was delivered, so it was argued that no payment was due. However, due to the divisible contract rule, partial payment was received since part of the agreed quantity was delivered. A third exception is when performance is prevented by the promise, this means that if Powell </w:t>
      </w:r>
      <w:r w:rsidR="00BB6535">
        <w:t>were</w:t>
      </w:r>
      <w:r w:rsidR="007926DA">
        <w:t xml:space="preserve"> to cancel the voyage halfway</w:t>
      </w:r>
      <w:r w:rsidR="007649EC">
        <w:t xml:space="preserve">, Cutter could argue that he is entitled to part of his performance as the other part was prevented by Powell. This exception can be seen in </w:t>
      </w:r>
      <w:r w:rsidR="007649EC">
        <w:rPr>
          <w:i/>
          <w:iCs/>
        </w:rPr>
        <w:t xml:space="preserve">Planche v Colburn </w:t>
      </w:r>
      <w:r w:rsidR="007649EC">
        <w:t>(1831) where Colburn employed Planche to write a book about the history of costumes, for the agreed price of £100. Colburn ultimately cancelled the series halfway through the writing and refused to pay Planche. In the end Planche received £50 as Colburn had prevented the performance by cancelling the series, no fault of Planche.</w:t>
      </w:r>
    </w:p>
    <w:p w14:paraId="05B0A004" w14:textId="77777777" w:rsidR="00CC5AFF" w:rsidRDefault="00CC5AFF" w:rsidP="00CC5AFF">
      <w:pPr>
        <w:pStyle w:val="Heading3"/>
        <w:rPr>
          <w:u w:val="single"/>
        </w:rPr>
      </w:pPr>
      <w:bookmarkStart w:id="4" w:name="_Toc97185273"/>
      <w:r>
        <w:rPr>
          <w:u w:val="single"/>
        </w:rPr>
        <w:t>Advise Arthur whether any valid contracts exist for the sale of the watch:</w:t>
      </w:r>
      <w:bookmarkEnd w:id="4"/>
    </w:p>
    <w:p w14:paraId="24EA05D8" w14:textId="77777777" w:rsidR="00CC5AFF" w:rsidRDefault="00CC5AFF" w:rsidP="00CC5AFF">
      <w:pPr>
        <w:pStyle w:val="Heading3"/>
        <w:rPr>
          <w:u w:val="single"/>
        </w:rPr>
      </w:pPr>
    </w:p>
    <w:p w14:paraId="6A3751E8" w14:textId="5E0B8883" w:rsidR="00CB3636" w:rsidRDefault="00CB3636" w:rsidP="00373A84">
      <w:r>
        <w:t xml:space="preserve">First of all, it’s important to understand that an advertisement in a magazine is not an offer that buyers can accept but </w:t>
      </w:r>
      <w:r w:rsidR="00197A2B">
        <w:t xml:space="preserve">an invitation to treat, what this means is that “one party is willing to invite an offer, it can also be viewed as an invitation to negotiate but it is not, itself, an offer as there is no immediate intention to legally bound” (lawbite, 2021). Therefore, in all instances an offer must be made to </w:t>
      </w:r>
      <w:r w:rsidR="00AA653E">
        <w:t>you,</w:t>
      </w:r>
      <w:r w:rsidR="00197A2B">
        <w:t xml:space="preserve"> and </w:t>
      </w:r>
      <w:r w:rsidR="00362C71">
        <w:t>you</w:t>
      </w:r>
      <w:r w:rsidR="00197A2B">
        <w:t xml:space="preserve"> must accept, </w:t>
      </w:r>
      <w:r w:rsidR="003B479F">
        <w:t>decline,</w:t>
      </w:r>
      <w:r w:rsidR="00197A2B">
        <w:t xml:space="preserve"> or make a counteroffer. </w:t>
      </w:r>
      <w:r w:rsidR="003816CA">
        <w:t xml:space="preserve">In the case of </w:t>
      </w:r>
      <w:r w:rsidR="003816CA">
        <w:rPr>
          <w:i/>
          <w:iCs/>
        </w:rPr>
        <w:t xml:space="preserve">Partridge v Crittenden </w:t>
      </w:r>
      <w:r w:rsidR="003816CA">
        <w:t>(1968) the defendant advertised Bramblefinch cocks and hens for sale and the RSPCA prosecuted due to the Protection of Birds Act 1954, however they were unsuccessful in their prosecution as the court ruled that the advertisement was an invitation of treat, not an offer, which meant the defendant was not guilty.</w:t>
      </w:r>
    </w:p>
    <w:p w14:paraId="3F00F2C1" w14:textId="3898B13C" w:rsidR="003816CA" w:rsidRDefault="003816CA" w:rsidP="00373A84">
      <w:r>
        <w:t xml:space="preserve">The first </w:t>
      </w:r>
      <w:r w:rsidR="00B04EE5">
        <w:t xml:space="preserve">individual, Ben, sent a letter with an offer of buying the watch at full price. This letter did not arrive until after other correspondence with other individuals. </w:t>
      </w:r>
      <w:r w:rsidR="00A61824">
        <w:t xml:space="preserve">It is seen in </w:t>
      </w:r>
      <w:r w:rsidR="00A61824">
        <w:rPr>
          <w:i/>
          <w:iCs/>
        </w:rPr>
        <w:t xml:space="preserve">Adam v Lindsell </w:t>
      </w:r>
      <w:r w:rsidR="00A61824">
        <w:t>(1818) that an offer was sent by the defendants to the plaintiff on the 2</w:t>
      </w:r>
      <w:r w:rsidR="00A61824" w:rsidRPr="00A61824">
        <w:rPr>
          <w:vertAlign w:val="superscript"/>
        </w:rPr>
        <w:t>nd</w:t>
      </w:r>
      <w:r w:rsidR="00A61824">
        <w:t xml:space="preserve"> September, due to the letter being wrongly addressed it was not received until the 5</w:t>
      </w:r>
      <w:r w:rsidR="00A61824" w:rsidRPr="00A61824">
        <w:rPr>
          <w:vertAlign w:val="superscript"/>
        </w:rPr>
        <w:t>th</w:t>
      </w:r>
      <w:r w:rsidR="00A61824">
        <w:t xml:space="preserve"> September and the letter of acceptance from the plaintiffs was not received until the 9</w:t>
      </w:r>
      <w:r w:rsidR="00A61824" w:rsidRPr="00A61824">
        <w:rPr>
          <w:vertAlign w:val="superscript"/>
        </w:rPr>
        <w:t>th</w:t>
      </w:r>
      <w:r w:rsidR="00A61824">
        <w:t xml:space="preserve"> September but the defendants had already sold the goods to another individual on the 8</w:t>
      </w:r>
      <w:r w:rsidR="00A61824" w:rsidRPr="00A61824">
        <w:rPr>
          <w:vertAlign w:val="superscript"/>
        </w:rPr>
        <w:t>th</w:t>
      </w:r>
      <w:r w:rsidR="00A61824">
        <w:t xml:space="preserve"> September. Since the letter of acceptance had been posted </w:t>
      </w:r>
      <w:r w:rsidR="00A61824">
        <w:lastRenderedPageBreak/>
        <w:t xml:space="preserve">before the </w:t>
      </w:r>
      <w:r w:rsidR="00AA653E">
        <w:t>8</w:t>
      </w:r>
      <w:r w:rsidR="00AA653E" w:rsidRPr="00A61824">
        <w:rPr>
          <w:vertAlign w:val="superscript"/>
        </w:rPr>
        <w:t>th of</w:t>
      </w:r>
      <w:r w:rsidR="00A61824">
        <w:t xml:space="preserve"> September it was established in the courts that acceptance was effective from the moment it was posted rather than when it was received, meaning a valid contract was already in place before the defendants sold the goods to a different individual. </w:t>
      </w:r>
      <w:r w:rsidR="00D85E22">
        <w:t xml:space="preserve">Therefore, if Ben’s letter was a letter of acceptance of </w:t>
      </w:r>
      <w:r w:rsidR="00362C71">
        <w:t>your</w:t>
      </w:r>
      <w:r w:rsidR="00D85E22">
        <w:t xml:space="preserve"> offer, then that would be a valid contract and </w:t>
      </w:r>
      <w:r w:rsidR="00362C71">
        <w:t>you</w:t>
      </w:r>
      <w:r w:rsidR="00D85E22">
        <w:t xml:space="preserve"> </w:t>
      </w:r>
      <w:r w:rsidR="00362C71">
        <w:t>would</w:t>
      </w:r>
      <w:r w:rsidR="00D85E22">
        <w:t xml:space="preserve"> not </w:t>
      </w:r>
      <w:r w:rsidR="00362C71">
        <w:t xml:space="preserve">be able to </w:t>
      </w:r>
      <w:r w:rsidR="00D85E22">
        <w:t xml:space="preserve">sell the watch to anyone else without breaching the contract. However, since </w:t>
      </w:r>
      <w:r w:rsidR="00362C71">
        <w:t>your</w:t>
      </w:r>
      <w:r w:rsidR="00D85E22">
        <w:t xml:space="preserve"> advertisement is an invitation to treat, Ben’s letter only serves as an offer letter </w:t>
      </w:r>
      <w:r w:rsidR="00362C71">
        <w:t xml:space="preserve">to </w:t>
      </w:r>
      <w:r w:rsidR="00D85E22">
        <w:t xml:space="preserve">which </w:t>
      </w:r>
      <w:r w:rsidR="00362C71">
        <w:t>you</w:t>
      </w:r>
      <w:r w:rsidR="00D85E22">
        <w:t xml:space="preserve"> must respond with an acceptance letter to make it a valid contract.</w:t>
      </w:r>
    </w:p>
    <w:p w14:paraId="128B8374" w14:textId="50F98DB9" w:rsidR="008912EB" w:rsidRDefault="00E14BAB" w:rsidP="00373A84">
      <w:r>
        <w:t xml:space="preserve">The second individual to make an offer was Christine, she offered £11,000, so less than the asking price, through email. </w:t>
      </w:r>
      <w:r w:rsidR="00362C71">
        <w:t>You</w:t>
      </w:r>
      <w:r>
        <w:t xml:space="preserve"> responded by email making a counteroffer of £13,000 thereby creating new terms to the contract. Christine responded once again, making a counteroffer of £11,000 with a delayed £2,000 payment at the end of the month. </w:t>
      </w:r>
      <w:r w:rsidR="00C17E7E">
        <w:t xml:space="preserve">The next day Christine emailed once again making a second counteroffer of £13,000, explaining that she had managed to raise the £2,000. Although this could be seen as acceptance of </w:t>
      </w:r>
      <w:r w:rsidR="00362C71">
        <w:t>your</w:t>
      </w:r>
      <w:r w:rsidR="00C17E7E">
        <w:t xml:space="preserve"> offer of £13,000 and so a valid contract would be in place, it is not valid </w:t>
      </w:r>
      <w:r w:rsidR="00AA653E">
        <w:t>acceptance,</w:t>
      </w:r>
      <w:r w:rsidR="00C17E7E">
        <w:t xml:space="preserve"> however. As stated by Upcounsel (2022), a counteroffer is essentially a rejection of the original offer. This can be seen in </w:t>
      </w:r>
      <w:r w:rsidR="00C17E7E">
        <w:rPr>
          <w:i/>
          <w:iCs/>
        </w:rPr>
        <w:t xml:space="preserve">Hyde v Wrench </w:t>
      </w:r>
      <w:r w:rsidR="00C17E7E">
        <w:t>(1840), Wrench offered to sell his farm for £1,200 to Hyde, which was declined. Wrench then made a new offer of £1,000</w:t>
      </w:r>
      <w:r w:rsidR="00441FA9">
        <w:t xml:space="preserve"> to which Hyde made a counteroffer of £950 which was promptly declined by Wrench. Hyde decided to accept the original £1,000 offer but Wrench refused to sell the farm to him. Hyde took this to court saying it was breach of contract since he had accepted the £1,000 offer but it was ruled that there was no valid contract since a counteroffer had been made after the original £1,000 offer, revoking that offer as soon as Hyde counteroffered with £950. In </w:t>
      </w:r>
      <w:r w:rsidR="00362C71">
        <w:t>your</w:t>
      </w:r>
      <w:r w:rsidR="00441FA9">
        <w:t xml:space="preserve"> case this means that a valid contract was not made when </w:t>
      </w:r>
      <w:r w:rsidR="00362C71">
        <w:t>Christine</w:t>
      </w:r>
      <w:r w:rsidR="00441FA9">
        <w:t xml:space="preserve"> accepted the £13,000 since it was a revoked offer due to her counteroffer of £11,000 plus £2,000 at the end of the month.</w:t>
      </w:r>
      <w:r w:rsidR="00175A9F">
        <w:t xml:space="preserve"> There was also still no valid contract as </w:t>
      </w:r>
      <w:r w:rsidR="00362C71">
        <w:t>you</w:t>
      </w:r>
      <w:r w:rsidR="00175A9F">
        <w:t xml:space="preserve"> did not respond with acceptance of her latest offer.</w:t>
      </w:r>
    </w:p>
    <w:p w14:paraId="7EC8F19E" w14:textId="05AAB9D6" w:rsidR="003B0844" w:rsidRDefault="00175A9F" w:rsidP="00373A84">
      <w:r>
        <w:t xml:space="preserve">The last individual to contact </w:t>
      </w:r>
      <w:r w:rsidR="00362C71">
        <w:t>you</w:t>
      </w:r>
      <w:r>
        <w:t xml:space="preserve"> was Dennis, in his first email he only asked that he was interested in buying the watch which is not an offer, </w:t>
      </w:r>
      <w:r w:rsidR="00362C71">
        <w:t xml:space="preserve">you responded with an offer of £13,000 to which Dennis replied with an acceptance email. Although this seems to be a valid contract, it still </w:t>
      </w:r>
      <w:r w:rsidR="00BF7CD4">
        <w:t>is not</w:t>
      </w:r>
      <w:r w:rsidR="00362C71">
        <w:t>.</w:t>
      </w:r>
      <w:r w:rsidR="00BF7CD4">
        <w:t xml:space="preserve"> According to the </w:t>
      </w:r>
      <w:r w:rsidR="00BF7CD4">
        <w:rPr>
          <w:i/>
          <w:iCs/>
        </w:rPr>
        <w:t xml:space="preserve">Electronic Commerce (EC Directive) Regulations 2002 </w:t>
      </w:r>
      <w:r w:rsidR="00BF7CD4">
        <w:t>reg11(1) where the recipient of the service places his order through technological means a service provider shall</w:t>
      </w:r>
      <w:r w:rsidR="0090495F">
        <w:t xml:space="preserve"> – reg11(1)(a) acknowledge receipt of the order to the recipient of the service without undue delay and by electronic means; and – reg11(1)(b) make available to the recipient of the service appropriate, effective and accessible technical means allowing him to identify and correct input errors prior to the placing of the order. This means that, right now, you do not have a valid contract with Dennis, although he has accepted the offer, because unlike the postal rule, instantaneous messaging such as emails, telex, and telephone, require a receipt to show acknowledgement to then create a valid contract. Much like Amazon sends an order received notification through email and gives time for amendments to the order. </w:t>
      </w:r>
      <w:r w:rsidR="003B0844">
        <w:t xml:space="preserve">If you were to respond with an email acknowledging his </w:t>
      </w:r>
      <w:r w:rsidR="00AA653E">
        <w:t>acceptance,</w:t>
      </w:r>
      <w:r w:rsidR="003B0844">
        <w:t xml:space="preserve"> then you would form the contract with Dennis.</w:t>
      </w:r>
    </w:p>
    <w:p w14:paraId="5899A506" w14:textId="1821F6BC" w:rsidR="00CC5AFF" w:rsidRPr="00CC5AFF" w:rsidRDefault="003B0844" w:rsidP="00373A84">
      <w:r>
        <w:t xml:space="preserve">Having analysed each individual, looking at the case law and legislation surrounding the issues with acceptance and offers, it is safe to say that there are NO valid contracts with any individual. In order to create a valid contract with Ben you would need to respond with acceptance of his offer and that would legally bind you from the moment you post that letter. If you decide to enter a contract with </w:t>
      </w:r>
      <w:r w:rsidR="00AA653E">
        <w:t>Christine,</w:t>
      </w:r>
      <w:r>
        <w:t xml:space="preserve"> you need to respond with acceptance of her latest offer and await a receipt of acknowledgement as she is corresponding through email. As for Dennis if you want to create a valid contract with him, all you would need to do is send an acknowledgement receipt </w:t>
      </w:r>
      <w:r w:rsidR="00AA653E">
        <w:t>in response to his acceptance email.</w:t>
      </w:r>
      <w:r w:rsidR="00CC5AFF" w:rsidRPr="00CC5AFF">
        <w:br w:type="page"/>
      </w:r>
    </w:p>
    <w:p w14:paraId="58E249E7" w14:textId="60887A4D" w:rsidR="00CC5AFF" w:rsidRDefault="00CC5AFF" w:rsidP="00CC5AFF">
      <w:pPr>
        <w:pStyle w:val="Heading1"/>
      </w:pPr>
      <w:bookmarkStart w:id="5" w:name="_Toc97185274"/>
      <w:r>
        <w:lastRenderedPageBreak/>
        <w:t>References</w:t>
      </w:r>
      <w:bookmarkEnd w:id="5"/>
    </w:p>
    <w:p w14:paraId="5A6A662F" w14:textId="77777777" w:rsidR="005A6762" w:rsidRDefault="005A6762"/>
    <w:p w14:paraId="4E7E1BF6" w14:textId="77777777" w:rsidR="003B479F" w:rsidRDefault="003B479F">
      <w:r w:rsidRPr="003E3139">
        <w:t>e-lawresources (no date) Discharge through performance. Available at: http://www.e-lawresources.co.uk/Discharge-through-performance.php (Accessed: 1 March 2022)</w:t>
      </w:r>
    </w:p>
    <w:p w14:paraId="57037F63" w14:textId="77777777" w:rsidR="003B479F" w:rsidRDefault="003B479F">
      <w:r w:rsidRPr="005A6762">
        <w:t>Hall Ellis (2021) Consideration. Available at: https://hallellis.co.uk/contractual-consideration/ (Accessed: 23 February 2022)</w:t>
      </w:r>
    </w:p>
    <w:p w14:paraId="3C3ADCB2" w14:textId="77777777" w:rsidR="003B479F" w:rsidRDefault="003B479F">
      <w:r w:rsidRPr="00F0448D">
        <w:t xml:space="preserve">Incorporated Zone (2021) For Good </w:t>
      </w:r>
      <w:proofErr w:type="gramStart"/>
      <w:r w:rsidRPr="00F0448D">
        <w:t>And</w:t>
      </w:r>
      <w:proofErr w:type="gramEnd"/>
      <w:r w:rsidRPr="00F0448D">
        <w:t xml:space="preserve"> Valuable Consideration (Meaning And Contract Drafting). Available at: https://incorporated.zone/for-good-and-valuable-consideration/ (Accessed: 23 February 2022)</w:t>
      </w:r>
    </w:p>
    <w:p w14:paraId="39316970" w14:textId="77777777" w:rsidR="003B479F" w:rsidRDefault="003B479F">
      <w:r w:rsidRPr="00D85E22">
        <w:t xml:space="preserve">lawbite (2021) What Is An Invitation To </w:t>
      </w:r>
      <w:proofErr w:type="gramStart"/>
      <w:r w:rsidRPr="00D85E22">
        <w:t>Treat?.</w:t>
      </w:r>
      <w:proofErr w:type="gramEnd"/>
      <w:r w:rsidRPr="00D85E22">
        <w:t xml:space="preserve"> Available at: https://www.lawbite.co.uk/resources/blog/what-is-an-invitation-to-treat (Accessed: 2 March 2022)</w:t>
      </w:r>
    </w:p>
    <w:p w14:paraId="37A6C02F" w14:textId="77777777" w:rsidR="003B479F" w:rsidRDefault="003B479F">
      <w:r w:rsidRPr="00D726C7">
        <w:t>LAWShelf (2022) Divisible Contracts. Available at: https://lawshelf.com/coursewarecontentview/divisible-contracts (Accessed: 1 March 2022)</w:t>
      </w:r>
    </w:p>
    <w:p w14:paraId="1327A464" w14:textId="77777777" w:rsidR="003B479F" w:rsidRDefault="003B479F">
      <w:r w:rsidRPr="008D0377">
        <w:t>Upcounsel (2022) Substantial Performance: Everything You Need to Know. Available at: https://www.upcounsel.com/substantial-performance (Accessed: 1 March 2022)</w:t>
      </w:r>
    </w:p>
    <w:p w14:paraId="72DA5795" w14:textId="77777777" w:rsidR="003B479F" w:rsidRDefault="003B479F">
      <w:r w:rsidRPr="00441FA9">
        <w:t xml:space="preserve">Upcounsel (2022) What Is a Revocation of </w:t>
      </w:r>
      <w:proofErr w:type="gramStart"/>
      <w:r w:rsidRPr="00441FA9">
        <w:t>Offer?.</w:t>
      </w:r>
      <w:proofErr w:type="gramEnd"/>
      <w:r w:rsidRPr="00441FA9">
        <w:t xml:space="preserve"> Available at: https://www.upcounsel.com/revocation-of-offer (Accessed: 2 March 2022)</w:t>
      </w:r>
    </w:p>
    <w:p w14:paraId="4B6DBF8C" w14:textId="77777777" w:rsidR="00441FA9" w:rsidRDefault="00441FA9"/>
    <w:p w14:paraId="54DFE68F" w14:textId="58E65FB6" w:rsidR="00CC5AFF" w:rsidRDefault="00CC5AFF">
      <w:r>
        <w:br w:type="page"/>
      </w:r>
    </w:p>
    <w:p w14:paraId="184FACD4" w14:textId="00BA4839" w:rsidR="00CC5AFF" w:rsidRDefault="00CC5AFF" w:rsidP="00CC5AFF">
      <w:pPr>
        <w:pStyle w:val="Heading1"/>
      </w:pPr>
      <w:bookmarkStart w:id="6" w:name="_Toc97185275"/>
      <w:r>
        <w:lastRenderedPageBreak/>
        <w:t>Case Law and Legislation</w:t>
      </w:r>
      <w:bookmarkEnd w:id="6"/>
    </w:p>
    <w:p w14:paraId="05715853" w14:textId="685622AC" w:rsidR="00650D11" w:rsidRDefault="00650D11" w:rsidP="00650D11"/>
    <w:p w14:paraId="17FA7622" w14:textId="77777777" w:rsidR="003B479F" w:rsidRDefault="003B479F" w:rsidP="00650D11">
      <w:r>
        <w:rPr>
          <w:i/>
          <w:iCs/>
        </w:rPr>
        <w:t xml:space="preserve">Adam v Lindsell </w:t>
      </w:r>
      <w:r>
        <w:t>(1818)</w:t>
      </w:r>
      <w:r>
        <w:t>.</w:t>
      </w:r>
    </w:p>
    <w:p w14:paraId="7E92A601" w14:textId="77777777" w:rsidR="003B479F" w:rsidRDefault="003B479F" w:rsidP="00650D11">
      <w:r>
        <w:rPr>
          <w:i/>
          <w:iCs/>
        </w:rPr>
        <w:t xml:space="preserve">Bolton v Mahadeva </w:t>
      </w:r>
      <w:r>
        <w:t>(1972)</w:t>
      </w:r>
      <w:r>
        <w:t>.</w:t>
      </w:r>
    </w:p>
    <w:p w14:paraId="5AF77949" w14:textId="77777777" w:rsidR="003B479F" w:rsidRDefault="003B479F" w:rsidP="00650D11">
      <w:pPr>
        <w:rPr>
          <w:i/>
          <w:iCs/>
        </w:rPr>
      </w:pPr>
      <w:r>
        <w:rPr>
          <w:i/>
          <w:iCs/>
        </w:rPr>
        <w:t>Contracts (Rights of Third Parties) Act 1999 s1, s1(1)(a), s1(1)(b).</w:t>
      </w:r>
    </w:p>
    <w:p w14:paraId="62F4C859" w14:textId="77777777" w:rsidR="003B479F" w:rsidRDefault="003B479F" w:rsidP="00650D11">
      <w:r>
        <w:rPr>
          <w:i/>
          <w:iCs/>
        </w:rPr>
        <w:t xml:space="preserve">Cutter v Powell </w:t>
      </w:r>
      <w:r>
        <w:t>(1795).</w:t>
      </w:r>
    </w:p>
    <w:p w14:paraId="63B6EE93" w14:textId="77777777" w:rsidR="003B479F" w:rsidRDefault="003B479F" w:rsidP="00650D11">
      <w:pPr>
        <w:rPr>
          <w:i/>
          <w:iCs/>
        </w:rPr>
      </w:pPr>
      <w:r>
        <w:rPr>
          <w:i/>
          <w:iCs/>
        </w:rPr>
        <w:t>Electronic Commerce (EC Directive) Regulations 2002</w:t>
      </w:r>
      <w:r>
        <w:rPr>
          <w:i/>
          <w:iCs/>
        </w:rPr>
        <w:t xml:space="preserve"> reg11, 1(a), 1(b).</w:t>
      </w:r>
    </w:p>
    <w:p w14:paraId="7BEB5AFC" w14:textId="77777777" w:rsidR="003B479F" w:rsidRDefault="003B479F" w:rsidP="00650D11">
      <w:r>
        <w:rPr>
          <w:i/>
          <w:iCs/>
        </w:rPr>
        <w:t xml:space="preserve">Hyde v </w:t>
      </w:r>
      <w:proofErr w:type="gramStart"/>
      <w:r>
        <w:rPr>
          <w:i/>
          <w:iCs/>
        </w:rPr>
        <w:t>Wrench</w:t>
      </w:r>
      <w:proofErr w:type="gramEnd"/>
      <w:r>
        <w:rPr>
          <w:i/>
          <w:iCs/>
        </w:rPr>
        <w:t xml:space="preserve"> </w:t>
      </w:r>
      <w:r>
        <w:t>(1840)</w:t>
      </w:r>
      <w:r>
        <w:t>.</w:t>
      </w:r>
    </w:p>
    <w:p w14:paraId="0F0E70BB" w14:textId="77777777" w:rsidR="003B479F" w:rsidRDefault="003B479F" w:rsidP="00650D11">
      <w:r>
        <w:rPr>
          <w:i/>
          <w:iCs/>
        </w:rPr>
        <w:t xml:space="preserve">Partridge v Crittenden </w:t>
      </w:r>
      <w:r>
        <w:t>(1968)</w:t>
      </w:r>
      <w:r>
        <w:t>.</w:t>
      </w:r>
    </w:p>
    <w:p w14:paraId="38078116" w14:textId="77777777" w:rsidR="003B479F" w:rsidRPr="007649EC" w:rsidRDefault="003B479F" w:rsidP="007649EC">
      <w:r>
        <w:rPr>
          <w:i/>
          <w:iCs/>
        </w:rPr>
        <w:t xml:space="preserve">Planche v Colburn </w:t>
      </w:r>
      <w:r>
        <w:t>(1831)</w:t>
      </w:r>
      <w:r>
        <w:t>.</w:t>
      </w:r>
    </w:p>
    <w:p w14:paraId="12F009F4" w14:textId="77777777" w:rsidR="003B479F" w:rsidRDefault="003B479F" w:rsidP="00650D11">
      <w:r w:rsidRPr="00D726C7">
        <w:rPr>
          <w:i/>
          <w:iCs/>
        </w:rPr>
        <w:t>Richie v Atkinson</w:t>
      </w:r>
      <w:r>
        <w:t xml:space="preserve"> (1808)</w:t>
      </w:r>
      <w:r>
        <w:t>.</w:t>
      </w:r>
    </w:p>
    <w:p w14:paraId="1DBA8AC4" w14:textId="77777777" w:rsidR="003B479F" w:rsidRDefault="003B479F" w:rsidP="00650D11">
      <w:r>
        <w:rPr>
          <w:i/>
          <w:iCs/>
        </w:rPr>
        <w:t xml:space="preserve">Roscorla v Thomas </w:t>
      </w:r>
      <w:r>
        <w:t>(1842).</w:t>
      </w:r>
    </w:p>
    <w:p w14:paraId="186A52BA" w14:textId="77777777" w:rsidR="003B479F" w:rsidRDefault="003B479F" w:rsidP="00650D11">
      <w:r>
        <w:rPr>
          <w:i/>
          <w:iCs/>
        </w:rPr>
        <w:t xml:space="preserve">Tweddle v Atkinson </w:t>
      </w:r>
      <w:r>
        <w:t>(1861).</w:t>
      </w:r>
    </w:p>
    <w:p w14:paraId="41F47506" w14:textId="77777777" w:rsidR="003B479F" w:rsidRDefault="003B479F" w:rsidP="00650D11">
      <w:r>
        <w:rPr>
          <w:i/>
          <w:iCs/>
        </w:rPr>
        <w:t xml:space="preserve">Wells v Devani </w:t>
      </w:r>
      <w:r>
        <w:t>(2019).</w:t>
      </w:r>
    </w:p>
    <w:p w14:paraId="2024498E" w14:textId="77777777" w:rsidR="0090495F" w:rsidRPr="001F4DA5" w:rsidRDefault="0090495F" w:rsidP="00650D11"/>
    <w:sectPr w:rsidR="0090495F" w:rsidRPr="001F4DA5" w:rsidSect="00CC5AFF">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6F858" w14:textId="77777777" w:rsidR="001A3F12" w:rsidRDefault="001A3F12" w:rsidP="00CC5AFF">
      <w:pPr>
        <w:spacing w:after="0" w:line="240" w:lineRule="auto"/>
      </w:pPr>
      <w:r>
        <w:separator/>
      </w:r>
    </w:p>
  </w:endnote>
  <w:endnote w:type="continuationSeparator" w:id="0">
    <w:p w14:paraId="252A7DD5" w14:textId="77777777" w:rsidR="001A3F12" w:rsidRDefault="001A3F12" w:rsidP="00CC5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403056"/>
      <w:docPartObj>
        <w:docPartGallery w:val="Page Numbers (Bottom of Page)"/>
        <w:docPartUnique/>
      </w:docPartObj>
    </w:sdtPr>
    <w:sdtEndPr/>
    <w:sdtContent>
      <w:p w14:paraId="32EC6D4F" w14:textId="77D2AA9F" w:rsidR="00CC5AFF" w:rsidRDefault="00CC5AF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6ADE77C" w14:textId="77777777" w:rsidR="00CC5AFF" w:rsidRDefault="00CC5A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560B5" w14:textId="77777777" w:rsidR="001A3F12" w:rsidRDefault="001A3F12" w:rsidP="00CC5AFF">
      <w:pPr>
        <w:spacing w:after="0" w:line="240" w:lineRule="auto"/>
      </w:pPr>
      <w:r>
        <w:separator/>
      </w:r>
    </w:p>
  </w:footnote>
  <w:footnote w:type="continuationSeparator" w:id="0">
    <w:p w14:paraId="27EC85BF" w14:textId="77777777" w:rsidR="001A3F12" w:rsidRDefault="001A3F12" w:rsidP="00CC5A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AFF"/>
    <w:rsid w:val="000207F1"/>
    <w:rsid w:val="00107A4A"/>
    <w:rsid w:val="00175A9F"/>
    <w:rsid w:val="00197A2B"/>
    <w:rsid w:val="001A3F12"/>
    <w:rsid w:val="001F4DA5"/>
    <w:rsid w:val="00362C71"/>
    <w:rsid w:val="00373A84"/>
    <w:rsid w:val="003816CA"/>
    <w:rsid w:val="003B0844"/>
    <w:rsid w:val="003B479F"/>
    <w:rsid w:val="003D0044"/>
    <w:rsid w:val="003E3139"/>
    <w:rsid w:val="00441FA9"/>
    <w:rsid w:val="004F2E4F"/>
    <w:rsid w:val="005A6762"/>
    <w:rsid w:val="00630CF5"/>
    <w:rsid w:val="00650D11"/>
    <w:rsid w:val="00727252"/>
    <w:rsid w:val="007649EC"/>
    <w:rsid w:val="007926DA"/>
    <w:rsid w:val="00836B86"/>
    <w:rsid w:val="008912EB"/>
    <w:rsid w:val="008D0377"/>
    <w:rsid w:val="0090495F"/>
    <w:rsid w:val="00913BFB"/>
    <w:rsid w:val="00954994"/>
    <w:rsid w:val="009F5451"/>
    <w:rsid w:val="00A61824"/>
    <w:rsid w:val="00A9744D"/>
    <w:rsid w:val="00AA653E"/>
    <w:rsid w:val="00B04EE5"/>
    <w:rsid w:val="00BB6535"/>
    <w:rsid w:val="00BF7CD4"/>
    <w:rsid w:val="00C17E7E"/>
    <w:rsid w:val="00C621F5"/>
    <w:rsid w:val="00CB3636"/>
    <w:rsid w:val="00CC5AFF"/>
    <w:rsid w:val="00D726C7"/>
    <w:rsid w:val="00D85E22"/>
    <w:rsid w:val="00E14BAB"/>
    <w:rsid w:val="00F0448D"/>
    <w:rsid w:val="00F8046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5C54D"/>
  <w15:chartTrackingRefBased/>
  <w15:docId w15:val="{455875CD-E350-496B-804C-E478F8A2C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5A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5A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5A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C5AFF"/>
    <w:pPr>
      <w:spacing w:after="0" w:line="240" w:lineRule="auto"/>
    </w:pPr>
    <w:rPr>
      <w:lang w:val="en-US" w:eastAsia="en-US"/>
    </w:rPr>
  </w:style>
  <w:style w:type="character" w:customStyle="1" w:styleId="NoSpacingChar">
    <w:name w:val="No Spacing Char"/>
    <w:basedOn w:val="DefaultParagraphFont"/>
    <w:link w:val="NoSpacing"/>
    <w:uiPriority w:val="1"/>
    <w:rsid w:val="00CC5AFF"/>
    <w:rPr>
      <w:lang w:val="en-US" w:eastAsia="en-US"/>
    </w:rPr>
  </w:style>
  <w:style w:type="character" w:customStyle="1" w:styleId="Heading1Char">
    <w:name w:val="Heading 1 Char"/>
    <w:basedOn w:val="DefaultParagraphFont"/>
    <w:link w:val="Heading1"/>
    <w:uiPriority w:val="9"/>
    <w:rsid w:val="00CC5AF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C5AFF"/>
    <w:pPr>
      <w:outlineLvl w:val="9"/>
    </w:pPr>
    <w:rPr>
      <w:lang w:val="en-US" w:eastAsia="en-US"/>
    </w:rPr>
  </w:style>
  <w:style w:type="paragraph" w:styleId="TOC1">
    <w:name w:val="toc 1"/>
    <w:basedOn w:val="Normal"/>
    <w:next w:val="Normal"/>
    <w:autoRedefine/>
    <w:uiPriority w:val="39"/>
    <w:unhideWhenUsed/>
    <w:rsid w:val="00CC5AFF"/>
    <w:pPr>
      <w:spacing w:after="100"/>
    </w:pPr>
  </w:style>
  <w:style w:type="character" w:styleId="Hyperlink">
    <w:name w:val="Hyperlink"/>
    <w:basedOn w:val="DefaultParagraphFont"/>
    <w:uiPriority w:val="99"/>
    <w:unhideWhenUsed/>
    <w:rsid w:val="00CC5AFF"/>
    <w:rPr>
      <w:color w:val="0563C1" w:themeColor="hyperlink"/>
      <w:u w:val="single"/>
    </w:rPr>
  </w:style>
  <w:style w:type="paragraph" w:styleId="Header">
    <w:name w:val="header"/>
    <w:basedOn w:val="Normal"/>
    <w:link w:val="HeaderChar"/>
    <w:uiPriority w:val="99"/>
    <w:unhideWhenUsed/>
    <w:rsid w:val="00CC5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AFF"/>
  </w:style>
  <w:style w:type="paragraph" w:styleId="Footer">
    <w:name w:val="footer"/>
    <w:basedOn w:val="Normal"/>
    <w:link w:val="FooterChar"/>
    <w:uiPriority w:val="99"/>
    <w:unhideWhenUsed/>
    <w:rsid w:val="00CC5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AFF"/>
  </w:style>
  <w:style w:type="character" w:customStyle="1" w:styleId="Heading2Char">
    <w:name w:val="Heading 2 Char"/>
    <w:basedOn w:val="DefaultParagraphFont"/>
    <w:link w:val="Heading2"/>
    <w:uiPriority w:val="9"/>
    <w:rsid w:val="00CC5AF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C5AF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B479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40DB86-4791-4A5D-A7C4-5859DB884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7</Pages>
  <Words>2159</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Law Portfolio -   Contract Law AS1</vt:lpstr>
    </vt:vector>
  </TitlesOfParts>
  <Company/>
  <LinksUpToDate>false</LinksUpToDate>
  <CharactersWithSpaces>14438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 Portfolio -   Contract Law AS1</dc:title>
  <dc:subject>BMLW5006</dc:subject>
  <dc:creator>Neve Evans (2000119)</dc:creator>
  <cp:keywords/>
  <dc:description/>
  <cp:lastModifiedBy>Neve Evans (2000119)</cp:lastModifiedBy>
  <cp:revision>3</cp:revision>
  <dcterms:created xsi:type="dcterms:W3CDTF">2022-03-03T05:34:00Z</dcterms:created>
  <dcterms:modified xsi:type="dcterms:W3CDTF">2022-03-03T07:34:00Z</dcterms:modified>
</cp:coreProperties>
</file>