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EBF823" w14:textId="77777777" w:rsidR="003D7353" w:rsidRDefault="00FF2B90" w:rsidP="003D7353">
      <w:pPr>
        <w:jc w:val="center"/>
        <w:rPr>
          <w:b/>
          <w:bCs/>
          <w:sz w:val="36"/>
          <w:szCs w:val="32"/>
        </w:rPr>
      </w:pPr>
      <w:r w:rsidRPr="00FF2B90">
        <w:rPr>
          <w:b/>
          <w:bCs/>
          <w:noProof/>
          <w:sz w:val="36"/>
          <w:szCs w:val="32"/>
        </w:rPr>
        <w:drawing>
          <wp:inline distT="0" distB="0" distL="0" distR="0" wp14:anchorId="0F3A24FB" wp14:editId="44A974D8">
            <wp:extent cx="3810000" cy="1905000"/>
            <wp:effectExtent l="0" t="0" r="0" b="0"/>
            <wp:docPr id="5" name="Picture 1" descr="University of Wales Trinity Saint David (T80) - The Uni Guide"/>
            <wp:cNvGraphicFramePr/>
            <a:graphic xmlns:a="http://schemas.openxmlformats.org/drawingml/2006/main">
              <a:graphicData uri="http://schemas.openxmlformats.org/drawingml/2006/picture">
                <pic:pic xmlns:pic="http://schemas.openxmlformats.org/drawingml/2006/picture">
                  <pic:nvPicPr>
                    <pic:cNvPr id="4" name="Picture 3" descr="University of Wales Trinity Saint David (T80) - The Uni Guide"/>
                    <pic:cNvPicPr/>
                  </pic:nvPicPr>
                  <pic:blipFill>
                    <a:blip r:embed="rId8"/>
                    <a:srcRect/>
                    <a:stretch>
                      <a:fillRect/>
                    </a:stretch>
                  </pic:blipFill>
                  <pic:spPr bwMode="auto">
                    <a:xfrm>
                      <a:off x="0" y="0"/>
                      <a:ext cx="3810000" cy="1905000"/>
                    </a:xfrm>
                    <a:prstGeom prst="rect">
                      <a:avLst/>
                    </a:prstGeom>
                    <a:noFill/>
                    <a:ln w="9525">
                      <a:noFill/>
                      <a:miter lim="800000"/>
                      <a:headEnd/>
                      <a:tailEnd/>
                    </a:ln>
                  </pic:spPr>
                </pic:pic>
              </a:graphicData>
            </a:graphic>
          </wp:inline>
        </w:drawing>
      </w:r>
    </w:p>
    <w:p w14:paraId="609B5844" w14:textId="77777777" w:rsidR="00643BEC" w:rsidRDefault="002D0EC9" w:rsidP="003D7353">
      <w:pPr>
        <w:jc w:val="center"/>
        <w:rPr>
          <w:b/>
          <w:bCs/>
          <w:sz w:val="36"/>
          <w:szCs w:val="32"/>
        </w:rPr>
      </w:pPr>
      <w:r w:rsidRPr="003D7353">
        <w:rPr>
          <w:b/>
          <w:bCs/>
          <w:sz w:val="36"/>
          <w:szCs w:val="32"/>
        </w:rPr>
        <w:t>Digital Skills and Research Methods</w:t>
      </w:r>
    </w:p>
    <w:p w14:paraId="429604CA" w14:textId="77777777" w:rsidR="003D7353" w:rsidRDefault="003D7353" w:rsidP="003D7353">
      <w:pPr>
        <w:jc w:val="center"/>
        <w:rPr>
          <w:b/>
          <w:bCs/>
          <w:sz w:val="36"/>
          <w:szCs w:val="32"/>
        </w:rPr>
      </w:pPr>
    </w:p>
    <w:p w14:paraId="10429C4B" w14:textId="77777777" w:rsidR="003D7353" w:rsidRDefault="003D7353" w:rsidP="003D7353">
      <w:pPr>
        <w:jc w:val="center"/>
        <w:rPr>
          <w:b/>
          <w:bCs/>
          <w:sz w:val="36"/>
          <w:szCs w:val="32"/>
        </w:rPr>
      </w:pPr>
    </w:p>
    <w:p w14:paraId="667293BA" w14:textId="77777777" w:rsidR="00FF2B90" w:rsidRDefault="00FF2B90" w:rsidP="003D7353">
      <w:pPr>
        <w:jc w:val="center"/>
        <w:rPr>
          <w:b/>
          <w:bCs/>
          <w:sz w:val="36"/>
          <w:szCs w:val="32"/>
        </w:rPr>
      </w:pPr>
    </w:p>
    <w:p w14:paraId="549A4666" w14:textId="77777777" w:rsidR="00FF2B90" w:rsidRDefault="00FF2B90" w:rsidP="003D7353">
      <w:pPr>
        <w:jc w:val="center"/>
        <w:rPr>
          <w:b/>
          <w:bCs/>
          <w:sz w:val="36"/>
          <w:szCs w:val="32"/>
        </w:rPr>
      </w:pPr>
    </w:p>
    <w:p w14:paraId="3D8B8C40" w14:textId="77777777" w:rsidR="00FF2B90" w:rsidRDefault="00FF2B90" w:rsidP="003D7353">
      <w:pPr>
        <w:jc w:val="center"/>
        <w:rPr>
          <w:b/>
          <w:bCs/>
          <w:sz w:val="36"/>
          <w:szCs w:val="32"/>
        </w:rPr>
      </w:pPr>
    </w:p>
    <w:p w14:paraId="2D903AE2" w14:textId="77777777" w:rsidR="00FF2B90" w:rsidRDefault="00FF2B90" w:rsidP="003D7353">
      <w:pPr>
        <w:jc w:val="center"/>
        <w:rPr>
          <w:b/>
          <w:bCs/>
          <w:sz w:val="36"/>
          <w:szCs w:val="32"/>
        </w:rPr>
      </w:pPr>
    </w:p>
    <w:p w14:paraId="112FBC75" w14:textId="18AA0BD4" w:rsidR="003D7353" w:rsidRDefault="002D0EC9" w:rsidP="003D7353">
      <w:pPr>
        <w:jc w:val="center"/>
      </w:pPr>
      <w:r>
        <w:t>Name of the Student:</w:t>
      </w:r>
      <w:r w:rsidR="00C8676A">
        <w:t xml:space="preserve"> Alina Mihaela Murgu</w:t>
      </w:r>
    </w:p>
    <w:p w14:paraId="6F5D8B80" w14:textId="48E0348F" w:rsidR="003D7353" w:rsidRDefault="002D0EC9" w:rsidP="003D7353">
      <w:pPr>
        <w:jc w:val="center"/>
      </w:pPr>
      <w:r>
        <w:t>Student’s ID:</w:t>
      </w:r>
      <w:r w:rsidR="00C8676A">
        <w:t xml:space="preserve"> 21</w:t>
      </w:r>
      <w:r w:rsidR="00881B91">
        <w:t>28804</w:t>
      </w:r>
    </w:p>
    <w:p w14:paraId="72BD93C6" w14:textId="6C8A437A" w:rsidR="003D7353" w:rsidRDefault="00881B91" w:rsidP="003D7353">
      <w:pPr>
        <w:jc w:val="center"/>
      </w:pPr>
      <w:r>
        <w:t>Module code: LCHS</w:t>
      </w:r>
      <w:r w:rsidR="00C629F1">
        <w:t>4002</w:t>
      </w:r>
    </w:p>
    <w:p w14:paraId="60200CDC" w14:textId="04350517" w:rsidR="00C629F1" w:rsidRDefault="00C629F1" w:rsidP="003D7353">
      <w:pPr>
        <w:jc w:val="center"/>
      </w:pPr>
      <w:r>
        <w:t>Module leader: Amitave Banik</w:t>
      </w:r>
    </w:p>
    <w:p w14:paraId="6DDB10E2" w14:textId="77777777" w:rsidR="003D7353" w:rsidRDefault="002D0EC9">
      <w:pPr>
        <w:spacing w:line="259" w:lineRule="auto"/>
        <w:jc w:val="left"/>
      </w:pPr>
      <w:r>
        <w:br w:type="page"/>
      </w:r>
    </w:p>
    <w:sdt>
      <w:sdtPr>
        <w:rPr>
          <w:rFonts w:ascii="Arial" w:eastAsiaTheme="minorHAnsi" w:hAnsi="Arial" w:cstheme="minorBidi"/>
          <w:b/>
          <w:bCs/>
          <w:color w:val="auto"/>
          <w:sz w:val="22"/>
          <w:szCs w:val="22"/>
          <w:lang w:val="en-IN"/>
        </w:rPr>
        <w:id w:val="-1186970530"/>
        <w:docPartObj>
          <w:docPartGallery w:val="Table of Contents"/>
          <w:docPartUnique/>
        </w:docPartObj>
      </w:sdtPr>
      <w:sdtEndPr>
        <w:rPr>
          <w:noProof/>
        </w:rPr>
      </w:sdtEndPr>
      <w:sdtContent>
        <w:p w14:paraId="082394FB" w14:textId="77777777" w:rsidR="00BB07DE" w:rsidRPr="00BB07DE" w:rsidRDefault="002D0EC9" w:rsidP="00BB07DE">
          <w:pPr>
            <w:pStyle w:val="TOCHeading"/>
            <w:jc w:val="center"/>
            <w:rPr>
              <w:b/>
              <w:bCs/>
              <w:color w:val="auto"/>
            </w:rPr>
          </w:pPr>
          <w:r w:rsidRPr="00BB07DE">
            <w:rPr>
              <w:b/>
              <w:bCs/>
              <w:color w:val="auto"/>
            </w:rPr>
            <w:t>Table of Contents</w:t>
          </w:r>
        </w:p>
        <w:p w14:paraId="581723CB" w14:textId="77777777" w:rsidR="00177E3B" w:rsidRDefault="00626666">
          <w:pPr>
            <w:pStyle w:val="TOC1"/>
            <w:tabs>
              <w:tab w:val="right" w:leader="dot" w:pos="9016"/>
            </w:tabs>
            <w:rPr>
              <w:rFonts w:asciiTheme="minorHAnsi" w:eastAsiaTheme="minorEastAsia" w:hAnsiTheme="minorHAnsi"/>
              <w:noProof/>
              <w:lang w:eastAsia="en-IN"/>
            </w:rPr>
          </w:pPr>
          <w:r>
            <w:fldChar w:fldCharType="begin"/>
          </w:r>
          <w:r w:rsidR="002D0EC9">
            <w:instrText xml:space="preserve"> TOC \o "1-3" \h \z \u </w:instrText>
          </w:r>
          <w:r>
            <w:fldChar w:fldCharType="separate"/>
          </w:r>
          <w:hyperlink w:anchor="_Toc110004079" w:history="1">
            <w:r w:rsidR="002D0EC9" w:rsidRPr="00605685">
              <w:rPr>
                <w:rStyle w:val="Hyperlink"/>
                <w:noProof/>
              </w:rPr>
              <w:t>Introduction</w:t>
            </w:r>
            <w:r w:rsidR="002D0EC9">
              <w:rPr>
                <w:noProof/>
                <w:webHidden/>
              </w:rPr>
              <w:tab/>
            </w:r>
            <w:r>
              <w:rPr>
                <w:noProof/>
                <w:webHidden/>
              </w:rPr>
              <w:fldChar w:fldCharType="begin"/>
            </w:r>
            <w:r w:rsidR="002D0EC9">
              <w:rPr>
                <w:noProof/>
                <w:webHidden/>
              </w:rPr>
              <w:instrText xml:space="preserve"> PAGEREF _Toc110004079 \h </w:instrText>
            </w:r>
            <w:r>
              <w:rPr>
                <w:noProof/>
                <w:webHidden/>
              </w:rPr>
            </w:r>
            <w:r>
              <w:rPr>
                <w:noProof/>
                <w:webHidden/>
              </w:rPr>
              <w:fldChar w:fldCharType="separate"/>
            </w:r>
            <w:r w:rsidR="002D0EC9">
              <w:rPr>
                <w:noProof/>
                <w:webHidden/>
              </w:rPr>
              <w:t>3</w:t>
            </w:r>
            <w:r>
              <w:rPr>
                <w:noProof/>
                <w:webHidden/>
              </w:rPr>
              <w:fldChar w:fldCharType="end"/>
            </w:r>
          </w:hyperlink>
        </w:p>
        <w:p w14:paraId="0AC50EF2" w14:textId="77777777" w:rsidR="00177E3B" w:rsidRDefault="00000000">
          <w:pPr>
            <w:pStyle w:val="TOC1"/>
            <w:tabs>
              <w:tab w:val="right" w:leader="dot" w:pos="9016"/>
            </w:tabs>
            <w:rPr>
              <w:rFonts w:asciiTheme="minorHAnsi" w:eastAsiaTheme="minorEastAsia" w:hAnsiTheme="minorHAnsi"/>
              <w:noProof/>
              <w:lang w:eastAsia="en-IN"/>
            </w:rPr>
          </w:pPr>
          <w:hyperlink w:anchor="_Toc110004080" w:history="1">
            <w:r w:rsidR="002D0EC9" w:rsidRPr="00605685">
              <w:rPr>
                <w:rStyle w:val="Hyperlink"/>
                <w:noProof/>
              </w:rPr>
              <w:t>Selection and Justification of the Research Subject</w:t>
            </w:r>
            <w:r w:rsidR="002D0EC9">
              <w:rPr>
                <w:noProof/>
                <w:webHidden/>
              </w:rPr>
              <w:tab/>
            </w:r>
            <w:r w:rsidR="00626666">
              <w:rPr>
                <w:noProof/>
                <w:webHidden/>
              </w:rPr>
              <w:fldChar w:fldCharType="begin"/>
            </w:r>
            <w:r w:rsidR="002D0EC9">
              <w:rPr>
                <w:noProof/>
                <w:webHidden/>
              </w:rPr>
              <w:instrText xml:space="preserve"> PAGEREF _Toc110004080 \h </w:instrText>
            </w:r>
            <w:r w:rsidR="00626666">
              <w:rPr>
                <w:noProof/>
                <w:webHidden/>
              </w:rPr>
            </w:r>
            <w:r w:rsidR="00626666">
              <w:rPr>
                <w:noProof/>
                <w:webHidden/>
              </w:rPr>
              <w:fldChar w:fldCharType="separate"/>
            </w:r>
            <w:r w:rsidR="002D0EC9">
              <w:rPr>
                <w:noProof/>
                <w:webHidden/>
              </w:rPr>
              <w:t>3</w:t>
            </w:r>
            <w:r w:rsidR="00626666">
              <w:rPr>
                <w:noProof/>
                <w:webHidden/>
              </w:rPr>
              <w:fldChar w:fldCharType="end"/>
            </w:r>
          </w:hyperlink>
        </w:p>
        <w:p w14:paraId="44DB187B" w14:textId="77777777" w:rsidR="00177E3B" w:rsidRDefault="00000000">
          <w:pPr>
            <w:pStyle w:val="TOC1"/>
            <w:tabs>
              <w:tab w:val="right" w:leader="dot" w:pos="9016"/>
            </w:tabs>
            <w:rPr>
              <w:rFonts w:asciiTheme="minorHAnsi" w:eastAsiaTheme="minorEastAsia" w:hAnsiTheme="minorHAnsi"/>
              <w:noProof/>
              <w:lang w:eastAsia="en-IN"/>
            </w:rPr>
          </w:pPr>
          <w:hyperlink w:anchor="_Toc110004081" w:history="1">
            <w:r w:rsidR="002D0EC9" w:rsidRPr="00605685">
              <w:rPr>
                <w:rStyle w:val="Hyperlink"/>
                <w:noProof/>
              </w:rPr>
              <w:t>Discussion on the Chosen Research Idea</w:t>
            </w:r>
            <w:r w:rsidR="002D0EC9">
              <w:rPr>
                <w:noProof/>
                <w:webHidden/>
              </w:rPr>
              <w:tab/>
            </w:r>
            <w:r w:rsidR="00626666">
              <w:rPr>
                <w:noProof/>
                <w:webHidden/>
              </w:rPr>
              <w:fldChar w:fldCharType="begin"/>
            </w:r>
            <w:r w:rsidR="002D0EC9">
              <w:rPr>
                <w:noProof/>
                <w:webHidden/>
              </w:rPr>
              <w:instrText xml:space="preserve"> PAGEREF _Toc110004081 \h </w:instrText>
            </w:r>
            <w:r w:rsidR="00626666">
              <w:rPr>
                <w:noProof/>
                <w:webHidden/>
              </w:rPr>
            </w:r>
            <w:r w:rsidR="00626666">
              <w:rPr>
                <w:noProof/>
                <w:webHidden/>
              </w:rPr>
              <w:fldChar w:fldCharType="separate"/>
            </w:r>
            <w:r w:rsidR="002D0EC9">
              <w:rPr>
                <w:noProof/>
                <w:webHidden/>
              </w:rPr>
              <w:t>4</w:t>
            </w:r>
            <w:r w:rsidR="00626666">
              <w:rPr>
                <w:noProof/>
                <w:webHidden/>
              </w:rPr>
              <w:fldChar w:fldCharType="end"/>
            </w:r>
          </w:hyperlink>
        </w:p>
        <w:p w14:paraId="2446F3DD" w14:textId="77777777" w:rsidR="00177E3B" w:rsidRDefault="00000000">
          <w:pPr>
            <w:pStyle w:val="TOC1"/>
            <w:tabs>
              <w:tab w:val="right" w:leader="dot" w:pos="9016"/>
            </w:tabs>
            <w:rPr>
              <w:rFonts w:asciiTheme="minorHAnsi" w:eastAsiaTheme="minorEastAsia" w:hAnsiTheme="minorHAnsi"/>
              <w:noProof/>
              <w:lang w:eastAsia="en-IN"/>
            </w:rPr>
          </w:pPr>
          <w:hyperlink w:anchor="_Toc110004082" w:history="1">
            <w:r w:rsidR="002D0EC9" w:rsidRPr="00605685">
              <w:rPr>
                <w:rStyle w:val="Hyperlink"/>
                <w:noProof/>
              </w:rPr>
              <w:t>Selection of Methodology</w:t>
            </w:r>
            <w:r w:rsidR="002D0EC9">
              <w:rPr>
                <w:noProof/>
                <w:webHidden/>
              </w:rPr>
              <w:tab/>
            </w:r>
            <w:r w:rsidR="00626666">
              <w:rPr>
                <w:noProof/>
                <w:webHidden/>
              </w:rPr>
              <w:fldChar w:fldCharType="begin"/>
            </w:r>
            <w:r w:rsidR="002D0EC9">
              <w:rPr>
                <w:noProof/>
                <w:webHidden/>
              </w:rPr>
              <w:instrText xml:space="preserve"> PAGEREF _Toc110004082 \h </w:instrText>
            </w:r>
            <w:r w:rsidR="00626666">
              <w:rPr>
                <w:noProof/>
                <w:webHidden/>
              </w:rPr>
            </w:r>
            <w:r w:rsidR="00626666">
              <w:rPr>
                <w:noProof/>
                <w:webHidden/>
              </w:rPr>
              <w:fldChar w:fldCharType="separate"/>
            </w:r>
            <w:r w:rsidR="002D0EC9">
              <w:rPr>
                <w:noProof/>
                <w:webHidden/>
              </w:rPr>
              <w:t>4</w:t>
            </w:r>
            <w:r w:rsidR="00626666">
              <w:rPr>
                <w:noProof/>
                <w:webHidden/>
              </w:rPr>
              <w:fldChar w:fldCharType="end"/>
            </w:r>
          </w:hyperlink>
        </w:p>
        <w:p w14:paraId="51061C35" w14:textId="77777777" w:rsidR="00177E3B" w:rsidRDefault="00000000">
          <w:pPr>
            <w:pStyle w:val="TOC1"/>
            <w:tabs>
              <w:tab w:val="right" w:leader="dot" w:pos="9016"/>
            </w:tabs>
            <w:rPr>
              <w:rFonts w:asciiTheme="minorHAnsi" w:eastAsiaTheme="minorEastAsia" w:hAnsiTheme="minorHAnsi"/>
              <w:noProof/>
              <w:lang w:eastAsia="en-IN"/>
            </w:rPr>
          </w:pPr>
          <w:hyperlink w:anchor="_Toc110004083" w:history="1">
            <w:r w:rsidR="002D0EC9" w:rsidRPr="00605685">
              <w:rPr>
                <w:rStyle w:val="Hyperlink"/>
                <w:noProof/>
              </w:rPr>
              <w:t>Justification of the Credibility of The Research Resource</w:t>
            </w:r>
            <w:r w:rsidR="002D0EC9">
              <w:rPr>
                <w:noProof/>
                <w:webHidden/>
              </w:rPr>
              <w:tab/>
            </w:r>
            <w:r w:rsidR="00626666">
              <w:rPr>
                <w:noProof/>
                <w:webHidden/>
              </w:rPr>
              <w:fldChar w:fldCharType="begin"/>
            </w:r>
            <w:r w:rsidR="002D0EC9">
              <w:rPr>
                <w:noProof/>
                <w:webHidden/>
              </w:rPr>
              <w:instrText xml:space="preserve"> PAGEREF _Toc110004083 \h </w:instrText>
            </w:r>
            <w:r w:rsidR="00626666">
              <w:rPr>
                <w:noProof/>
                <w:webHidden/>
              </w:rPr>
            </w:r>
            <w:r w:rsidR="00626666">
              <w:rPr>
                <w:noProof/>
                <w:webHidden/>
              </w:rPr>
              <w:fldChar w:fldCharType="separate"/>
            </w:r>
            <w:r w:rsidR="002D0EC9">
              <w:rPr>
                <w:noProof/>
                <w:webHidden/>
              </w:rPr>
              <w:t>5</w:t>
            </w:r>
            <w:r w:rsidR="00626666">
              <w:rPr>
                <w:noProof/>
                <w:webHidden/>
              </w:rPr>
              <w:fldChar w:fldCharType="end"/>
            </w:r>
          </w:hyperlink>
        </w:p>
        <w:p w14:paraId="7274FC8F" w14:textId="77777777" w:rsidR="00177E3B" w:rsidRDefault="00000000">
          <w:pPr>
            <w:pStyle w:val="TOC1"/>
            <w:tabs>
              <w:tab w:val="right" w:leader="dot" w:pos="9016"/>
            </w:tabs>
            <w:rPr>
              <w:rFonts w:asciiTheme="minorHAnsi" w:eastAsiaTheme="minorEastAsia" w:hAnsiTheme="minorHAnsi"/>
              <w:noProof/>
              <w:lang w:eastAsia="en-IN"/>
            </w:rPr>
          </w:pPr>
          <w:hyperlink w:anchor="_Toc110004084" w:history="1">
            <w:r w:rsidR="002D0EC9" w:rsidRPr="00605685">
              <w:rPr>
                <w:rStyle w:val="Hyperlink"/>
                <w:noProof/>
              </w:rPr>
              <w:t>Conclusion</w:t>
            </w:r>
            <w:r w:rsidR="002D0EC9">
              <w:rPr>
                <w:noProof/>
                <w:webHidden/>
              </w:rPr>
              <w:tab/>
            </w:r>
            <w:r w:rsidR="00626666">
              <w:rPr>
                <w:noProof/>
                <w:webHidden/>
              </w:rPr>
              <w:fldChar w:fldCharType="begin"/>
            </w:r>
            <w:r w:rsidR="002D0EC9">
              <w:rPr>
                <w:noProof/>
                <w:webHidden/>
              </w:rPr>
              <w:instrText xml:space="preserve"> PAGEREF _Toc110004084 \h </w:instrText>
            </w:r>
            <w:r w:rsidR="00626666">
              <w:rPr>
                <w:noProof/>
                <w:webHidden/>
              </w:rPr>
            </w:r>
            <w:r w:rsidR="00626666">
              <w:rPr>
                <w:noProof/>
                <w:webHidden/>
              </w:rPr>
              <w:fldChar w:fldCharType="separate"/>
            </w:r>
            <w:r w:rsidR="002D0EC9">
              <w:rPr>
                <w:noProof/>
                <w:webHidden/>
              </w:rPr>
              <w:t>6</w:t>
            </w:r>
            <w:r w:rsidR="00626666">
              <w:rPr>
                <w:noProof/>
                <w:webHidden/>
              </w:rPr>
              <w:fldChar w:fldCharType="end"/>
            </w:r>
          </w:hyperlink>
        </w:p>
        <w:p w14:paraId="0D09FBF4" w14:textId="77777777" w:rsidR="00177E3B" w:rsidRDefault="00000000">
          <w:pPr>
            <w:pStyle w:val="TOC1"/>
            <w:tabs>
              <w:tab w:val="right" w:leader="dot" w:pos="9016"/>
            </w:tabs>
            <w:rPr>
              <w:rFonts w:asciiTheme="minorHAnsi" w:eastAsiaTheme="minorEastAsia" w:hAnsiTheme="minorHAnsi"/>
              <w:noProof/>
              <w:lang w:eastAsia="en-IN"/>
            </w:rPr>
          </w:pPr>
          <w:hyperlink w:anchor="_Toc110004085" w:history="1">
            <w:r w:rsidR="002D0EC9" w:rsidRPr="00605685">
              <w:rPr>
                <w:rStyle w:val="Hyperlink"/>
                <w:noProof/>
              </w:rPr>
              <w:t>References</w:t>
            </w:r>
            <w:r w:rsidR="002D0EC9">
              <w:rPr>
                <w:noProof/>
                <w:webHidden/>
              </w:rPr>
              <w:tab/>
            </w:r>
            <w:r w:rsidR="00626666">
              <w:rPr>
                <w:noProof/>
                <w:webHidden/>
              </w:rPr>
              <w:fldChar w:fldCharType="begin"/>
            </w:r>
            <w:r w:rsidR="002D0EC9">
              <w:rPr>
                <w:noProof/>
                <w:webHidden/>
              </w:rPr>
              <w:instrText xml:space="preserve"> PAGEREF _Toc110004085 \h </w:instrText>
            </w:r>
            <w:r w:rsidR="00626666">
              <w:rPr>
                <w:noProof/>
                <w:webHidden/>
              </w:rPr>
            </w:r>
            <w:r w:rsidR="00626666">
              <w:rPr>
                <w:noProof/>
                <w:webHidden/>
              </w:rPr>
              <w:fldChar w:fldCharType="separate"/>
            </w:r>
            <w:r w:rsidR="002D0EC9">
              <w:rPr>
                <w:noProof/>
                <w:webHidden/>
              </w:rPr>
              <w:t>7</w:t>
            </w:r>
            <w:r w:rsidR="00626666">
              <w:rPr>
                <w:noProof/>
                <w:webHidden/>
              </w:rPr>
              <w:fldChar w:fldCharType="end"/>
            </w:r>
          </w:hyperlink>
        </w:p>
        <w:p w14:paraId="531378CF" w14:textId="77777777" w:rsidR="00BB07DE" w:rsidRDefault="00626666">
          <w:r>
            <w:rPr>
              <w:b/>
              <w:bCs/>
              <w:noProof/>
            </w:rPr>
            <w:fldChar w:fldCharType="end"/>
          </w:r>
        </w:p>
      </w:sdtContent>
    </w:sdt>
    <w:p w14:paraId="2D0E8DBE" w14:textId="77777777" w:rsidR="003D7353" w:rsidRDefault="002D0EC9">
      <w:pPr>
        <w:spacing w:line="259" w:lineRule="auto"/>
        <w:jc w:val="left"/>
      </w:pPr>
      <w:r>
        <w:br w:type="page"/>
      </w:r>
    </w:p>
    <w:p w14:paraId="2260851F" w14:textId="77777777" w:rsidR="003D7353" w:rsidRDefault="002D0EC9" w:rsidP="003B396C">
      <w:pPr>
        <w:pStyle w:val="Heading1"/>
      </w:pPr>
      <w:bookmarkStart w:id="0" w:name="_Toc110004079"/>
      <w:r>
        <w:lastRenderedPageBreak/>
        <w:t>Introduction</w:t>
      </w:r>
      <w:bookmarkEnd w:id="0"/>
    </w:p>
    <w:p w14:paraId="6BDFBA98" w14:textId="77777777" w:rsidR="00BB07DE" w:rsidRDefault="002D0EC9" w:rsidP="003B396C">
      <w:r>
        <w:t>Improved diagnosis and treatment of patients have resulted from the use of technology in healthcare all through the years. The healthcare industry has reaped the greatest benefits from the widespread use of new technologies. Thus, it has enhanced human well-being and contributed to the preservation of countless lives. Increasing automation, a shift in the location of employment, and new and open talent models are all a result of rapidly growing digital technologies</w:t>
      </w:r>
      <w:r w:rsidR="00D908BA">
        <w:rPr>
          <w:lang w:val="en-US"/>
        </w:rPr>
        <w:t>(</w:t>
      </w:r>
      <w:r w:rsidR="00D908BA" w:rsidRPr="00E41B70">
        <w:t>Shah and Chircu, 2018</w:t>
      </w:r>
      <w:r w:rsidR="00D908BA">
        <w:t>)</w:t>
      </w:r>
      <w:r>
        <w:t>. Several provider companies are naturally concerned about how to deal with such dynamic growth and its ramifications for where, how, and when work is done.</w:t>
      </w:r>
      <w:r w:rsidR="00CB46E4">
        <w:t xml:space="preserve"> From the past research, the </w:t>
      </w:r>
      <w:r w:rsidR="00976480">
        <w:t>significance</w:t>
      </w:r>
      <w:r w:rsidR="00CB46E4">
        <w:t xml:space="preserve"> of the adaptation of </w:t>
      </w:r>
      <w:r w:rsidR="003D5E83">
        <w:t>advanced</w:t>
      </w:r>
      <w:r w:rsidR="00976480">
        <w:t>technologies</w:t>
      </w:r>
      <w:r w:rsidR="00CB46E4">
        <w:t xml:space="preserve"> has been evident and the</w:t>
      </w:r>
      <w:r w:rsidR="00976480">
        <w:t>re</w:t>
      </w:r>
      <w:r w:rsidR="00CB46E4">
        <w:t xml:space="preserve">fore different </w:t>
      </w:r>
      <w:r w:rsidR="00976480">
        <w:t>health</w:t>
      </w:r>
      <w:r w:rsidR="00CB46E4">
        <w:t xml:space="preserve"> care institutions whether care facilities or rehabilitation centres or </w:t>
      </w:r>
      <w:r w:rsidR="00976480">
        <w:t>nursing</w:t>
      </w:r>
      <w:r w:rsidR="00CB46E4">
        <w:t xml:space="preserve"> homes, the incorporation of new technological approaches are more visible, especially after the pandemic.</w:t>
      </w:r>
    </w:p>
    <w:p w14:paraId="01064C3D" w14:textId="77777777" w:rsidR="003B396C" w:rsidRDefault="002D0EC9" w:rsidP="003B396C">
      <w:r>
        <w:t xml:space="preserve">Artificial Intelligence is by far the most relevant technology that has gained momentum in the last few years. </w:t>
      </w:r>
      <w:r w:rsidRPr="00817E98">
        <w:t>AI is capable of enhancing all three facets of patient care: clinical results, availability of healthcare services, and the patient experience. In addition to allowing doctors and nurses to devote more time to patient care without risking exhaustion</w:t>
      </w:r>
      <w:r w:rsidR="00D908BA">
        <w:t xml:space="preserve"> (</w:t>
      </w:r>
      <w:r w:rsidR="00D908BA" w:rsidRPr="00B37314">
        <w:t>Shaheen, 2021</w:t>
      </w:r>
      <w:r w:rsidR="00D908BA">
        <w:t>)</w:t>
      </w:r>
      <w:r w:rsidRPr="00817E98">
        <w:t>, it enhances the productivity and profitability of healthcare provision.</w:t>
      </w:r>
      <w:r w:rsidR="00B0256C">
        <w:t>Although there is a range of advantages associated with the application of AI in the healthcare setting, there are disadvantages that loom the path to the viability of AI usage.</w:t>
      </w:r>
      <w:r w:rsidR="005E6F26">
        <w:t xml:space="preserve"> The present report will explore the research subject that is relevant to the application and viability of AI in the healthcare context. </w:t>
      </w:r>
    </w:p>
    <w:p w14:paraId="69A76CBE" w14:textId="77777777" w:rsidR="00632E18" w:rsidRDefault="002D0EC9" w:rsidP="00775DE6">
      <w:pPr>
        <w:pStyle w:val="Heading1"/>
      </w:pPr>
      <w:bookmarkStart w:id="1" w:name="_Toc110004080"/>
      <w:r>
        <w:t>Selection and Justification of the Research Subject</w:t>
      </w:r>
      <w:bookmarkEnd w:id="1"/>
    </w:p>
    <w:p w14:paraId="570391C9" w14:textId="77777777" w:rsidR="00BB07DE" w:rsidRDefault="002D0EC9" w:rsidP="005D76A4">
      <w:r w:rsidRPr="00982ED2">
        <w:t>Artificial intelligence (AI) is now ubiquitous, regardless of industry. For healthcare professionals, artificial intelligence (AI) may assist to streamline activities, enhance operational efficiency and standardize complicated procedures. Several major IT firms have recently increased their financial support for the development of AI-based medical technologies. Microsoft, for example, has announced its launch of a $40 million healthcare initiative in 2020</w:t>
      </w:r>
      <w:r w:rsidR="00D908BA">
        <w:t xml:space="preserve"> (</w:t>
      </w:r>
      <w:r w:rsidR="00D908BA" w:rsidRPr="00B37314">
        <w:t>Shaheen, 2021</w:t>
      </w:r>
      <w:r w:rsidR="00D908BA">
        <w:t>)</w:t>
      </w:r>
      <w:r w:rsidRPr="00982ED2">
        <w:t xml:space="preserve">. There's no question that artificial intelligence (AI) is having an impact on the healthcare business, but it's still comparatively new. AI's potential benefits and drawbacks are being debated more and more as it gains traction in the healthcare industry. The digital-first healthcare system has earned a lot of legitimacy owing to artificial intelligence. As a result of the epidemic, AI investment in healthcare has increased. Patients with COVID-19 are being studied by the Mount Sinai Health System, which is using AI in conjunction with clinical data and imaging. </w:t>
      </w:r>
    </w:p>
    <w:p w14:paraId="3EFCAC61" w14:textId="77777777" w:rsidR="005D76A4" w:rsidRDefault="002D0EC9" w:rsidP="005D76A4">
      <w:r w:rsidRPr="00982ED2">
        <w:lastRenderedPageBreak/>
        <w:t>Centres</w:t>
      </w:r>
      <w:r w:rsidR="00982ED2" w:rsidRPr="00982ED2">
        <w:t xml:space="preserve"> for Disease Control and Prevention has an AI-driven bot on their webpage for efficient detection of coronavirus infections, as another example. </w:t>
      </w:r>
      <w:r w:rsidR="00982ED2">
        <w:t xml:space="preserve">However, </w:t>
      </w:r>
      <w:r w:rsidR="00DB37DB">
        <w:t>all</w:t>
      </w:r>
      <w:r w:rsidR="00982ED2">
        <w:t xml:space="preserve"> these scenarios do not play a </w:t>
      </w:r>
      <w:r>
        <w:t>convincing</w:t>
      </w:r>
      <w:r w:rsidR="00982ED2">
        <w:t xml:space="preserve"> role in justifying AI reliance and</w:t>
      </w:r>
      <w:r>
        <w:t xml:space="preserve"> its sustainability for the future. </w:t>
      </w:r>
      <w:r w:rsidR="00665435">
        <w:t>It is necessary to understand both aspects from a rational perspective</w:t>
      </w:r>
      <w:r w:rsidR="00D908BA">
        <w:t xml:space="preserve"> (</w:t>
      </w:r>
      <w:r w:rsidR="00D908BA" w:rsidRPr="00B37314">
        <w:t>Datta</w:t>
      </w:r>
      <w:r w:rsidR="00D908BA">
        <w:t>,</w:t>
      </w:r>
      <w:r w:rsidR="00D908BA" w:rsidRPr="00B37314">
        <w:t xml:space="preserve"> Barua and Das, 2019</w:t>
      </w:r>
      <w:r w:rsidR="00D908BA">
        <w:t>)</w:t>
      </w:r>
      <w:r w:rsidR="00665435">
        <w:t xml:space="preserve">. </w:t>
      </w:r>
      <w:r w:rsidR="00982ED2">
        <w:t xml:space="preserve">All these examples of AI being used as a significant tool and guided approach have led the subject to gain much more attention for critical research. It demands a consolidated research attempt that will lead to further understanding of the technology's positives and negatives. </w:t>
      </w:r>
    </w:p>
    <w:p w14:paraId="7E6DCF57" w14:textId="77777777" w:rsidR="009840CD" w:rsidRDefault="002D0EC9" w:rsidP="00F06FE8">
      <w:pPr>
        <w:pStyle w:val="Heading1"/>
      </w:pPr>
      <w:bookmarkStart w:id="2" w:name="_Toc110004081"/>
      <w:r w:rsidRPr="00F06FE8">
        <w:t>Discuss</w:t>
      </w:r>
      <w:r w:rsidR="00B848C5">
        <w:t>ion on the</w:t>
      </w:r>
      <w:r w:rsidRPr="00F06FE8">
        <w:t xml:space="preserve"> Chosen Research Idea</w:t>
      </w:r>
      <w:bookmarkEnd w:id="2"/>
    </w:p>
    <w:p w14:paraId="55B82F18" w14:textId="77777777" w:rsidR="00BB07DE" w:rsidRDefault="002D0EC9" w:rsidP="0039384D">
      <w:r>
        <w:t>AI has gained the required pace in the last three years as the healthcare industry went through a constant threat of insufficiency and emergency</w:t>
      </w:r>
      <w:r w:rsidR="00D908BA">
        <w:t xml:space="preserve"> (</w:t>
      </w:r>
      <w:r w:rsidR="00D908BA" w:rsidRPr="008704AD">
        <w:t>Manne and Kantheti, 2021</w:t>
      </w:r>
      <w:r w:rsidR="00D908BA">
        <w:t>)</w:t>
      </w:r>
      <w:r>
        <w:t xml:space="preserve">. </w:t>
      </w:r>
      <w:r w:rsidR="0039384D">
        <w:t>World Health Organization (WHO) early on indicated that artificial intelligence (AI) may be a critical tool for managing the epidemic. In order to solve the present global health emergency, establish next-generation disease prevention, advancement of the existing healthcare systems, simplify different contemporary settings and progress towards a robust rebound, AI is a critical non-medical approach</w:t>
      </w:r>
      <w:r w:rsidR="00D908BA">
        <w:t xml:space="preserve"> (</w:t>
      </w:r>
      <w:r w:rsidR="00D908BA" w:rsidRPr="00B37314">
        <w:t>Datta</w:t>
      </w:r>
      <w:r w:rsidR="00D908BA">
        <w:t>,</w:t>
      </w:r>
      <w:r w:rsidR="00D908BA" w:rsidRPr="00B37314">
        <w:t xml:space="preserve"> Barua and Das, 2019</w:t>
      </w:r>
      <w:r w:rsidR="00D908BA">
        <w:t>)</w:t>
      </w:r>
      <w:r w:rsidR="0039384D">
        <w:t>. While artificial intelligence (AI) offers great potential, it also raises fundamental concerns about justice, trustworthiness, responsibility, confidentiality, accessibility, and safety. This collection aims to address these issues and look ahead to an intelligent healthcare future regarding the likely practices and lessons learned in the past few years of the healthcare crisis</w:t>
      </w:r>
      <w:r w:rsidR="00D908BA">
        <w:t xml:space="preserve"> (</w:t>
      </w:r>
      <w:r w:rsidR="00D908BA" w:rsidRPr="00B37314">
        <w:t>Datta</w:t>
      </w:r>
      <w:r w:rsidR="00D908BA">
        <w:t>,</w:t>
      </w:r>
      <w:r w:rsidR="00D908BA" w:rsidRPr="00B37314">
        <w:t xml:space="preserve"> Barua and Das, 2019</w:t>
      </w:r>
      <w:r w:rsidR="00D908BA">
        <w:t>)</w:t>
      </w:r>
      <w:r w:rsidR="0039384D">
        <w:t>.</w:t>
      </w:r>
      <w:r w:rsidR="001A021B">
        <w:t xml:space="preserve"> Following the above concept of AI and its rapid integration into healthcare organizations, it is indispensable to judge the applicability and practicality of usage of AI in the modern era of healthcare advancements</w:t>
      </w:r>
      <w:r w:rsidR="006E00A5">
        <w:t xml:space="preserve"> from a critical viewpoint</w:t>
      </w:r>
      <w:r w:rsidR="00F30DEC">
        <w:t xml:space="preserve"> (</w:t>
      </w:r>
      <w:r w:rsidR="00F30DEC" w:rsidRPr="0089455D">
        <w:t>Miller and Brown, 2018</w:t>
      </w:r>
      <w:r w:rsidR="00F30DEC">
        <w:t>)</w:t>
      </w:r>
      <w:r w:rsidR="006E00A5">
        <w:t>. Th</w:t>
      </w:r>
      <w:r w:rsidR="00F30DEC">
        <w:t xml:space="preserve">e </w:t>
      </w:r>
      <w:r w:rsidR="006E00A5">
        <w:t xml:space="preserve">validity and how it can be applied to enhance productivity is a matter of different concern. </w:t>
      </w:r>
    </w:p>
    <w:p w14:paraId="15F39A8A" w14:textId="77777777" w:rsidR="00094133" w:rsidRDefault="002D0EC9" w:rsidP="0039384D">
      <w:r>
        <w:t xml:space="preserve">While, it is obvious that the healthcare </w:t>
      </w:r>
      <w:r w:rsidR="009D5879">
        <w:t>system has been improved with this rapid application and growth in AI, but still the negativ</w:t>
      </w:r>
      <w:r w:rsidR="00EA028B">
        <w:t>e implications need to be identified as well to reach an unbiased conclusion regarding the implementation of this versatile technology</w:t>
      </w:r>
      <w:r w:rsidR="00D908BA">
        <w:t xml:space="preserve"> (</w:t>
      </w:r>
      <w:r w:rsidR="00D908BA" w:rsidRPr="00B37314">
        <w:t>Datta</w:t>
      </w:r>
      <w:r w:rsidR="00D908BA">
        <w:t>,</w:t>
      </w:r>
      <w:r w:rsidR="00D908BA" w:rsidRPr="00B37314">
        <w:t xml:space="preserve"> Barua and Das, 2019</w:t>
      </w:r>
      <w:r w:rsidR="00D908BA">
        <w:t>)</w:t>
      </w:r>
      <w:r w:rsidR="00EA028B">
        <w:t xml:space="preserve">. </w:t>
      </w:r>
      <w:r w:rsidR="00094133">
        <w:t>Effective medical care relies heavily on accurate diagnosis, which is the most difficult task for healthcare personnel. When patients' ailments and communication abilities differ significantly, anamnesis may be a time-consuming and costly procedure even for competent clinicians. AI applications have the potential to make a big difference in this area. Patient calls are answered by generic voice assistants, who then set up an appointment for them</w:t>
      </w:r>
      <w:r w:rsidR="00B23248">
        <w:t xml:space="preserve"> (</w:t>
      </w:r>
      <w:r w:rsidR="00B23248" w:rsidRPr="00B23248">
        <w:t>Henning, Henning and Glück, 2021</w:t>
      </w:r>
      <w:r w:rsidR="00B23248">
        <w:t>)</w:t>
      </w:r>
      <w:r w:rsidR="00094133">
        <w:t xml:space="preserve">. In order to get as much information about the patient as practicable through conversation, one intermediary step that is technically even easier is an application that guides the patient through standardised questions. Chatbots and conversational interface design have been developed in several fields of human-machine communication to conduct more realistic conversations. This hasn't been done in the medical </w:t>
      </w:r>
      <w:r w:rsidR="00094133">
        <w:lastRenderedPageBreak/>
        <w:t>field as of yet. There is now a research collaboration looking into these informal channels.The most advanced applications of AI in this sector are still a few years away, but they will assist doctors establish a right diagnosis by utilising anamneses data to narrow down the likely causes. It is apparent that objective evidence is necessary for a successful diagnosis. AI subsystems may also be necessary in certain cases</w:t>
      </w:r>
      <w:r w:rsidR="00B23248">
        <w:t>(</w:t>
      </w:r>
      <w:r w:rsidR="00B23248" w:rsidRPr="00B23248">
        <w:t>Henning, Henning and Glück, 2021</w:t>
      </w:r>
      <w:r w:rsidR="00B23248">
        <w:t>)</w:t>
      </w:r>
      <w:r w:rsidR="00094133">
        <w:t>. As a result, a comprehensive AI-based diagnostic aid must be able to coordinate various inputs and eventually provide a considered judgement to a human decision-maker.</w:t>
      </w:r>
    </w:p>
    <w:p w14:paraId="3D7C6C69" w14:textId="77777777" w:rsidR="00F06FE8" w:rsidRDefault="00094133" w:rsidP="0039384D">
      <w:r>
        <w:t>The</w:t>
      </w:r>
      <w:r w:rsidR="00B036D8">
        <w:t xml:space="preserve"> present research subject is therefore a relevant approach to </w:t>
      </w:r>
      <w:r w:rsidR="00400F7C">
        <w:t xml:space="preserve">ideally present a comprehensive yet concise perspective on the subject which might provide a dependable foundation for further research endeavour concerning this specific subject. </w:t>
      </w:r>
    </w:p>
    <w:p w14:paraId="6957CE89" w14:textId="77777777" w:rsidR="00010707" w:rsidRDefault="002D0EC9" w:rsidP="00E20723">
      <w:pPr>
        <w:pStyle w:val="Heading1"/>
      </w:pPr>
      <w:bookmarkStart w:id="3" w:name="_Toc110004082"/>
      <w:r>
        <w:t xml:space="preserve">Selection of </w:t>
      </w:r>
      <w:r w:rsidRPr="00E20723">
        <w:t>Methodology</w:t>
      </w:r>
      <w:bookmarkEnd w:id="3"/>
    </w:p>
    <w:p w14:paraId="689B482A" w14:textId="77777777" w:rsidR="004E45A0" w:rsidRDefault="002D0EC9" w:rsidP="004E45A0">
      <w:r>
        <w:t>A researcher's approach explains how they aim to conduct their study. It's a methodical and logical approach to resolving a research issue. In order to get trustworthy and accurate findings, a researcher is required to a methodology that outlines how they do their study. It entails not just where and how data will be gathered, but also what data will be gathered and evaluated. Using a research technique ensures that the results of the study are backed by solid evidence</w:t>
      </w:r>
      <w:r w:rsidR="00931287">
        <w:t xml:space="preserve"> (</w:t>
      </w:r>
      <w:r w:rsidR="00931287" w:rsidRPr="00931287">
        <w:t>Pandey and Pandey, 2021</w:t>
      </w:r>
      <w:r w:rsidR="00931287">
        <w:t>)</w:t>
      </w:r>
      <w:r>
        <w:t>. Additionally, it gives a precise strategy that will help maintain researchers on target, keeping the process efficient and streamlined. The methodology of a researcher provides the reader with insight into the researcher's strategy and procedures for drawing findings. A researcher must make a number of choices while developing a study approach.</w:t>
      </w:r>
    </w:p>
    <w:p w14:paraId="282C70C4" w14:textId="77777777" w:rsidR="00040B77" w:rsidRDefault="002D0EC9" w:rsidP="004E45A0">
      <w:r>
        <w:t>A qualitative research approach will be used in this study. A key aspect of qualitative research is gathering and evaluating text information, whether it is spoken or written</w:t>
      </w:r>
      <w:r w:rsidR="007B1D98">
        <w:t xml:space="preserve"> (</w:t>
      </w:r>
      <w:r w:rsidR="007B1D98" w:rsidRPr="007B1D98">
        <w:t>Stenfors, Kajamaa and Bennett, 2020</w:t>
      </w:r>
      <w:r w:rsidR="007B1D98">
        <w:t>)</w:t>
      </w:r>
      <w:r>
        <w:t>. Gestures and other visual aspects may also be used to describe a researcher's findings in more depth. Qualitative data is often gathered through interviewing, observing, and participating in focus groups with a small number of carefully selected individuals.</w:t>
      </w:r>
      <w:r w:rsidR="00900AEC">
        <w:t xml:space="preserve"> In this research secondary qualitative method will be selected to carry out the research. </w:t>
      </w:r>
    </w:p>
    <w:p w14:paraId="4BEECC32" w14:textId="77777777" w:rsidR="00040B77" w:rsidRDefault="002D0EC9" w:rsidP="00040B77">
      <w:pPr>
        <w:pStyle w:val="Heading1"/>
      </w:pPr>
      <w:bookmarkStart w:id="4" w:name="_Toc110004083"/>
      <w:r>
        <w:t xml:space="preserve">Justification </w:t>
      </w:r>
      <w:r w:rsidR="00B848C5">
        <w:t>o</w:t>
      </w:r>
      <w:r>
        <w:t>f the Credibility of The Research Resource</w:t>
      </w:r>
      <w:bookmarkEnd w:id="4"/>
    </w:p>
    <w:p w14:paraId="231C6E76" w14:textId="77777777" w:rsidR="003D6A87" w:rsidRDefault="002D0EC9" w:rsidP="004E45A0">
      <w:r w:rsidRPr="00702B3B">
        <w:t>Genuine and credible research, as well as proper research, are all part of an "authentic" research endeavourin the context of academic study. Authentic data are facts gathered from real-world events, whether they be quantitative or qualitative. Genuine data contrast with incorrect evidence, which may be fabricated to show a certain tendency or results from manipulation of data to impose a given outcome or perception</w:t>
      </w:r>
      <w:r w:rsidR="001D6E9F">
        <w:t xml:space="preserve"> (</w:t>
      </w:r>
      <w:r w:rsidR="001D6E9F" w:rsidRPr="001D6E9F">
        <w:t>Marsh and Campion, 2018</w:t>
      </w:r>
      <w:r w:rsidR="001D6E9F">
        <w:t>)</w:t>
      </w:r>
      <w:r w:rsidRPr="00702B3B">
        <w:t>. </w:t>
      </w:r>
      <w:r w:rsidR="00040B77" w:rsidRPr="00040B77">
        <w:t xml:space="preserve">The legitimacy will be compromised if a researcher uses questionable sources for </w:t>
      </w:r>
      <w:r w:rsidR="00040B77" w:rsidRPr="00040B77">
        <w:lastRenderedPageBreak/>
        <w:t xml:space="preserve">research, which will make the claims appear weaker and less convincing. Knowing which publications are trustworthy is essential. Credibility and confidence are prerequisites for mastering this skill, as are a thorough knowledge of the subject matter. </w:t>
      </w:r>
    </w:p>
    <w:p w14:paraId="14C6659C" w14:textId="77777777" w:rsidR="00040B77" w:rsidRDefault="002D0EC9" w:rsidP="004E45A0">
      <w:r w:rsidRPr="00040B77">
        <w:t>Even if a source is totally trustworthy, it may only provide a cursory overall view of the most relevant facts. There are many times when more than just a summary of data is required to communicate the core aim of the subject</w:t>
      </w:r>
      <w:r w:rsidR="006E1F02">
        <w:t xml:space="preserve"> (</w:t>
      </w:r>
      <w:r w:rsidR="006E1F02" w:rsidRPr="001D6E9F">
        <w:t>Marsh and Campion, 2018</w:t>
      </w:r>
      <w:r w:rsidR="006E1F02">
        <w:t>)</w:t>
      </w:r>
      <w:r w:rsidRPr="00040B77">
        <w:t>.</w:t>
      </w:r>
      <w:r w:rsidR="004B3060">
        <w:t xml:space="preserve"> It might not completely convey what the author wants to seek. The recency of the </w:t>
      </w:r>
      <w:r w:rsidR="00D27917">
        <w:t>publication is</w:t>
      </w:r>
      <w:r w:rsidR="00D427EB">
        <w:t xml:space="preserve"> also an important aspect when it comes to the credibility of a source. </w:t>
      </w:r>
      <w:r w:rsidR="00D27917">
        <w:t xml:space="preserve">The credibility of the author is also an important aspect that needs to be </w:t>
      </w:r>
      <w:r w:rsidR="00711F44">
        <w:t>considered for a legitimate research attempt.</w:t>
      </w:r>
    </w:p>
    <w:p w14:paraId="1A34C2C1" w14:textId="77777777" w:rsidR="0055634A" w:rsidRDefault="002D0EC9" w:rsidP="004E45A0">
      <w:r>
        <w:t>There are four papers that have been selected to form the research ground:</w:t>
      </w:r>
    </w:p>
    <w:p w14:paraId="7520189D" w14:textId="77777777" w:rsidR="00D73E26" w:rsidRDefault="002D0EC9" w:rsidP="004E45A0">
      <w:r>
        <w:t>“Smart Healthcare in the Age of AI: Recent Advances, Challenges, and Future Prospects”</w:t>
      </w:r>
      <w:r w:rsidR="003742A9">
        <w:t xml:space="preserve"> (</w:t>
      </w:r>
      <w:r w:rsidR="003742A9" w:rsidRPr="00D73E26">
        <w:t>Nasr</w:t>
      </w:r>
      <w:r w:rsidR="003742A9" w:rsidRPr="003742A9">
        <w:rPr>
          <w:i/>
          <w:iCs/>
        </w:rPr>
        <w:t>et al</w:t>
      </w:r>
      <w:r w:rsidR="003742A9">
        <w:t>., 2021).</w:t>
      </w:r>
    </w:p>
    <w:p w14:paraId="6B5D2935" w14:textId="77777777" w:rsidR="0089455D" w:rsidRDefault="002D0EC9">
      <w:pPr>
        <w:spacing w:line="259" w:lineRule="auto"/>
        <w:jc w:val="left"/>
      </w:pPr>
      <w:r>
        <w:t>“</w:t>
      </w:r>
      <w:r w:rsidRPr="00D73E26">
        <w:t>A Rapid Review on Application Scenarios for Artificial Intelligence in Nursing Care</w:t>
      </w:r>
      <w:r>
        <w:t>”</w:t>
      </w:r>
      <w:r w:rsidR="003742A9">
        <w:t xml:space="preserve"> (</w:t>
      </w:r>
      <w:r w:rsidR="003742A9" w:rsidRPr="00D73E26">
        <w:t>Seibert</w:t>
      </w:r>
      <w:r w:rsidR="003742A9" w:rsidRPr="003742A9">
        <w:rPr>
          <w:i/>
          <w:iCs/>
        </w:rPr>
        <w:t>et al</w:t>
      </w:r>
      <w:r w:rsidR="003742A9">
        <w:t xml:space="preserve">., 2020). </w:t>
      </w:r>
    </w:p>
    <w:p w14:paraId="7002BEED" w14:textId="77777777" w:rsidR="002D18A5" w:rsidRDefault="002D0EC9">
      <w:pPr>
        <w:spacing w:line="259" w:lineRule="auto"/>
        <w:jc w:val="left"/>
      </w:pPr>
      <w:r>
        <w:t>“Artificial Intelligence in Medical Practice: The Question to the Answer?”</w:t>
      </w:r>
      <w:r w:rsidR="003742A9">
        <w:t xml:space="preserve"> (</w:t>
      </w:r>
      <w:r w:rsidR="003742A9" w:rsidRPr="0089455D">
        <w:t>Miller and Brown, 2018</w:t>
      </w:r>
      <w:r w:rsidR="003742A9">
        <w:t>).</w:t>
      </w:r>
    </w:p>
    <w:p w14:paraId="346380DC" w14:textId="77777777" w:rsidR="00BD0A94" w:rsidRDefault="002D0EC9">
      <w:pPr>
        <w:spacing w:line="259" w:lineRule="auto"/>
        <w:jc w:val="left"/>
      </w:pPr>
      <w:r>
        <w:t>“</w:t>
      </w:r>
      <w:r w:rsidRPr="00C51FBF">
        <w:t>Mapping the Challenges of Artificial Intelligence in the Public Sector</w:t>
      </w:r>
      <w:r>
        <w:t>”</w:t>
      </w:r>
      <w:r w:rsidR="003742A9">
        <w:t xml:space="preserve"> (</w:t>
      </w:r>
      <w:r w:rsidR="003742A9" w:rsidRPr="005828DC">
        <w:t>Sun and Medaglia, 2019</w:t>
      </w:r>
      <w:r w:rsidR="003742A9">
        <w:t>)</w:t>
      </w:r>
      <w:r w:rsidR="004270B5">
        <w:t xml:space="preserve">. </w:t>
      </w:r>
    </w:p>
    <w:p w14:paraId="68534E03" w14:textId="77777777" w:rsidR="005A2C44" w:rsidRDefault="002D0EC9" w:rsidP="00015938">
      <w:r>
        <w:t xml:space="preserve">All these papers have been selected on the </w:t>
      </w:r>
      <w:r w:rsidR="00BE69F8">
        <w:t>basis</w:t>
      </w:r>
      <w:r>
        <w:t xml:space="preserve"> of their authenticity and objective reliance on the subject. These four research papers have dealt with the core theme of the intended research. The papers are judged in terms of their viability on the basis of their publication recency, and authentic mention of their </w:t>
      </w:r>
      <w:r w:rsidR="005D1D33">
        <w:t xml:space="preserve">respective </w:t>
      </w:r>
      <w:r>
        <w:t>auth</w:t>
      </w:r>
      <w:r w:rsidR="005D1D33">
        <w:t xml:space="preserve">ors. </w:t>
      </w:r>
      <w:r w:rsidR="00AB596A">
        <w:t xml:space="preserve">The facts present in these papers were legitimate in terms of their relevance to the subject matter which made the papers authentic in terms of secondary qualitative research and critical analysis. </w:t>
      </w:r>
    </w:p>
    <w:p w14:paraId="5EE4BDFA" w14:textId="77777777" w:rsidR="005A2C44" w:rsidRDefault="002D0EC9" w:rsidP="005A2C44">
      <w:pPr>
        <w:pStyle w:val="Heading1"/>
      </w:pPr>
      <w:bookmarkStart w:id="5" w:name="_Toc110004084"/>
      <w:r>
        <w:t>Conclusion</w:t>
      </w:r>
      <w:bookmarkEnd w:id="5"/>
    </w:p>
    <w:p w14:paraId="08590773" w14:textId="77777777" w:rsidR="00D73E26" w:rsidRDefault="002D0EC9" w:rsidP="00015938">
      <w:r>
        <w:t>Development in modern healthcare systems has revolutionized the standards of patterns and approaches which were taken previously to deliver healthcare facilities and provisions. Modern technologies have changed the dimensions of healthcare practices to streamline the processes and render a smooth and productive approach when catering to the patients. It has made the typical and repetitive human efforts</w:t>
      </w:r>
      <w:r w:rsidR="00CC41F1">
        <w:t xml:space="preserve"> much more effective and convenient by reducing the strain on only human calibre. It has given scope for healthcare professionals to expand their capacities and enhance the quality of care. </w:t>
      </w:r>
      <w:r w:rsidR="007C3651">
        <w:t xml:space="preserve">AI has specifically changed the way medical professionals used to curate their strategies and kept professional tabs and improved the past approaches by aiding in precision. But there are some serious challenges as well that raise questions on the credibility of the usage of AI in healthcare institutions. This paper has </w:t>
      </w:r>
      <w:r w:rsidR="007C3651">
        <w:lastRenderedPageBreak/>
        <w:t xml:space="preserve">attempted the selection of a convincing research approach and strategy that will bring out a viable outlook on the subject of the practicality and sustainability of AI in the modern-day healthcare approach. </w:t>
      </w:r>
      <w:r>
        <w:br w:type="page"/>
      </w:r>
    </w:p>
    <w:p w14:paraId="5A7F8245" w14:textId="77777777" w:rsidR="007D6595" w:rsidRDefault="002D0EC9" w:rsidP="007D6595">
      <w:pPr>
        <w:pStyle w:val="Heading1"/>
      </w:pPr>
      <w:bookmarkStart w:id="6" w:name="_Toc110004085"/>
      <w:r>
        <w:lastRenderedPageBreak/>
        <w:t>References</w:t>
      </w:r>
      <w:bookmarkEnd w:id="6"/>
    </w:p>
    <w:p w14:paraId="68B57372" w14:textId="77777777" w:rsidR="00C0479C" w:rsidRDefault="00C0479C" w:rsidP="00177E3B">
      <w:r w:rsidRPr="008704AD">
        <w:t xml:space="preserve">Datta, S., Barua, R. and Das, J., 2019. Application of artificial intelligence in the modern healthcare system. </w:t>
      </w:r>
      <w:r w:rsidRPr="00177E3B">
        <w:rPr>
          <w:i/>
          <w:iCs/>
        </w:rPr>
        <w:t>Alginates-recent uses of this natural polymer</w:t>
      </w:r>
      <w:r w:rsidRPr="008704AD">
        <w:t>.</w:t>
      </w:r>
    </w:p>
    <w:p w14:paraId="141AC937" w14:textId="77777777" w:rsidR="00C0479C" w:rsidRDefault="00C0479C" w:rsidP="00177E3B">
      <w:r w:rsidRPr="00B23248">
        <w:t>Henning, P.A., Henning, J. and Glück, K., 2021. Artificial Intelligence: Its future in the health sector and its role for medical education. </w:t>
      </w:r>
      <w:r w:rsidRPr="00B23248">
        <w:rPr>
          <w:i/>
          <w:iCs/>
        </w:rPr>
        <w:t>Journal of European CME</w:t>
      </w:r>
      <w:r w:rsidRPr="00B23248">
        <w:t>, </w:t>
      </w:r>
      <w:r w:rsidRPr="00B23248">
        <w:rPr>
          <w:i/>
          <w:iCs/>
        </w:rPr>
        <w:t>10</w:t>
      </w:r>
      <w:r w:rsidRPr="00B23248">
        <w:t>(1), p.2014099.</w:t>
      </w:r>
    </w:p>
    <w:p w14:paraId="62A5EC90" w14:textId="77777777" w:rsidR="00C0479C" w:rsidRDefault="00C0479C" w:rsidP="00177E3B">
      <w:r w:rsidRPr="008704AD">
        <w:t>Manne, R. and Kantheti, S.C., 2021. Application of artificial intelligence in healthcare: chances and challenges. </w:t>
      </w:r>
      <w:r w:rsidRPr="00177E3B">
        <w:rPr>
          <w:i/>
          <w:iCs/>
        </w:rPr>
        <w:t>Current Journal of Applied Science and Technology</w:t>
      </w:r>
      <w:r w:rsidRPr="008704AD">
        <w:t>, </w:t>
      </w:r>
      <w:r w:rsidRPr="00177E3B">
        <w:rPr>
          <w:i/>
          <w:iCs/>
        </w:rPr>
        <w:t>40</w:t>
      </w:r>
      <w:r w:rsidRPr="008704AD">
        <w:t>(6), pp.78-89.</w:t>
      </w:r>
    </w:p>
    <w:p w14:paraId="12714940" w14:textId="77777777" w:rsidR="00C0479C" w:rsidRPr="00E20723" w:rsidRDefault="00C0479C" w:rsidP="00177E3B">
      <w:r w:rsidRPr="001D6E9F">
        <w:t>Marsh, J.D. and Campion, J., 2018. Academic integrity and referencing: Whose responsibility is it?. </w:t>
      </w:r>
      <w:r w:rsidRPr="00177E3B">
        <w:rPr>
          <w:i/>
          <w:iCs/>
        </w:rPr>
        <w:t>Journal of Academic Language and Learning</w:t>
      </w:r>
      <w:r w:rsidRPr="001D6E9F">
        <w:t>, </w:t>
      </w:r>
      <w:r w:rsidRPr="00177E3B">
        <w:rPr>
          <w:i/>
          <w:iCs/>
        </w:rPr>
        <w:t>12</w:t>
      </w:r>
      <w:r w:rsidRPr="001D6E9F">
        <w:t>(1), pp.A213-A226.</w:t>
      </w:r>
    </w:p>
    <w:p w14:paraId="1F13D62C" w14:textId="77777777" w:rsidR="00C0479C" w:rsidRDefault="00C0479C" w:rsidP="00177E3B">
      <w:r w:rsidRPr="0089455D">
        <w:t>Miller, D.D. and Brown, E.W., 2018. Artificial intelligence in medical practice: the question to the answer?. </w:t>
      </w:r>
      <w:r w:rsidRPr="00177E3B">
        <w:rPr>
          <w:i/>
          <w:iCs/>
        </w:rPr>
        <w:t>The American journal of medicine</w:t>
      </w:r>
      <w:r w:rsidRPr="0089455D">
        <w:t>, </w:t>
      </w:r>
      <w:r w:rsidRPr="00177E3B">
        <w:rPr>
          <w:i/>
          <w:iCs/>
        </w:rPr>
        <w:t>131</w:t>
      </w:r>
      <w:r w:rsidRPr="0089455D">
        <w:t>(2), pp.129-133.</w:t>
      </w:r>
    </w:p>
    <w:p w14:paraId="570C191E" w14:textId="77777777" w:rsidR="00C0479C" w:rsidRDefault="00C0479C" w:rsidP="00177E3B">
      <w:r w:rsidRPr="00D73E26">
        <w:t>Nasr, M., Islam, M.M., Shehata, S., Karray, F. and Quintana, Y., 2021. Smart healthcare in the age of AI: recent advances, challenges, and future prospects. </w:t>
      </w:r>
      <w:r w:rsidRPr="00177E3B">
        <w:rPr>
          <w:i/>
          <w:iCs/>
        </w:rPr>
        <w:t>IEEE Access</w:t>
      </w:r>
      <w:r w:rsidRPr="00D73E26">
        <w:t>.</w:t>
      </w:r>
    </w:p>
    <w:p w14:paraId="062C8A84" w14:textId="77777777" w:rsidR="00C0479C" w:rsidRDefault="00C0479C" w:rsidP="00177E3B">
      <w:r w:rsidRPr="00931287">
        <w:t>Pandey, P. and Pandey, M.M., 2021. </w:t>
      </w:r>
      <w:r w:rsidRPr="00177E3B">
        <w:rPr>
          <w:i/>
          <w:iCs/>
        </w:rPr>
        <w:t>Research methodology tools and techniques</w:t>
      </w:r>
      <w:r w:rsidRPr="00931287">
        <w:t>. Bridge Center.</w:t>
      </w:r>
    </w:p>
    <w:p w14:paraId="75CA8BAB" w14:textId="77777777" w:rsidR="00C0479C" w:rsidRDefault="00C0479C" w:rsidP="00177E3B">
      <w:r w:rsidRPr="00D73E26">
        <w:t>Seibert, K., Domhoff, D., Bruch, D., Schulte-Althoff, M., Fürstenau, D., Biessmann, F. and Wolf-Ostermann, K., 2020. A rapid review on application scenarios for artificial intelligence in nursing care. </w:t>
      </w:r>
      <w:r w:rsidRPr="00177E3B">
        <w:rPr>
          <w:i/>
          <w:iCs/>
        </w:rPr>
        <w:t>JMIR Preprints</w:t>
      </w:r>
      <w:r w:rsidRPr="00D73E26">
        <w:t>, </w:t>
      </w:r>
      <w:r w:rsidRPr="00177E3B">
        <w:rPr>
          <w:i/>
          <w:iCs/>
        </w:rPr>
        <w:t>16</w:t>
      </w:r>
      <w:r w:rsidRPr="00D73E26">
        <w:t>(12), p.2020.</w:t>
      </w:r>
    </w:p>
    <w:p w14:paraId="765D1548" w14:textId="77777777" w:rsidR="00C0479C" w:rsidRDefault="00C0479C" w:rsidP="00177E3B">
      <w:r w:rsidRPr="00E41B70">
        <w:t>Shah, R. and Chircu, A., 2018. IOT and ai in healthcare: A systematic literature review. </w:t>
      </w:r>
      <w:r w:rsidRPr="00177E3B">
        <w:rPr>
          <w:i/>
          <w:iCs/>
        </w:rPr>
        <w:t>Issues in Information Systems</w:t>
      </w:r>
      <w:r w:rsidRPr="00E41B70">
        <w:t>, </w:t>
      </w:r>
      <w:r w:rsidRPr="00177E3B">
        <w:rPr>
          <w:i/>
          <w:iCs/>
        </w:rPr>
        <w:t>19</w:t>
      </w:r>
      <w:r w:rsidRPr="00E41B70">
        <w:t>(3).</w:t>
      </w:r>
    </w:p>
    <w:p w14:paraId="6C06563A" w14:textId="77777777" w:rsidR="00C0479C" w:rsidRDefault="00C0479C" w:rsidP="00177E3B">
      <w:r w:rsidRPr="00E41B70">
        <w:t>Shaheen, M.Y., 2021. AI in Healthcare: medical and socio-economic benefits and challenges. </w:t>
      </w:r>
      <w:r w:rsidRPr="00177E3B">
        <w:rPr>
          <w:i/>
          <w:iCs/>
        </w:rPr>
        <w:t>ScienceOpen Preprints</w:t>
      </w:r>
      <w:r w:rsidRPr="00E41B70">
        <w:t>.</w:t>
      </w:r>
    </w:p>
    <w:p w14:paraId="4A26DEA3" w14:textId="77777777" w:rsidR="00C0479C" w:rsidRDefault="00C0479C" w:rsidP="00177E3B">
      <w:r w:rsidRPr="007B1D98">
        <w:t>Stenfors, T., Kajamaa, A. and Bennett, D., 2020. How to… assess the quality of qualitative research. </w:t>
      </w:r>
      <w:r w:rsidRPr="00177E3B">
        <w:rPr>
          <w:i/>
          <w:iCs/>
        </w:rPr>
        <w:t>The clinical teacher</w:t>
      </w:r>
      <w:r w:rsidRPr="007B1D98">
        <w:t>, </w:t>
      </w:r>
      <w:r w:rsidRPr="00177E3B">
        <w:rPr>
          <w:i/>
          <w:iCs/>
        </w:rPr>
        <w:t>17</w:t>
      </w:r>
      <w:r w:rsidRPr="007B1D98">
        <w:t>(6), pp.596-599.</w:t>
      </w:r>
    </w:p>
    <w:p w14:paraId="5037FEE3" w14:textId="77777777" w:rsidR="00C0479C" w:rsidRDefault="00C0479C" w:rsidP="00177E3B">
      <w:r w:rsidRPr="005828DC">
        <w:t>Sun, T.Q. and Medaglia, R., 2019. Mapping the challenges of Artificial Intelligence in the public sector: Evidence from public healthcare. </w:t>
      </w:r>
      <w:r w:rsidRPr="00177E3B">
        <w:rPr>
          <w:i/>
          <w:iCs/>
        </w:rPr>
        <w:t>Government Information Quarterly</w:t>
      </w:r>
      <w:r w:rsidRPr="005828DC">
        <w:t>, </w:t>
      </w:r>
      <w:r w:rsidRPr="00177E3B">
        <w:rPr>
          <w:i/>
          <w:iCs/>
        </w:rPr>
        <w:t>36</w:t>
      </w:r>
      <w:r w:rsidRPr="005828DC">
        <w:t>(2), pp.368-383.</w:t>
      </w:r>
    </w:p>
    <w:sectPr w:rsidR="00C0479C" w:rsidSect="00CC4859">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E821DF" w14:textId="77777777" w:rsidR="002838F6" w:rsidRDefault="002838F6">
      <w:pPr>
        <w:spacing w:after="0" w:line="240" w:lineRule="auto"/>
      </w:pPr>
      <w:r>
        <w:separator/>
      </w:r>
    </w:p>
  </w:endnote>
  <w:endnote w:type="continuationSeparator" w:id="0">
    <w:p w14:paraId="05A5BF94" w14:textId="77777777" w:rsidR="002838F6" w:rsidRDefault="002838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0751122"/>
      <w:docPartObj>
        <w:docPartGallery w:val="Page Numbers (Bottom of Page)"/>
        <w:docPartUnique/>
      </w:docPartObj>
    </w:sdtPr>
    <w:sdtContent>
      <w:p w14:paraId="7757F859" w14:textId="77777777" w:rsidR="00CC4859" w:rsidRDefault="002D0EC9">
        <w:pPr>
          <w:pStyle w:val="Footer"/>
          <w:jc w:val="right"/>
        </w:pPr>
        <w:r>
          <w:t xml:space="preserve">Page | </w:t>
        </w:r>
        <w:r w:rsidR="00626666">
          <w:fldChar w:fldCharType="begin"/>
        </w:r>
        <w:r>
          <w:instrText xml:space="preserve"> PAGE   \* MERGEFORMAT </w:instrText>
        </w:r>
        <w:r w:rsidR="00626666">
          <w:fldChar w:fldCharType="separate"/>
        </w:r>
        <w:r w:rsidR="00FF2B90">
          <w:rPr>
            <w:noProof/>
          </w:rPr>
          <w:t>2</w:t>
        </w:r>
        <w:r w:rsidR="00626666">
          <w:rPr>
            <w:noProof/>
          </w:rPr>
          <w:fldChar w:fldCharType="end"/>
        </w:r>
      </w:p>
    </w:sdtContent>
  </w:sdt>
  <w:p w14:paraId="04DF615A" w14:textId="77777777" w:rsidR="00CC4859" w:rsidRDefault="00CC48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FEEB66" w14:textId="77777777" w:rsidR="002838F6" w:rsidRDefault="002838F6">
      <w:pPr>
        <w:spacing w:after="0" w:line="240" w:lineRule="auto"/>
      </w:pPr>
      <w:r>
        <w:separator/>
      </w:r>
    </w:p>
  </w:footnote>
  <w:footnote w:type="continuationSeparator" w:id="0">
    <w:p w14:paraId="79045E3C" w14:textId="77777777" w:rsidR="002838F6" w:rsidRDefault="002838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4B39C7"/>
    <w:multiLevelType w:val="hybridMultilevel"/>
    <w:tmpl w:val="7F14B3D8"/>
    <w:lvl w:ilvl="0" w:tplc="52026BA2">
      <w:start w:val="1"/>
      <w:numFmt w:val="decimal"/>
      <w:lvlText w:val="%1."/>
      <w:lvlJc w:val="left"/>
      <w:pPr>
        <w:ind w:left="720" w:hanging="360"/>
      </w:pPr>
    </w:lvl>
    <w:lvl w:ilvl="1" w:tplc="C702229A" w:tentative="1">
      <w:start w:val="1"/>
      <w:numFmt w:val="lowerLetter"/>
      <w:lvlText w:val="%2."/>
      <w:lvlJc w:val="left"/>
      <w:pPr>
        <w:ind w:left="1440" w:hanging="360"/>
      </w:pPr>
    </w:lvl>
    <w:lvl w:ilvl="2" w:tplc="CBB44A34" w:tentative="1">
      <w:start w:val="1"/>
      <w:numFmt w:val="lowerRoman"/>
      <w:lvlText w:val="%3."/>
      <w:lvlJc w:val="right"/>
      <w:pPr>
        <w:ind w:left="2160" w:hanging="180"/>
      </w:pPr>
    </w:lvl>
    <w:lvl w:ilvl="3" w:tplc="449C9440" w:tentative="1">
      <w:start w:val="1"/>
      <w:numFmt w:val="decimal"/>
      <w:lvlText w:val="%4."/>
      <w:lvlJc w:val="left"/>
      <w:pPr>
        <w:ind w:left="2880" w:hanging="360"/>
      </w:pPr>
    </w:lvl>
    <w:lvl w:ilvl="4" w:tplc="F30A5734" w:tentative="1">
      <w:start w:val="1"/>
      <w:numFmt w:val="lowerLetter"/>
      <w:lvlText w:val="%5."/>
      <w:lvlJc w:val="left"/>
      <w:pPr>
        <w:ind w:left="3600" w:hanging="360"/>
      </w:pPr>
    </w:lvl>
    <w:lvl w:ilvl="5" w:tplc="F0EE6AD4" w:tentative="1">
      <w:start w:val="1"/>
      <w:numFmt w:val="lowerRoman"/>
      <w:lvlText w:val="%6."/>
      <w:lvlJc w:val="right"/>
      <w:pPr>
        <w:ind w:left="4320" w:hanging="180"/>
      </w:pPr>
    </w:lvl>
    <w:lvl w:ilvl="6" w:tplc="A82ADF4A" w:tentative="1">
      <w:start w:val="1"/>
      <w:numFmt w:val="decimal"/>
      <w:lvlText w:val="%7."/>
      <w:lvlJc w:val="left"/>
      <w:pPr>
        <w:ind w:left="5040" w:hanging="360"/>
      </w:pPr>
    </w:lvl>
    <w:lvl w:ilvl="7" w:tplc="9886C68E" w:tentative="1">
      <w:start w:val="1"/>
      <w:numFmt w:val="lowerLetter"/>
      <w:lvlText w:val="%8."/>
      <w:lvlJc w:val="left"/>
      <w:pPr>
        <w:ind w:left="5760" w:hanging="360"/>
      </w:pPr>
    </w:lvl>
    <w:lvl w:ilvl="8" w:tplc="DC9AC128" w:tentative="1">
      <w:start w:val="1"/>
      <w:numFmt w:val="lowerRoman"/>
      <w:lvlText w:val="%9."/>
      <w:lvlJc w:val="right"/>
      <w:pPr>
        <w:ind w:left="6480" w:hanging="180"/>
      </w:pPr>
    </w:lvl>
  </w:abstractNum>
  <w:num w:numId="1" w16cid:durableId="14793481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7A81"/>
    <w:rsid w:val="00010707"/>
    <w:rsid w:val="00015938"/>
    <w:rsid w:val="00040B77"/>
    <w:rsid w:val="00094133"/>
    <w:rsid w:val="00177E3B"/>
    <w:rsid w:val="001A021B"/>
    <w:rsid w:val="001D6E9F"/>
    <w:rsid w:val="00210BE6"/>
    <w:rsid w:val="0022472B"/>
    <w:rsid w:val="002838F6"/>
    <w:rsid w:val="00286C6B"/>
    <w:rsid w:val="002B769A"/>
    <w:rsid w:val="002D0EC9"/>
    <w:rsid w:val="002D18A5"/>
    <w:rsid w:val="002F7A81"/>
    <w:rsid w:val="003742A9"/>
    <w:rsid w:val="0039384D"/>
    <w:rsid w:val="003B396C"/>
    <w:rsid w:val="003D5E83"/>
    <w:rsid w:val="003D6A87"/>
    <w:rsid w:val="003D7353"/>
    <w:rsid w:val="00400F7C"/>
    <w:rsid w:val="004270B5"/>
    <w:rsid w:val="00437225"/>
    <w:rsid w:val="004B3060"/>
    <w:rsid w:val="004E45A0"/>
    <w:rsid w:val="0054358C"/>
    <w:rsid w:val="0055634A"/>
    <w:rsid w:val="005828DC"/>
    <w:rsid w:val="005A2C44"/>
    <w:rsid w:val="005D1D33"/>
    <w:rsid w:val="005D76A4"/>
    <w:rsid w:val="005E6F26"/>
    <w:rsid w:val="00605685"/>
    <w:rsid w:val="00626666"/>
    <w:rsid w:val="00631ADA"/>
    <w:rsid w:val="00632E18"/>
    <w:rsid w:val="00643BEC"/>
    <w:rsid w:val="00665435"/>
    <w:rsid w:val="00681E26"/>
    <w:rsid w:val="006E00A5"/>
    <w:rsid w:val="006E1F02"/>
    <w:rsid w:val="00702B3B"/>
    <w:rsid w:val="00711F44"/>
    <w:rsid w:val="00775DE6"/>
    <w:rsid w:val="007B1D98"/>
    <w:rsid w:val="007C3651"/>
    <w:rsid w:val="007D6595"/>
    <w:rsid w:val="00817E98"/>
    <w:rsid w:val="00857ABD"/>
    <w:rsid w:val="008704AD"/>
    <w:rsid w:val="00881B91"/>
    <w:rsid w:val="0089455D"/>
    <w:rsid w:val="00900AEC"/>
    <w:rsid w:val="00931287"/>
    <w:rsid w:val="00934286"/>
    <w:rsid w:val="00940CBC"/>
    <w:rsid w:val="00976480"/>
    <w:rsid w:val="00982ED2"/>
    <w:rsid w:val="009840CD"/>
    <w:rsid w:val="009D5879"/>
    <w:rsid w:val="00A06057"/>
    <w:rsid w:val="00A141A2"/>
    <w:rsid w:val="00A33151"/>
    <w:rsid w:val="00A53946"/>
    <w:rsid w:val="00AA1DA1"/>
    <w:rsid w:val="00AB596A"/>
    <w:rsid w:val="00B0256C"/>
    <w:rsid w:val="00B036D8"/>
    <w:rsid w:val="00B23248"/>
    <w:rsid w:val="00B31FC3"/>
    <w:rsid w:val="00B37314"/>
    <w:rsid w:val="00B618A8"/>
    <w:rsid w:val="00B848C5"/>
    <w:rsid w:val="00BB07DE"/>
    <w:rsid w:val="00BD0A94"/>
    <w:rsid w:val="00BE69F8"/>
    <w:rsid w:val="00C0479C"/>
    <w:rsid w:val="00C51FBF"/>
    <w:rsid w:val="00C629F1"/>
    <w:rsid w:val="00C8676A"/>
    <w:rsid w:val="00CB46E4"/>
    <w:rsid w:val="00CC41F1"/>
    <w:rsid w:val="00CC4859"/>
    <w:rsid w:val="00D27917"/>
    <w:rsid w:val="00D427EB"/>
    <w:rsid w:val="00D5272B"/>
    <w:rsid w:val="00D73E26"/>
    <w:rsid w:val="00D908BA"/>
    <w:rsid w:val="00DB37DB"/>
    <w:rsid w:val="00DB4F77"/>
    <w:rsid w:val="00E20723"/>
    <w:rsid w:val="00E41B70"/>
    <w:rsid w:val="00E80056"/>
    <w:rsid w:val="00EA028B"/>
    <w:rsid w:val="00F06FE8"/>
    <w:rsid w:val="00F30DEC"/>
    <w:rsid w:val="00F9608A"/>
    <w:rsid w:val="00FF2B90"/>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8EEAE1"/>
  <w15:docId w15:val="{C1EB5EEC-5F90-A64E-966E-62087B6409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6C6B"/>
    <w:pPr>
      <w:spacing w:line="360" w:lineRule="auto"/>
      <w:jc w:val="both"/>
    </w:pPr>
    <w:rPr>
      <w:rFonts w:ascii="Arial" w:hAnsi="Arial"/>
    </w:rPr>
  </w:style>
  <w:style w:type="paragraph" w:styleId="Heading1">
    <w:name w:val="heading 1"/>
    <w:basedOn w:val="Normal"/>
    <w:next w:val="Normal"/>
    <w:link w:val="Heading1Char"/>
    <w:uiPriority w:val="9"/>
    <w:qFormat/>
    <w:rsid w:val="00437225"/>
    <w:pPr>
      <w:keepNext/>
      <w:keepLines/>
      <w:spacing w:before="240" w:after="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7225"/>
    <w:rPr>
      <w:rFonts w:ascii="Arial" w:eastAsiaTheme="majorEastAsia" w:hAnsi="Arial" w:cstheme="majorBidi"/>
      <w:b/>
      <w:sz w:val="24"/>
      <w:szCs w:val="32"/>
    </w:rPr>
  </w:style>
  <w:style w:type="paragraph" w:styleId="NoSpacing">
    <w:name w:val="No Spacing"/>
    <w:uiPriority w:val="1"/>
    <w:qFormat/>
    <w:rsid w:val="00437225"/>
    <w:pPr>
      <w:spacing w:after="0" w:line="240" w:lineRule="auto"/>
      <w:jc w:val="both"/>
    </w:pPr>
    <w:rPr>
      <w:rFonts w:ascii="Arial" w:hAnsi="Arial"/>
      <w:sz w:val="24"/>
    </w:rPr>
  </w:style>
  <w:style w:type="paragraph" w:styleId="TOCHeading">
    <w:name w:val="TOC Heading"/>
    <w:basedOn w:val="Heading1"/>
    <w:next w:val="Normal"/>
    <w:uiPriority w:val="39"/>
    <w:unhideWhenUsed/>
    <w:qFormat/>
    <w:rsid w:val="00BB07DE"/>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BB07DE"/>
    <w:pPr>
      <w:spacing w:after="100"/>
    </w:pPr>
  </w:style>
  <w:style w:type="character" w:styleId="Hyperlink">
    <w:name w:val="Hyperlink"/>
    <w:basedOn w:val="DefaultParagraphFont"/>
    <w:uiPriority w:val="99"/>
    <w:unhideWhenUsed/>
    <w:rsid w:val="00BB07DE"/>
    <w:rPr>
      <w:color w:val="0563C1" w:themeColor="hyperlink"/>
      <w:u w:val="single"/>
    </w:rPr>
  </w:style>
  <w:style w:type="paragraph" w:styleId="Header">
    <w:name w:val="header"/>
    <w:basedOn w:val="Normal"/>
    <w:link w:val="HeaderChar"/>
    <w:uiPriority w:val="99"/>
    <w:unhideWhenUsed/>
    <w:rsid w:val="00CC48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4859"/>
    <w:rPr>
      <w:rFonts w:ascii="Arial" w:hAnsi="Arial"/>
    </w:rPr>
  </w:style>
  <w:style w:type="paragraph" w:styleId="Footer">
    <w:name w:val="footer"/>
    <w:basedOn w:val="Normal"/>
    <w:link w:val="FooterChar"/>
    <w:uiPriority w:val="99"/>
    <w:unhideWhenUsed/>
    <w:rsid w:val="00CC48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4859"/>
    <w:rPr>
      <w:rFonts w:ascii="Arial" w:hAnsi="Arial"/>
    </w:rPr>
  </w:style>
  <w:style w:type="paragraph" w:styleId="ListParagraph">
    <w:name w:val="List Paragraph"/>
    <w:basedOn w:val="Normal"/>
    <w:uiPriority w:val="34"/>
    <w:qFormat/>
    <w:rsid w:val="00177E3B"/>
    <w:pPr>
      <w:ind w:left="720"/>
      <w:contextualSpacing/>
    </w:pPr>
  </w:style>
  <w:style w:type="paragraph" w:styleId="BalloonText">
    <w:name w:val="Balloon Text"/>
    <w:basedOn w:val="Normal"/>
    <w:link w:val="BalloonTextChar"/>
    <w:uiPriority w:val="99"/>
    <w:semiHidden/>
    <w:unhideWhenUsed/>
    <w:rsid w:val="00FF2B9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2B9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53341F-12F7-48AD-A597-39CF04B487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2205</Words>
  <Characters>12571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Alina Murgu</cp:lastModifiedBy>
  <cp:revision>6</cp:revision>
  <dcterms:created xsi:type="dcterms:W3CDTF">2022-08-15T10:43:00Z</dcterms:created>
  <dcterms:modified xsi:type="dcterms:W3CDTF">2022-08-16T11:48:00Z</dcterms:modified>
</cp:coreProperties>
</file>