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Scenario Questions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Muhammad Nasir Khalil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2132473</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Laura Knight</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tab/>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 I will inform Hadley of the offences that pertain to him, including the possibility that he is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criminally liable for burglary and criminal damage (property damage). The Theft Act of 1968 defines burglary entirely, including all of its constituent parts. In order to be convicted of burglary, an individual must meet one of the three following criteria: intent to enter the building or a part of it as a trespasser, steal or attempt to steal, and damage the property and things contained therein. It is important to note that section 9(1)(a) deals with the intent to enter; whether a person actually steals or not is not relevant here, but once a person commits means to pick up a thing to steal, it comes under section 9(1)(b). Hadley is guilty of burglary, as mentioned in Section 9 of the Theft act 1968. Hadley entered the house of Ronan as a trespasser with the intention to commit offences such as stealing the 'Bucci' trainers. First of all, he entered the house by jumping the fence and then entered the main house by force. According to the Current Law, entry is sufficiently relevant to actual stealing (R v Walkington [1979]) (in this case, Walkson entered the store with the intent to steal and was convicted of burglary). The jury decided the structure qualified as a building in the case of Moir v Williams [1892]. Hadley also becomes the trespasser as permission to enter the house was never given to him (Jones and Smith[1976]).</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While entering the house, Hadley also did property damage as he landed on a wooden bench and broke it in half. He also did unlawful damage to the building (Ronan house) and things therein. Section 10(1) of CDA 1971 contains the meaning of property for criminal damage purposes; however, the definition of property for theft mentioned in the s4 TA 1968 is different from this one. As evidence of a criminal offence, the damage could be considered to have been done to tangible property, regardless of whether the property in question is real or personal. Although land cannot be seized without permission, it is nevertheless possible to destroy it in a way that is against the law. The fact that the property is owned by someone else who has control or custody over it, a charge of it, or proprietary rights to it is a well-defined characteristic of the property, as mentioned in section 10(2) of the Criminal Damage Act 1971. Under section 10(1) of the CDA, the property is defined as physical, and section 10 (2) has custody or charge of another. It is important to distinguish between destroying the property and merely injuring it. The first type of damage involves the complete destruction of the building, while the second type involves harm to the property in its actual form or as it is experienced by the senses. Hadley caused property damage by smashing the bench, much as it was established in Grayford v. Chouler [1898] that trampled down grass was regarded as damage to the property, and in Roe v. Kingerlee [1989] case that smeared muck on the floor was considered physical harm to the property. Hadley damaged the property knowing that he had no lawful excuse for that and intent was to deprive Ronan of his property; this offence will be dealt with under Criminal Damage Act 1971. It is essential to have a solid understanding of the fact that physical damage to the property refers to the situation regardless of whether the damage is permanent or temporary. Hadley, on the other hand, was searching for the Bucci sneakers when he really stole the "Kolex" watch that was in Ronan's dressing room. This offence comes under section 9(1)(b) of the theft act 1968 because it converts the intent to steal into actual stealing. One of his aggravated offences of Hadley was to start a fire in the trash bin after pouring the aftershave into it. Section 1 (2) of CDA 1971 means the destruction or damage to imperil the life of another by being reckless through damaging the property of others. Offences by means of fire become aggravated offences if the offence is committed under section 1(1) and section 2(2) of CDA 1971. It applies to Hadley as he knew he was being reckless by starting the fire.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would advise Freya that she would not be able to rely on the defences of intoxication on the following grounds. First of all, the defence of intoxication and automatism has a rule that intoxication is always voluntary, and defendants require MR is lacking due to intoxication. It makes no difference how the defendant became intoxicated, whether through the use of alcohol, drugs, or medication. If the defendant abuses any of these substances knowing that they are dangerous in the sense that they can cause intoxication, the intoxication will be considered voluntary. This is assuming that it is widely known that these substances can cause dangerous levels of intoxication. Alcoholic beverages and illegal drugs are obviously included in this category. Abuse of a specific medication may have this effect, but it may not. In the case of R v Allen [1989] for example, the defendant knowingly consumed wine and allowed himself to become intoxicated despite being unaware of the strength of the beverage's alcohol content. He made homemade wine, was unaware of its potency, and sexually assaulted someone as a result. In court, it was determined that his ignorance of the gravity of the situation did not constitute a valid defence, and he was charged as a result. It is important to note that the defendant cannot easily avoid liability by claiming that, despite having the MR of the offence, they would not have formed it if they had not been under the influence of the intoxicant. This is an ineffective defence because it presumes that the defendant would have formed the MR even if they were not under the influence of the intoxicant. Freya can use this as a defensive stance in the court; however, it would not be sufficient. In DDP v Beard [1920] case Arthur Beard assaulted and sexually assaulted Ivy Wood, who was only 12 years old at the time, in Hyde, Cheshire. He was tried for murder at the Chester Assizes in October, and he was found guilty and sentenced to death. Beard filed an appeal, claiming that the judge misled the jury about the scope of the felony-murder rule and the impact of his intoxication on the case. After the Court of Criminal Appeal rejected his appeal, the Director of Public Prosecutions (DPP) took the unprecedented step of appealing to the House of Lords. The murder conviction was reinstated after the House of Lords was asked for its opinion on substantive law questions for the first time since the court's establishment as the final criminal appellate court in 1907. However, it would advise Ferya that she would not be able to rely on the defence of automation on the following grounds because automation deals with instances in which a person acts while suffering from impaired consciousness or is unconscious, and the person's body or limbs will move on their own without conscious control in this condition. In the case of Watmore v Jenkins [1962], the defendant, who suffered from diabetes, was involved in a collision with a parked vehicle and was charged with reckless driving. He attempted to rely on the defence of automatism by arguing that an excessive amount of insulin caused him confusion, which ultimately led to the result. He stated that this confusion was the cause of the result. It was found out by the court that the automatism defence was not applicable in the situation because it referred to complete loss of control over bodily moment limbs. However, the defendant did not lose complete loss of control of his bodily movements and was convicted of dangerous driving. Freya was experiencing a seizure at the time she struck Mike in the face; it was obvious that she was in a state of impaired consciousness, and she had no control over her movements. There is a requirement that a medical professional's assessment is obtained in order to demonstrate that Freya's movements during her seizure were not voluntary when she struck Mike. However, it is not a strong defence because, in the case of Broome v Perkins [1987], the defendant suffered from diabetes. As he was driving home from work, he experienced an episode of hypoglycemia. While in this trance-like state, he was driving erratically and collided with another vehicle. The Court of Appeal affirmed the conviction. The defendant's ability to coordinate his movements in order to drive 5-6 miles despite being severely hampered led the court to conclude that he could not have been in a fully automatic state. The court arrived at this conclusion because the term automatism refers to completely uncontrolled movements of the body and limbs.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 v Walkington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[1979].</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Broome v Perkins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[1987].</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Watmore v Jenkins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[1962].</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‌DDP v Beard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[1920].</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 v Allen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[1989].</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Criminal Damage Act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1971.</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Moir v Williams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[1892].</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Roe v. Kingerlee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[1989].</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Grayford v. Chouler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[1898].</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Jones and Smith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[1976].</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