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839D5" w14:textId="6153F1E6" w:rsidR="00CD0C7F" w:rsidRDefault="00CD0C7F" w:rsidP="00AC73FC">
      <w:pPr>
        <w:pStyle w:val="1"/>
        <w:jc w:val="center"/>
        <w:rPr>
          <w:lang w:val="bg-BG"/>
        </w:rPr>
      </w:pPr>
      <w:r>
        <w:rPr>
          <w:lang w:val="bg-BG"/>
        </w:rPr>
        <w:t xml:space="preserve">Project </w:t>
      </w:r>
      <w:proofErr w:type="spellStart"/>
      <w:r>
        <w:rPr>
          <w:lang w:val="bg-BG"/>
        </w:rPr>
        <w:t>Management</w:t>
      </w:r>
      <w:proofErr w:type="spellEnd"/>
    </w:p>
    <w:p w14:paraId="1FB46E73" w14:textId="0E23FDE4" w:rsidR="0080603A" w:rsidRDefault="00AC73FC" w:rsidP="00944D53">
      <w:pPr>
        <w:jc w:val="center"/>
        <w:rPr>
          <w:lang w:val="bg-BG"/>
        </w:rPr>
      </w:pPr>
      <w:r>
        <w:rPr>
          <w:lang w:val="bg-BG"/>
        </w:rPr>
        <w:t>LCBB5005</w:t>
      </w:r>
    </w:p>
    <w:p w14:paraId="6290454E" w14:textId="77777777" w:rsidR="00944D53" w:rsidRDefault="00944D53" w:rsidP="00944D53">
      <w:pPr>
        <w:jc w:val="center"/>
        <w:rPr>
          <w:lang w:val="bg-BG"/>
        </w:rPr>
      </w:pPr>
    </w:p>
    <w:p w14:paraId="1258B531" w14:textId="77777777" w:rsidR="00C828BF" w:rsidRDefault="0080603A" w:rsidP="001878FB">
      <w:pPr>
        <w:pStyle w:val="1"/>
        <w:rPr>
          <w:rFonts w:asciiTheme="minorHAnsi" w:hAnsiTheme="minorHAnsi"/>
          <w:color w:val="000000" w:themeColor="text1"/>
          <w:sz w:val="28"/>
          <w:szCs w:val="28"/>
          <w:lang w:val="bg-BG"/>
        </w:rPr>
      </w:pPr>
      <w:proofErr w:type="spellStart"/>
      <w:r w:rsidRPr="00C828BF">
        <w:rPr>
          <w:rFonts w:asciiTheme="minorHAnsi" w:hAnsiTheme="minorHAnsi"/>
          <w:color w:val="000000" w:themeColor="text1"/>
          <w:sz w:val="28"/>
          <w:szCs w:val="28"/>
          <w:lang w:val="bg-BG"/>
        </w:rPr>
        <w:t>Student</w:t>
      </w:r>
      <w:proofErr w:type="spellEnd"/>
      <w:r w:rsidRPr="00C828BF">
        <w:rPr>
          <w:rFonts w:asciiTheme="minorHAnsi" w:hAnsiTheme="minorHAnsi"/>
          <w:color w:val="000000" w:themeColor="text1"/>
          <w:sz w:val="28"/>
          <w:szCs w:val="28"/>
          <w:lang w:val="bg-BG"/>
        </w:rPr>
        <w:t xml:space="preserve"> </w:t>
      </w:r>
      <w:proofErr w:type="spellStart"/>
      <w:r w:rsidRPr="00C828BF">
        <w:rPr>
          <w:rFonts w:asciiTheme="minorHAnsi" w:hAnsiTheme="minorHAnsi"/>
          <w:color w:val="000000" w:themeColor="text1"/>
          <w:sz w:val="28"/>
          <w:szCs w:val="28"/>
          <w:lang w:val="bg-BG"/>
        </w:rPr>
        <w:t>Name</w:t>
      </w:r>
      <w:proofErr w:type="spellEnd"/>
      <w:r w:rsidRPr="00C828BF">
        <w:rPr>
          <w:rFonts w:asciiTheme="minorHAnsi" w:hAnsiTheme="minorHAnsi"/>
          <w:color w:val="000000" w:themeColor="text1"/>
          <w:sz w:val="28"/>
          <w:szCs w:val="28"/>
          <w:lang w:val="bg-BG"/>
        </w:rPr>
        <w:t>:</w:t>
      </w:r>
    </w:p>
    <w:p w14:paraId="461C8834" w14:textId="587818B5" w:rsidR="00CD0C7F" w:rsidRPr="00C828BF" w:rsidRDefault="0080603A" w:rsidP="001878FB">
      <w:pPr>
        <w:pStyle w:val="1"/>
        <w:rPr>
          <w:rFonts w:asciiTheme="minorHAnsi" w:hAnsiTheme="minorHAnsi"/>
          <w:sz w:val="28"/>
          <w:szCs w:val="28"/>
          <w:lang w:val="bg-BG"/>
        </w:rPr>
      </w:pPr>
      <w:r w:rsidRPr="00C828BF">
        <w:rPr>
          <w:rFonts w:asciiTheme="minorHAnsi" w:hAnsiTheme="minorHAnsi"/>
          <w:color w:val="000000" w:themeColor="text1"/>
          <w:sz w:val="28"/>
          <w:szCs w:val="28"/>
          <w:lang w:val="bg-BG"/>
        </w:rPr>
        <w:t xml:space="preserve"> </w:t>
      </w:r>
      <w:proofErr w:type="spellStart"/>
      <w:r w:rsidRPr="00C828BF">
        <w:rPr>
          <w:rFonts w:asciiTheme="minorHAnsi" w:hAnsiTheme="minorHAnsi"/>
          <w:color w:val="000000" w:themeColor="text1"/>
          <w:sz w:val="28"/>
          <w:szCs w:val="28"/>
          <w:lang w:val="bg-BG"/>
        </w:rPr>
        <w:t>Sevila</w:t>
      </w:r>
      <w:proofErr w:type="spellEnd"/>
      <w:r w:rsidRPr="00C828BF">
        <w:rPr>
          <w:rFonts w:asciiTheme="minorHAnsi" w:hAnsiTheme="minorHAnsi"/>
          <w:color w:val="000000" w:themeColor="text1"/>
          <w:sz w:val="28"/>
          <w:szCs w:val="28"/>
          <w:lang w:val="bg-BG"/>
        </w:rPr>
        <w:t xml:space="preserve"> </w:t>
      </w:r>
      <w:proofErr w:type="spellStart"/>
      <w:r w:rsidRPr="00C828BF">
        <w:rPr>
          <w:rFonts w:asciiTheme="minorHAnsi" w:hAnsiTheme="minorHAnsi"/>
          <w:color w:val="000000" w:themeColor="text1"/>
          <w:sz w:val="28"/>
          <w:szCs w:val="28"/>
          <w:lang w:val="bg-BG"/>
        </w:rPr>
        <w:t>Gorahmedova</w:t>
      </w:r>
      <w:proofErr w:type="spellEnd"/>
      <w:r w:rsidRPr="00C828BF">
        <w:rPr>
          <w:rFonts w:asciiTheme="minorHAnsi" w:hAnsiTheme="minorHAnsi"/>
          <w:sz w:val="28"/>
          <w:szCs w:val="28"/>
          <w:lang w:val="bg-BG"/>
        </w:rPr>
        <w:t xml:space="preserve"> </w:t>
      </w:r>
    </w:p>
    <w:p w14:paraId="0A433D19" w14:textId="77777777" w:rsidR="0080603A" w:rsidRDefault="0080603A" w:rsidP="0080603A">
      <w:pPr>
        <w:rPr>
          <w:lang w:val="bg-BG"/>
        </w:rPr>
      </w:pPr>
    </w:p>
    <w:p w14:paraId="55F75FD3" w14:textId="77777777" w:rsidR="00944D53" w:rsidRDefault="0080603A" w:rsidP="0080603A">
      <w:pPr>
        <w:rPr>
          <w:lang w:val="bg-BG"/>
        </w:rPr>
      </w:pPr>
      <w:proofErr w:type="spellStart"/>
      <w:r>
        <w:rPr>
          <w:lang w:val="bg-BG"/>
        </w:rPr>
        <w:t>Student</w:t>
      </w:r>
      <w:proofErr w:type="spellEnd"/>
      <w:r>
        <w:rPr>
          <w:lang w:val="bg-BG"/>
        </w:rPr>
        <w:t xml:space="preserve"> </w:t>
      </w:r>
      <w:proofErr w:type="spellStart"/>
      <w:r w:rsidR="00385E3C">
        <w:rPr>
          <w:lang w:val="bg-BG"/>
        </w:rPr>
        <w:t>Number</w:t>
      </w:r>
      <w:proofErr w:type="spellEnd"/>
      <w:r w:rsidR="00A55B3C">
        <w:rPr>
          <w:lang w:val="bg-BG"/>
        </w:rPr>
        <w:t xml:space="preserve"> : </w:t>
      </w:r>
    </w:p>
    <w:p w14:paraId="17098C8E" w14:textId="2CB279CC" w:rsidR="0080603A" w:rsidRPr="0080603A" w:rsidRDefault="00A55B3C" w:rsidP="0080603A">
      <w:pPr>
        <w:rPr>
          <w:lang w:val="bg-BG"/>
        </w:rPr>
      </w:pPr>
      <w:r>
        <w:rPr>
          <w:lang w:val="bg-BG"/>
        </w:rPr>
        <w:t>2113595</w:t>
      </w:r>
    </w:p>
    <w:p w14:paraId="29D78450" w14:textId="66CF9F3B" w:rsidR="00A9218D" w:rsidRDefault="00892D26" w:rsidP="001878FB">
      <w:pPr>
        <w:pStyle w:val="1"/>
      </w:pPr>
      <w:r>
        <w:t>Introduction</w:t>
      </w:r>
    </w:p>
    <w:p w14:paraId="5F72DB45" w14:textId="4BFBB2B3" w:rsidR="00892D26" w:rsidRDefault="00892D26" w:rsidP="00892D26">
      <w:r>
        <w:t>The Hinkley Point C nuclear power project represents both climate change and sustainable energy efforts in one. It seeks to revitalize UK's nuclear sector and supply low-carbon electricity to millions, yet budget and schedule overruns cast doubt over its success. This report analyzes its current status while considering what its standing might mean for UK's energy future.</w:t>
      </w:r>
    </w:p>
    <w:p w14:paraId="5452C872" w14:textId="77777777" w:rsidR="00892D26" w:rsidRDefault="00892D26" w:rsidP="00892D26">
      <w:r>
        <w:t>Hinkley Point C's significance lies in its potential benefits: providing low-carbon electricity to six million people while meeting climate goals (Daniel and Daniel, 2019) while revitalizing UK nuclear power sector are just two key goals of this project. However, challenges surrounding budget overruns and time management issues with delays (Glasson et al., 2021) remain concerning for project managers and may result in budget overruns being exceeded and raising concerns for project management (Daniel and Daniel 2019).</w:t>
      </w:r>
    </w:p>
    <w:p w14:paraId="06E0AA37" w14:textId="5FE22641" w:rsidR="00892D26" w:rsidRDefault="00892D26" w:rsidP="00892D26">
      <w:r>
        <w:t>This report's aim is to evaluate the Hinkley Point C project's progress and establish whether it was successful for UK's energy industry or failed. Budget, time, quality control, stakeholder management and risk assessment will all be assessed critically to offer lessons learned and provide commendations for large-scale projects.</w:t>
      </w:r>
    </w:p>
    <w:p w14:paraId="73EEA990" w14:textId="77777777" w:rsidR="00892D26" w:rsidRDefault="00892D26" w:rsidP="00892D26">
      <w:r>
        <w:t>The subsequent sections provide a detailed analysis of this project, discussing different aspects of project management. Each chapter details successes and challenges encountered during large-scale project execution; contributing to larger discourse around large-scale project execution. Our report seeks to inform both academia and industry through effective project execution for sustainable energy initiatives.</w:t>
      </w:r>
    </w:p>
    <w:p w14:paraId="25EBF240" w14:textId="77777777" w:rsidR="00892D26" w:rsidRDefault="00892D26" w:rsidP="001878FB">
      <w:pPr>
        <w:pStyle w:val="1"/>
      </w:pPr>
      <w:r>
        <w:t>Budget Management Review</w:t>
      </w:r>
    </w:p>
    <w:p w14:paraId="67B93B51" w14:textId="77777777" w:rsidR="00892D26" w:rsidRDefault="00892D26" w:rsidP="00892D26">
      <w:r>
        <w:t>The Hinkley Point C project budget management has provided us with an opportunity to understand the complex interplay of unanticipated challenges and ever-evolving market dynamics within large energy initiatives. While initially estimated at around PS25-PS26 billion, its financial trajectory veered greatly from expectations; leading us to explore underlying causes while offering crucial insight for future endeavors (Daniel and Daniel 2019).</w:t>
      </w:r>
    </w:p>
    <w:p w14:paraId="482589DC" w14:textId="77777777" w:rsidR="00892D26" w:rsidRDefault="00892D26" w:rsidP="00892D26">
      <w:r>
        <w:t>Budget overruns can be traced to both unexpected technical challenges and market shifts (Daniel and Daniel, 2019). Geological complexity and structural modifications were unexpected technical hurdles which required additional resources and financial allocation; market dynamics played their part as inflation and shifting market conditions led to rising costs over the lifecycle of a project; finally, adaption to changing safety regulations increased costs further still.</w:t>
      </w:r>
    </w:p>
    <w:p w14:paraId="6326AB4A" w14:textId="77777777" w:rsidR="00892D26" w:rsidRDefault="00892D26" w:rsidP="00892D26">
      <w:r>
        <w:t>To avoid future budget overruns, proactive risk assessment and management is of utmost importance. By conducting a full risk analysis early in a project, potential challenges and uncertainties can be identified early, which allows for the allocation of resources and contingency plans (Butcher et al., 2021). This strategy empowers project managers to effectively negotiate unexpected hurdles while decreasing budget deviations.</w:t>
      </w:r>
    </w:p>
    <w:p w14:paraId="5D862513" w14:textId="77777777" w:rsidR="00892D26" w:rsidRDefault="00892D26" w:rsidP="00892D26">
      <w:r>
        <w:t>Monitoring and evaluation processes should cover the entirety of a project's life cycle to allow for timely identification of deviations from budget and swift correction of missteps (Butcher et al., 2021). Furthermore, consulting expert financial advisors experienced in large-scale ventures may offer valuable insights into budgeting complexities, cost containment techniques, and risk reduction approaches.</w:t>
      </w:r>
    </w:p>
    <w:p w14:paraId="7E493904" w14:textId="77777777" w:rsidR="00892D26" w:rsidRDefault="00892D26" w:rsidP="00892D26">
      <w:r>
        <w:lastRenderedPageBreak/>
        <w:t>At Hinkley Point C, budget management was managed efficiently through proactive risk analysis, vigilant monitoring, and consultations with financial experts. Together these components serve as an effective method for avoiding budget overruns for large energy endeavors; their lessons provide a foundation for resilient financial management strategies that keep up with energy sector initiatives.</w:t>
      </w:r>
    </w:p>
    <w:p w14:paraId="7BDAB7D5" w14:textId="09B5BC10" w:rsidR="001878FB" w:rsidRDefault="001878FB" w:rsidP="001878FB">
      <w:pPr>
        <w:pStyle w:val="1"/>
      </w:pPr>
      <w:r>
        <w:t>Timeline</w:t>
      </w:r>
    </w:p>
    <w:p w14:paraId="5A1D5CF7" w14:textId="12A26A75" w:rsidR="00892D26" w:rsidRDefault="00892D26" w:rsidP="00892D26">
      <w:r>
        <w:t>Hinkley Point C project timeline has provided invaluable lessons about time management within large-scale energy endeavors. Delays due to regulatory approvals, property acquisition issues and engineering complexities demonstrate why adaptable schedules must be created to overcome all possible roadblocks to timely project completion (Glasson et al. 2021).</w:t>
      </w:r>
    </w:p>
    <w:p w14:paraId="33845C27" w14:textId="77777777" w:rsidR="00892D26" w:rsidRDefault="00892D26" w:rsidP="00892D26">
      <w:r>
        <w:t>Regulatory clearances and licenses proved to be significant roadblocks, slowing the project down (Glasson et al., 2021). When combined with complex property acquisition processes and unexpected engineering complications, these hurdles caused major delays, necessitating an astute reevaluation of time management strategies in such endeavors.</w:t>
      </w:r>
    </w:p>
    <w:p w14:paraId="77D017A3" w14:textId="77777777" w:rsidR="00892D26" w:rsidRDefault="00892D26" w:rsidP="00892D26">
      <w:r>
        <w:t>For larger projects to stay on schedule, adaptable project schedules are key to time management success. This requires devising contingency strategies designed to adapt to potential bottlenecks or disruptions; expediting regulatory processes may also speed up clearances and license acquisition processes by eliminating bureaucratic delays (Glasson et al., 2021). Early land acquisition may help mitigate complications while providing a headstart in terms of time.</w:t>
      </w:r>
    </w:p>
    <w:p w14:paraId="0527AF65" w14:textId="77777777" w:rsidR="00892D26" w:rsidRDefault="00892D26" w:rsidP="00892D26">
      <w:r>
        <w:t>Key to this approach is creating a flexible timetable that accommodates changes and unanticipated obstacles without derailment of the project's trajectory. An adaptive schedule acts as a safeguard against disruptions, enabling projects to recalibrate and realign without impacting overall efficiency; such an adaptable framework also reduces delays, improving project progress.</w:t>
      </w:r>
    </w:p>
    <w:p w14:paraId="5E806DD0" w14:textId="77777777" w:rsidR="00892D26" w:rsidRDefault="00892D26" w:rsidP="00892D26">
      <w:r>
        <w:t>Lessons learned from Hinkley Point C's construction underscore the crucial nature of effective time management strategies. Employing an adaptable timetable filled with contingency plans, simplified regulatory processes and preemptive land acquisition can effectively counteract uncertainties inherent in large-scale projects and can allow project managers to navigate them while also meeting ambitious timelines.</w:t>
      </w:r>
    </w:p>
    <w:p w14:paraId="0001A047" w14:textId="7775E836" w:rsidR="00892D26" w:rsidRDefault="001878FB" w:rsidP="001878FB">
      <w:pPr>
        <w:pStyle w:val="1"/>
      </w:pPr>
      <w:r>
        <w:t>Quality Control</w:t>
      </w:r>
    </w:p>
    <w:p w14:paraId="596E83DB" w14:textId="77777777" w:rsidR="00892D26" w:rsidRDefault="00892D26" w:rsidP="00892D26">
      <w:r>
        <w:t>Hinkley Point C's quality control landscape has provided key lessons on managing experimental technologies in large-scale energy ventures. As this project relies on cutting-edge but unproven technologies like European Pressurized Reactors (EPR), strong quality control measures are essential for seamless integration of untested components (Carpenter and Energy, 2019).</w:t>
      </w:r>
    </w:p>
    <w:p w14:paraId="7FC54E02" w14:textId="77777777" w:rsidR="00892D26" w:rsidRDefault="00892D26" w:rsidP="00892D26">
      <w:r>
        <w:t>Project lifecycle dynamics underscore the significance of taking an aggressive stance toward quality assurance. When implementing experimental technologies into projects, extensive testing and validation should take place to ascertain their compatibility within project parameters (Carpenter &amp; Energy, 2019). Therefore, quality assurance protocols should be embedded at every phase of project development to ensure rigorous evaluation against predefined benchmarks.</w:t>
      </w:r>
    </w:p>
    <w:p w14:paraId="4F4EAE8B" w14:textId="77777777" w:rsidR="00892D26" w:rsidRDefault="00892D26" w:rsidP="00892D26">
      <w:r>
        <w:t>Integrating ongoing quality assurance systems is crucial to enhancing quality control, including regular audits, strict inspection regimes and periodic peer reviews (Aldama-Bustos et al. 2019). Professionals knowledgeable in construction safety checks play a pivotal role in upholding standards while anticipating deviations before they occur.</w:t>
      </w:r>
    </w:p>
    <w:p w14:paraId="188AE23D" w14:textId="77777777" w:rsidR="00892D26" w:rsidRDefault="00892D26" w:rsidP="00892D26">
      <w:r>
        <w:lastRenderedPageBreak/>
        <w:t>Integral to this strategy is the creation of open communication channels and collaboration among stakeholders. Audits serve as a vehicle to monitor project progress against predefined quality benchmarks while inspection regimes serve as an early warning system to detect any discrepancies or discrepancies that might exist in the project's quality control measures. Peer reviews provide invaluable external perspectives while guaranteeing that quality control measures remain dynamic and efficient throughout.</w:t>
      </w:r>
    </w:p>
    <w:p w14:paraId="23160C8A" w14:textId="114C0013" w:rsidR="00892D26" w:rsidRDefault="00892D26" w:rsidP="00892D26">
      <w:r>
        <w:t>Hinkley Point C project serves as an exemplar of the value of adopting proactive quality control strategies, particularly when experimental technologies are introduced. By employing ongoing quality assurance mechanisms such as audits, inspections and peer reviews alongside audits ensuring quality standards are upheld while decreasing costly rework or safety concerns, large energy initiatives can navigate their complex tasks while providing results of the highest quality.</w:t>
      </w:r>
    </w:p>
    <w:p w14:paraId="2BAB9A2B" w14:textId="36F1FD68" w:rsidR="001878FB" w:rsidRDefault="001878FB" w:rsidP="001878FB">
      <w:pPr>
        <w:pStyle w:val="1"/>
      </w:pPr>
      <w:r>
        <w:t>Stakeholder Engagement</w:t>
      </w:r>
    </w:p>
    <w:p w14:paraId="1FEBBD76" w14:textId="77777777" w:rsidR="00892D26" w:rsidRDefault="00892D26" w:rsidP="00892D26">
      <w:r>
        <w:t>Hinkley Point C's stakeholder management provides striking evidence of how difficult it can be to balance engaging diverse interest groups with large-scale energy endeavors. While its success depended heavily on stakeholder involvement, this journey was marred by conflicts and disagreements highlighting the complexities involved in managing competing priorities (Bryant 2021).</w:t>
      </w:r>
    </w:p>
    <w:p w14:paraId="31D01B9B" w14:textId="77777777" w:rsidR="00892D26" w:rsidRDefault="00892D26" w:rsidP="00892D26">
      <w:r>
        <w:t>Stakeholder engagement is essential to project success and should never be underestimated. Effective engagement requires the identification of essential stakeholders such as government agencies, investors, communities and environmental organizations (Bryant 2021). Yet the implementation of constructive collaboration requires surmounting hurdles posed by divergent interests and competing priorities to become reality.</w:t>
      </w:r>
    </w:p>
    <w:p w14:paraId="17BFC494" w14:textId="77777777" w:rsidR="00892D26" w:rsidRDefault="00892D26" w:rsidP="00892D26">
      <w:r>
        <w:t>To effectively manage stakeholder relationships, an integrated approach must be employed. Communication serves as the cornerstone of effective stakeholder management - creating an atmosphere in which stakeholders feel free to express their thoughts and grievances (Bryant 2021). Engaging sessions provide an ideal venue for stakeholders to express themselves while creating a sense of ownership and mutual understanding among all involved.</w:t>
      </w:r>
    </w:p>
    <w:p w14:paraId="32E52F3E" w14:textId="77777777" w:rsidR="00892D26" w:rsidRDefault="00892D26" w:rsidP="00892D26">
      <w:r>
        <w:t>Implementing impact studies as part of stakeholder management framework provides project managers with a means to fully comprehend stakeholder concerns in an holistic manner. Through conducting comprehensive impact analyses, project managers can anticipate potential points of contention early and address them promptly (Walker et al., 2014). This approach not only reduces surprises but also shows commitment towards understanding and accommodating stakeholder interests.</w:t>
      </w:r>
    </w:p>
    <w:p w14:paraId="1D523052" w14:textId="596EDAC9" w:rsidR="00892D26" w:rsidRDefault="00892D26" w:rsidP="00892D26">
      <w:r>
        <w:t>Proactive stakeholder engagement plans that prioritize transparency and cooperation can serve as a cornerstone for mitigating disputes and aligning stakeholder interests, helping project managers navigate complex webs of competing priorities more easily. Hinkley Point C's journey exemplifies this importance while simultaneously creating an inclusive culture which balances project goals with wider social goals.</w:t>
      </w:r>
    </w:p>
    <w:p w14:paraId="0CCC45C3" w14:textId="2062E933" w:rsidR="001878FB" w:rsidRDefault="001878FB" w:rsidP="001878FB">
      <w:pPr>
        <w:pStyle w:val="1"/>
      </w:pPr>
      <w:r>
        <w:t>Risk Management</w:t>
      </w:r>
    </w:p>
    <w:p w14:paraId="7514889C" w14:textId="77777777" w:rsidR="00892D26" w:rsidRDefault="00892D26" w:rsidP="00892D26">
      <w:r>
        <w:t xml:space="preserve">Hinkley Point C's complex risk assessment landscape offers insights into the value of anticipating and mitigating threats in large energy initiatives. As with any complex undertaking, such as this project did face many hurdles ranging from legislative uncertainties, technical complexities and geological </w:t>
      </w:r>
      <w:r>
        <w:lastRenderedPageBreak/>
        <w:t>considerations that emphasized the necessity of conducting comprehensive risk analysis prior to undertaking such undertakings (Terlikowski et al. 2019).</w:t>
      </w:r>
    </w:p>
    <w:p w14:paraId="2FC9CC2C" w14:textId="77777777" w:rsidR="00892D26" w:rsidRDefault="00892D26" w:rsidP="00892D26">
      <w:r>
        <w:t>Risk analysis involves identifying and understanding threats that could thwart project objectives. Legislative ambiguity introduced an element of uncertainty while unproven technology and geological constraints increased its risk profile (Terlikowski et al., 2019). An effective risk evaluation includes taking proactive steps to identify vulnerabilities as well as developing plans to counter or minimize their impact.</w:t>
      </w:r>
    </w:p>
    <w:p w14:paraId="6BAA856E" w14:textId="77777777" w:rsidR="00892D26" w:rsidRDefault="00892D26" w:rsidP="00892D26">
      <w:r>
        <w:t>To successfully manage risks in future projects, an integrated approach must be employed. Continuous risk evaluation during all stages of a project's lifespan (Terlikowski et al., 2019) allows project managers to recognize emerging threats and adapt mitigation strategies accordingly, thus limiting disruptive deviations and potential disruptions.</w:t>
      </w:r>
    </w:p>
    <w:p w14:paraId="07CDB7D0" w14:textId="77777777" w:rsidR="00892D26" w:rsidRDefault="00892D26" w:rsidP="00892D26">
      <w:r>
        <w:t>Consultation with experts and stakeholders is a cornerstone of effective risk management. Experts bring invaluable expertise, which can identify potentially hidden dangers (Terlikowski et al., 2019). Furthermore, stakeholders' input ensures comprehensive risk evaluation.</w:t>
      </w:r>
    </w:p>
    <w:p w14:paraId="7A115AEF" w14:textId="77777777" w:rsidR="00892D26" w:rsidRDefault="00892D26" w:rsidP="00892D26">
      <w:r>
        <w:t>An essential aspect of effective risk management lies in keeping accurate risk registers. These repositories help project managers track identified risks, their potential effects and mitigation strategies (Terlikowski et al. 2019). Regular updates to and revisions of risk registers ensures they remain appropriate to an ever-evolving project environment and enable project managers to take informed corrective actions as required.</w:t>
      </w:r>
    </w:p>
    <w:p w14:paraId="06DA81C2" w14:textId="77777777" w:rsidR="00892D26" w:rsidRDefault="00892D26" w:rsidP="00892D26">
      <w:r>
        <w:t>Hinkley Point C serves as an instructive case study in risk evaluation in large-scale energy projects, underscoring its importance. Through continuous risk evaluation, expert consultation, stakeholder engagement and maintaining risk registers, project managers can navigate through the maze of uncertainties inherent in such endeavors more successfully and realize their goals more rapidly with improved resilience.</w:t>
      </w:r>
    </w:p>
    <w:p w14:paraId="07B09791" w14:textId="70745413" w:rsidR="00892D26" w:rsidRDefault="001878FB" w:rsidP="001878FB">
      <w:pPr>
        <w:pStyle w:val="1"/>
        <w:tabs>
          <w:tab w:val="left" w:pos="2835"/>
        </w:tabs>
      </w:pPr>
      <w:r>
        <w:t>Lessons Learned &amp; Recommendations</w:t>
      </w:r>
    </w:p>
    <w:p w14:paraId="1CB34FF9" w14:textId="77777777" w:rsidR="00892D26" w:rsidRDefault="00892D26" w:rsidP="00892D26">
      <w:r>
        <w:t>Hinkley Point C project's journey offers a blueprint to increase the success of future large-scale initiatives. A series of recommendations emerged from its challenges and victories, providing guidance for guiding future endeavors towards success.</w:t>
      </w:r>
    </w:p>
    <w:p w14:paraId="260FC313" w14:textId="77777777" w:rsidR="00892D26" w:rsidRDefault="00892D26" w:rsidP="00A9218D">
      <w:pPr>
        <w:ind w:left="720"/>
      </w:pPr>
      <w:r>
        <w:t>1. Integration of Project Management Methodologies: Integrating multiple project management methodologies is essential to successfully managing large-scale projects (Sainati et al., 2019). Combining traditional project management, agile techniques, and other relevant methodologies creates a solid framework to meet complex challenges effectively.</w:t>
      </w:r>
    </w:p>
    <w:p w14:paraId="45BB6B8C" w14:textId="77777777" w:rsidR="00892D26" w:rsidRDefault="00892D26" w:rsidP="00A9218D">
      <w:pPr>
        <w:ind w:left="720"/>
      </w:pPr>
      <w:r>
        <w:t>2. Stakeholder Engagement and Communication: For effective stakeholder involvement to take place, communication channels must remain open with comprehensive stakeholder engagement activities (Castor et al., 2020). Establishing transparent channels of communication as well as meaningful engagement sessions will help project objectives meet stakeholder interests while mitigating any conflicts that might arise in future projects.</w:t>
      </w:r>
    </w:p>
    <w:p w14:paraId="4219A3D0" w14:textId="77777777" w:rsidR="00892D26" w:rsidRDefault="00892D26" w:rsidP="00A9218D">
      <w:pPr>
        <w:ind w:left="720"/>
      </w:pPr>
      <w:r>
        <w:t>3. Continuous Learning and Feedback Mechanisms: Establishing an environment of continuous learning and feedback mechanisms is integral for avoiding recurring overruns and delays (Mancini et al., 2015). Regular reviews, postmortems, knowledge-sharing sessions foster an atmosphere of adaptive improvement as well as informed decision-making.</w:t>
      </w:r>
    </w:p>
    <w:p w14:paraId="6CAE471D" w14:textId="77777777" w:rsidR="00892D26" w:rsidRDefault="00892D26" w:rsidP="00A9218D">
      <w:pPr>
        <w:ind w:left="720"/>
      </w:pPr>
      <w:r>
        <w:lastRenderedPageBreak/>
        <w:t>4. Expert Review and Validation of Project Plans: Implementing expert reviews and validations of project plans is important to reducing errors in cost estimations, timeline estimations, quality control procedures, risk evaluations and management strategies as well as to increase efficiency and effectiveness during project execution. Such advice further ensures efficiency and effectiveness.</w:t>
      </w:r>
    </w:p>
    <w:p w14:paraId="74EB1A98" w14:textId="77777777" w:rsidR="00892D26" w:rsidRDefault="00892D26" w:rsidP="00A9218D">
      <w:pPr>
        <w:ind w:left="720"/>
      </w:pPr>
      <w:r>
        <w:t>5. Collaborative Risk Management Workshops: Collaborative risk management workshops have proven an invaluable tool for stakeholders in identifying and assessing risks collectively (Schroeder et al., 2013). By mapping interdependencies among risks and creating comprehensive mitigation plans, collaborative risk management workshops enhance risk management strategies.</w:t>
      </w:r>
    </w:p>
    <w:p w14:paraId="7A682B2E" w14:textId="77777777" w:rsidR="00892D26" w:rsidRDefault="00892D26" w:rsidP="00A9218D">
      <w:pPr>
        <w:ind w:left="720"/>
      </w:pPr>
      <w:r>
        <w:t>6. Adherence to Sustainable Practices: Prioritizing sustainability when planning and executing projects emphasizes their long-term economic and environmental advantages (Wang et al., 2020). Implementing renewable energy sources and environmentally sound methods increases a project's impact.</w:t>
      </w:r>
    </w:p>
    <w:p w14:paraId="094D8E8F" w14:textId="77777777" w:rsidR="00892D26" w:rsidRDefault="00892D26" w:rsidP="00A9218D">
      <w:pPr>
        <w:ind w:left="720"/>
      </w:pPr>
      <w:r>
        <w:t>7. Utilization of Project Management Software: Utilizing cutting-edge project management software can streamline planning, monitoring and reporting functions to facilitate decision-making and corrective actions (Wealer et al., 2021). Making use of technology enhances project supervision and adaptability.</w:t>
      </w:r>
    </w:p>
    <w:p w14:paraId="7F62A763" w14:textId="77777777" w:rsidR="00892D26" w:rsidRDefault="00892D26" w:rsidP="00A9218D">
      <w:pPr>
        <w:ind w:left="720"/>
      </w:pPr>
      <w:r>
        <w:t>8. Comprehensive Lessons Learned Repository: By collecting knowledge from past projects into a comprehensive repository, future teams are better able to draw upon past successes, methodologies and lessons learned (Clarke et al. 2008). This collective knowledge serves as a compass for their initiatives moving forward.</w:t>
      </w:r>
    </w:p>
    <w:p w14:paraId="06BC7DF3" w14:textId="422242CB" w:rsidR="00892D26" w:rsidRDefault="00892D26" w:rsidP="00892D26">
      <w:r>
        <w:t>By following these recommendations, stakeholders and project managers can more efficiently navigate large-scale energy projects with greater efficacy and resilience. Led by Hinkley Point C's experiences, these suggestions offer a roadmap to enhance project execution, stakeholder alignment and sustainability impact - creating a new era of successful and impactful large-scale initiatives.</w:t>
      </w:r>
    </w:p>
    <w:p w14:paraId="37694176" w14:textId="5B35205F" w:rsidR="001878FB" w:rsidRDefault="001878FB" w:rsidP="001878FB">
      <w:pPr>
        <w:pStyle w:val="1"/>
      </w:pPr>
      <w:r>
        <w:t>Conclusion</w:t>
      </w:r>
    </w:p>
    <w:p w14:paraId="083885DC" w14:textId="77777777" w:rsidR="00892D26" w:rsidRDefault="00892D26" w:rsidP="00892D26">
      <w:r>
        <w:t>Hinkley Point C stands as a testament to the profound effect project management principles have had on delivering transformative results in large energy projects, and in this journey have exposed an intricate web of objectives, challenges, and insights which reverberate far beyond its boundaries.</w:t>
      </w:r>
    </w:p>
    <w:p w14:paraId="7B73ED55" w14:textId="77777777" w:rsidR="00892D26" w:rsidRDefault="00892D26" w:rsidP="00892D26">
      <w:r>
        <w:t>Hinkley Point C's ambitious goals - from revitalizing Britain's nuclear power sector to providing low-carbon energy to millions - have been made evident through careful analysis. Challenges encountered ranging from budget overruns and stakeholder conflicts to budget overruns have provided learning and growth opportunities, offering invaluable lessons for future projects. The Hinkley Point C experience offers us all lessons for success that should not be lost on us all.</w:t>
      </w:r>
    </w:p>
    <w:p w14:paraId="2964E0B9" w14:textId="77777777" w:rsidR="00892D26" w:rsidRDefault="00892D26" w:rsidP="00892D26">
      <w:r>
        <w:t>As Hinkley Point C's story comes to a close, the spotlight shifts onto its immense potential. The recommendations arising from its evaluation provide guidance for future large-scale projects - acting as beacons that show future endeavors how best to execute without compromising sustainable energy goals with pragmatic reality.</w:t>
      </w:r>
    </w:p>
    <w:p w14:paraId="5FBAA248" w14:textId="15CAC0B6" w:rsidR="00892D26" w:rsidRPr="00892D26" w:rsidRDefault="00892D26" w:rsidP="00892D26">
      <w:pPr>
        <w:rPr>
          <w:vanish/>
        </w:rPr>
      </w:pPr>
      <w:r>
        <w:t xml:space="preserve">Hinkley Point C's tale epitomizes the power of project management as an essential means of reaching ambitious goals. With this project's objectives, challenges, and recommendations as its </w:t>
      </w:r>
      <w:r>
        <w:lastRenderedPageBreak/>
        <w:t>inspiration, UK sustainable energy sectors can move forward with renewed vigor towards an outcome marked by success, resilience and transformative impact.</w:t>
      </w:r>
      <w:r w:rsidRPr="00892D26">
        <w:rPr>
          <w:vanish/>
        </w:rPr>
        <w:t>Top of Form</w:t>
      </w:r>
    </w:p>
    <w:p w14:paraId="61742E58" w14:textId="77777777" w:rsidR="00892D26" w:rsidRDefault="00892D26" w:rsidP="00892D26"/>
    <w:p w14:paraId="1E423D0A" w14:textId="77777777" w:rsidR="00892D26" w:rsidRDefault="00892D26" w:rsidP="00892D26"/>
    <w:p w14:paraId="736D4F71" w14:textId="77777777" w:rsidR="00892D26" w:rsidRDefault="00892D26" w:rsidP="00892D26"/>
    <w:p w14:paraId="38409F8D" w14:textId="77777777" w:rsidR="00892D26" w:rsidRDefault="00892D26" w:rsidP="00892D26"/>
    <w:p w14:paraId="7FA461B1" w14:textId="7DE5AD81" w:rsidR="00892D26" w:rsidRDefault="00892D26" w:rsidP="00892D26"/>
    <w:p w14:paraId="6F3E21C6" w14:textId="3DA2A922" w:rsidR="001878FB" w:rsidRDefault="001878FB" w:rsidP="00892D26"/>
    <w:p w14:paraId="243F4F1A" w14:textId="2BCA5271" w:rsidR="001878FB" w:rsidRDefault="001878FB" w:rsidP="00892D26"/>
    <w:p w14:paraId="0BC98329" w14:textId="4CB961A8" w:rsidR="001878FB" w:rsidRDefault="001878FB" w:rsidP="00892D26"/>
    <w:p w14:paraId="7EE458D9" w14:textId="19316F7A" w:rsidR="001878FB" w:rsidRDefault="001878FB" w:rsidP="00892D26"/>
    <w:p w14:paraId="188E4B80" w14:textId="25F33F79" w:rsidR="001878FB" w:rsidRDefault="001878FB" w:rsidP="00892D26"/>
    <w:p w14:paraId="7FD6D3DA" w14:textId="6F8A5CA9" w:rsidR="001878FB" w:rsidRDefault="001878FB" w:rsidP="00892D26"/>
    <w:p w14:paraId="2A11B303" w14:textId="040D380F" w:rsidR="001878FB" w:rsidRDefault="001878FB" w:rsidP="00892D26"/>
    <w:p w14:paraId="0A2C533F" w14:textId="6182496A" w:rsidR="001878FB" w:rsidRDefault="001878FB" w:rsidP="00892D26"/>
    <w:p w14:paraId="5E4743D1" w14:textId="6F01A0BC" w:rsidR="001878FB" w:rsidRDefault="001878FB" w:rsidP="00892D26"/>
    <w:p w14:paraId="2C803725" w14:textId="4DD0612E" w:rsidR="001878FB" w:rsidRDefault="001878FB" w:rsidP="00892D26"/>
    <w:p w14:paraId="4E2CFA47" w14:textId="2E8A4418" w:rsidR="001878FB" w:rsidRDefault="001878FB" w:rsidP="00892D26"/>
    <w:p w14:paraId="09631F71" w14:textId="3AB9F9E8" w:rsidR="001878FB" w:rsidRDefault="001878FB" w:rsidP="00892D26"/>
    <w:p w14:paraId="0BB51A8B" w14:textId="3DC7F121" w:rsidR="001878FB" w:rsidRDefault="001878FB" w:rsidP="00892D26"/>
    <w:p w14:paraId="3A7A6664" w14:textId="04B6D749" w:rsidR="001878FB" w:rsidRDefault="001878FB" w:rsidP="00892D26"/>
    <w:p w14:paraId="756DAD89" w14:textId="0BA74C72" w:rsidR="001878FB" w:rsidRDefault="001878FB" w:rsidP="00892D26"/>
    <w:p w14:paraId="2C2C65A4" w14:textId="3E440F35" w:rsidR="001878FB" w:rsidRDefault="001878FB" w:rsidP="00892D26"/>
    <w:p w14:paraId="54083ACC" w14:textId="5AC47614" w:rsidR="001878FB" w:rsidRDefault="001878FB" w:rsidP="00892D26"/>
    <w:p w14:paraId="3DF2D287" w14:textId="27836926" w:rsidR="001878FB" w:rsidRDefault="001878FB" w:rsidP="00892D26"/>
    <w:p w14:paraId="7765A40D" w14:textId="11539158" w:rsidR="001878FB" w:rsidRDefault="001878FB" w:rsidP="00892D26"/>
    <w:p w14:paraId="4DFB91F1" w14:textId="471AB480" w:rsidR="001878FB" w:rsidRDefault="001878FB" w:rsidP="00892D26"/>
    <w:p w14:paraId="668B6631" w14:textId="77777777" w:rsidR="001878FB" w:rsidRDefault="001878FB" w:rsidP="00892D26"/>
    <w:p w14:paraId="496EB936" w14:textId="77777777" w:rsidR="00892D26" w:rsidRDefault="00892D26" w:rsidP="00892D26"/>
    <w:p w14:paraId="7DFDE5E7" w14:textId="77777777" w:rsidR="00892D26" w:rsidRDefault="00892D26" w:rsidP="00892D26"/>
    <w:p w14:paraId="437B69C5" w14:textId="77777777" w:rsidR="00892D26" w:rsidRDefault="00892D26" w:rsidP="00892D26"/>
    <w:p w14:paraId="62A5C654" w14:textId="38F74BF0" w:rsidR="00892D26" w:rsidRDefault="00892D26" w:rsidP="001878FB">
      <w:pPr>
        <w:pStyle w:val="1"/>
      </w:pPr>
      <w:r>
        <w:t>References</w:t>
      </w:r>
    </w:p>
    <w:p w14:paraId="0CB67117" w14:textId="77777777" w:rsidR="00892D26" w:rsidRDefault="00892D26" w:rsidP="00892D26">
      <w:pPr>
        <w:pStyle w:val="a3"/>
        <w:numPr>
          <w:ilvl w:val="0"/>
          <w:numId w:val="1"/>
        </w:numPr>
      </w:pPr>
      <w:r>
        <w:t>Aldama-Bustos, G., Tromans, I.J., Strasser, F., Garrard, G., Green, G., Rivers, L., Douglas, J., Musson, R.M., Hunt, S., Lessi-Cheimariou, A. and Daví, M., 2019. A streamlined approach for the seismic hazard assessment of a new nuclear power plant in the UK. Bulletin of earthquake engineering, 17, pp.37-54.</w:t>
      </w:r>
    </w:p>
    <w:p w14:paraId="4E1D3A66" w14:textId="77777777" w:rsidR="00892D26" w:rsidRDefault="00892D26" w:rsidP="00892D26">
      <w:pPr>
        <w:pStyle w:val="a3"/>
        <w:numPr>
          <w:ilvl w:val="0"/>
          <w:numId w:val="1"/>
        </w:numPr>
      </w:pPr>
      <w:r>
        <w:t>Besse, M.E., Julia, A., Gody, A. and Veronese, T.P., 2022, October. Human Factors integration program into the equipment design of a nuclear power plant. In Congrès Lambda Mu 23 «Innovations et maîtrise des risques pour un avenir durable»-23e Congrès de Maîtrise des Risques et de Sûreté de Fonctionnement, Institut pour la Maîtrise des Risques.</w:t>
      </w:r>
    </w:p>
    <w:p w14:paraId="525639FD" w14:textId="77777777" w:rsidR="00892D26" w:rsidRDefault="00892D26" w:rsidP="00892D26">
      <w:pPr>
        <w:pStyle w:val="a3"/>
        <w:numPr>
          <w:ilvl w:val="0"/>
          <w:numId w:val="1"/>
        </w:numPr>
      </w:pPr>
      <w:r>
        <w:t>Bryant, P.A., 2021. Communicating radiation risk: the role of public engagement in reaching ALARA. Journal of Radiological Protection, 41(2), p.S1.</w:t>
      </w:r>
    </w:p>
    <w:p w14:paraId="50FB7E12" w14:textId="77777777" w:rsidR="00892D26" w:rsidRDefault="00892D26" w:rsidP="00892D26">
      <w:pPr>
        <w:pStyle w:val="a3"/>
        <w:numPr>
          <w:ilvl w:val="0"/>
          <w:numId w:val="1"/>
        </w:numPr>
      </w:pPr>
      <w:r>
        <w:t>Dyrda, J. and Morrison, R., 2021. Overview of the Hinkley Point C EPR Project ‘J0’and Beyond. In EPJ Web of Conferences (Vol. 247, p. 20001). EDP Sciences.</w:t>
      </w:r>
    </w:p>
    <w:p w14:paraId="5B20463D" w14:textId="77777777" w:rsidR="00892D26" w:rsidRDefault="00892D26" w:rsidP="00892D26">
      <w:pPr>
        <w:pStyle w:val="a3"/>
        <w:numPr>
          <w:ilvl w:val="0"/>
          <w:numId w:val="1"/>
        </w:numPr>
      </w:pPr>
      <w:r>
        <w:t>Glasson, J., Durning, B., Broderick, M. and Welch, K., 2021. Monitoring and auditing the local socio-economic and environmental impacts of the early stage construction of Hinkley Point C Nuclear Power Station, UK. Impact Assessment and Project Appraisal, 39(2), pp.84-95.</w:t>
      </w:r>
    </w:p>
    <w:p w14:paraId="003379DD" w14:textId="77777777" w:rsidR="00892D26" w:rsidRDefault="00892D26" w:rsidP="00892D26">
      <w:pPr>
        <w:pStyle w:val="a3"/>
        <w:numPr>
          <w:ilvl w:val="0"/>
          <w:numId w:val="1"/>
        </w:numPr>
      </w:pPr>
      <w:r>
        <w:t>Sainati, T., Locatelli, G. and Smith, N., 2019. Project financing in nuclear new build, why not? The legal and regulatory barriers. Energy policy, 129, pp.111-119.</w:t>
      </w:r>
    </w:p>
    <w:p w14:paraId="51D6D5BF" w14:textId="77777777" w:rsidR="00892D26" w:rsidRDefault="00892D26" w:rsidP="00892D26">
      <w:pPr>
        <w:pStyle w:val="a3"/>
        <w:numPr>
          <w:ilvl w:val="0"/>
          <w:numId w:val="1"/>
        </w:numPr>
      </w:pPr>
      <w:r>
        <w:t>Terlikowski, P., Paska, J., Pawlak, K., Kaliński, J. and Urbanek, D., 2019. Modern financial models of nuclear power plants. Progress in Nuclear Energy, 110, pp.30-33.</w:t>
      </w:r>
    </w:p>
    <w:p w14:paraId="39D2DEA6" w14:textId="77777777" w:rsidR="00892D26" w:rsidRDefault="00892D26" w:rsidP="00892D26">
      <w:pPr>
        <w:pStyle w:val="a3"/>
        <w:numPr>
          <w:ilvl w:val="0"/>
          <w:numId w:val="1"/>
        </w:numPr>
      </w:pPr>
      <w:r>
        <w:t>Wang, Y., Gu, J. and Wu, J., 2020. Explaining local residents’ acceptance of rebuilding nuclear power plants: The roles of perceived general benefit and perceived local benefit. Energy Policy, 140, p.111410.</w:t>
      </w:r>
    </w:p>
    <w:p w14:paraId="69B45B7F" w14:textId="77777777" w:rsidR="00892D26" w:rsidRDefault="00892D26" w:rsidP="00892D26">
      <w:pPr>
        <w:pStyle w:val="a3"/>
        <w:numPr>
          <w:ilvl w:val="0"/>
          <w:numId w:val="1"/>
        </w:numPr>
      </w:pPr>
      <w:r>
        <w:t>Wealer, B., Bauer, S., Hirschhausen, C.V., Kemfert, C. and Göke, L., 2021. Investing into third generation nuclear power plants-Review of recent trends and analysis of future investments using Monte Carlo Simulation. Renewable and Sustainable Energy Reviews, 143, p.110836.</w:t>
      </w:r>
    </w:p>
    <w:p w14:paraId="47270522" w14:textId="77777777" w:rsidR="00892D26" w:rsidRDefault="00892D26" w:rsidP="00892D26">
      <w:pPr>
        <w:pStyle w:val="a3"/>
        <w:numPr>
          <w:ilvl w:val="0"/>
          <w:numId w:val="1"/>
        </w:numPr>
      </w:pPr>
      <w:r>
        <w:t>Mancini, M., Locatelli, G. and Sainati, T., 2015. The divergence between actual and estimated costs in large industrial and infrastructure projects: Is nuclear special?.</w:t>
      </w:r>
    </w:p>
    <w:p w14:paraId="3EFCB5B4" w14:textId="77777777" w:rsidR="00892D26" w:rsidRDefault="00892D26" w:rsidP="00892D26">
      <w:pPr>
        <w:pStyle w:val="a3"/>
        <w:numPr>
          <w:ilvl w:val="0"/>
          <w:numId w:val="1"/>
        </w:numPr>
      </w:pPr>
      <w:r>
        <w:t>Walker, G., Devine-Wright, P., Barnett, J., Burningham, K., Cass, N., Devine-Wright, H., Speller, G., Barton, J., Evans, B., Heath, Y. and Infield, D., 2014. Symmetries, expectations, dynamics and contexts: a framework for understanding public engagement with renewable energy projects. In Renewable energy and the public (pp. 1-14). Routledge.</w:t>
      </w:r>
    </w:p>
    <w:p w14:paraId="7FD397BF" w14:textId="77777777" w:rsidR="00892D26" w:rsidRDefault="00892D26" w:rsidP="00892D26">
      <w:pPr>
        <w:pStyle w:val="a3"/>
        <w:numPr>
          <w:ilvl w:val="0"/>
          <w:numId w:val="1"/>
        </w:numPr>
      </w:pPr>
      <w:r>
        <w:t>Schroeder, A., Oei, P.Y., Sander, A., Hankel, L. and Laurisch, L.C., 2013. The integration of renewable energies into the German transmission grid—A scenario comparison. Energy Policy, 61, pp.140-150.</w:t>
      </w:r>
    </w:p>
    <w:p w14:paraId="73718706" w14:textId="77777777" w:rsidR="00892D26" w:rsidRDefault="00892D26" w:rsidP="00892D26">
      <w:pPr>
        <w:pStyle w:val="a3"/>
        <w:numPr>
          <w:ilvl w:val="0"/>
          <w:numId w:val="1"/>
        </w:numPr>
      </w:pPr>
      <w:r>
        <w:t>Clarke, J.A., Johnstone, C.M., Kelly, N.J., Strachan, P.A. and Tuohy, P., 2008. The role of built environment energy efficiency in a sustainable UK energy economy. Energy policy, 36(12), pp.4605-4609.</w:t>
      </w:r>
    </w:p>
    <w:p w14:paraId="6555EF22" w14:textId="77777777" w:rsidR="00892D26" w:rsidRDefault="00892D26" w:rsidP="00892D26">
      <w:pPr>
        <w:pStyle w:val="a3"/>
        <w:numPr>
          <w:ilvl w:val="0"/>
          <w:numId w:val="1"/>
        </w:numPr>
      </w:pPr>
      <w:r>
        <w:t>Chou, J.S. and Leatemia, G.T., 2016. Critical process and factors for ex-post evaluation of public-private partnership infrastructure projects in Indonesia. Journal of Management in Engineering, 32(5), p.05016011.</w:t>
      </w:r>
    </w:p>
    <w:p w14:paraId="2CC3D23B" w14:textId="77777777" w:rsidR="00892D26" w:rsidRDefault="00892D26" w:rsidP="00892D26">
      <w:pPr>
        <w:pStyle w:val="a3"/>
        <w:numPr>
          <w:ilvl w:val="0"/>
          <w:numId w:val="1"/>
        </w:numPr>
      </w:pPr>
      <w:r>
        <w:t>Costantini, V. and Crespi, F., 2013. Public policies for a sustainable energy sector: regulation, diversity and fostering of innovation. Journal of Evolutionary Economics, 23, pp.401-429.</w:t>
      </w:r>
    </w:p>
    <w:p w14:paraId="46917AE0" w14:textId="6F64E3F8" w:rsidR="00DA6566" w:rsidRDefault="00892D26" w:rsidP="00892D26">
      <w:pPr>
        <w:pStyle w:val="a3"/>
        <w:numPr>
          <w:ilvl w:val="0"/>
          <w:numId w:val="1"/>
        </w:numPr>
      </w:pPr>
      <w:r>
        <w:t>Smyth, H., Lecoeuvre, L. and Vaesken, P., 2018. Co-creation of value and the project context: Towards application on the case of Hinkley Point C Nuclear Power Station. International journal of project management, 36(1), pp.170-183.</w:t>
      </w:r>
    </w:p>
    <w:sectPr w:rsidR="00DA656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6A79"/>
    <w:multiLevelType w:val="multilevel"/>
    <w:tmpl w:val="E81E4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732F7F"/>
    <w:multiLevelType w:val="hybridMultilevel"/>
    <w:tmpl w:val="8A08D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385231">
    <w:abstractNumId w:val="1"/>
  </w:num>
  <w:num w:numId="2" w16cid:durableId="185823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D26"/>
    <w:rsid w:val="001878FB"/>
    <w:rsid w:val="00385E3C"/>
    <w:rsid w:val="007E5E3D"/>
    <w:rsid w:val="0080603A"/>
    <w:rsid w:val="00892D26"/>
    <w:rsid w:val="00932DF1"/>
    <w:rsid w:val="00944D53"/>
    <w:rsid w:val="00A55B3C"/>
    <w:rsid w:val="00A9218D"/>
    <w:rsid w:val="00AC73FC"/>
    <w:rsid w:val="00C828BF"/>
    <w:rsid w:val="00CD0C7F"/>
    <w:rsid w:val="00CD2F99"/>
    <w:rsid w:val="00DA6566"/>
    <w:rsid w:val="00EA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DE541"/>
  <w15:chartTrackingRefBased/>
  <w15:docId w15:val="{725D03EE-C897-450C-9E60-C0BA08296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878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92D26"/>
    <w:pPr>
      <w:ind w:left="720"/>
      <w:contextualSpacing/>
    </w:pPr>
  </w:style>
  <w:style w:type="character" w:customStyle="1" w:styleId="10">
    <w:name w:val="Заглавие 1 Знак"/>
    <w:basedOn w:val="a0"/>
    <w:link w:val="1"/>
    <w:uiPriority w:val="9"/>
    <w:rsid w:val="001878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50552">
      <w:bodyDiv w:val="1"/>
      <w:marLeft w:val="0"/>
      <w:marRight w:val="0"/>
      <w:marTop w:val="0"/>
      <w:marBottom w:val="0"/>
      <w:divBdr>
        <w:top w:val="none" w:sz="0" w:space="0" w:color="auto"/>
        <w:left w:val="none" w:sz="0" w:space="0" w:color="auto"/>
        <w:bottom w:val="none" w:sz="0" w:space="0" w:color="auto"/>
        <w:right w:val="none" w:sz="0" w:space="0" w:color="auto"/>
      </w:divBdr>
    </w:div>
    <w:div w:id="156119842">
      <w:bodyDiv w:val="1"/>
      <w:marLeft w:val="0"/>
      <w:marRight w:val="0"/>
      <w:marTop w:val="0"/>
      <w:marBottom w:val="0"/>
      <w:divBdr>
        <w:top w:val="none" w:sz="0" w:space="0" w:color="auto"/>
        <w:left w:val="none" w:sz="0" w:space="0" w:color="auto"/>
        <w:bottom w:val="none" w:sz="0" w:space="0" w:color="auto"/>
        <w:right w:val="none" w:sz="0" w:space="0" w:color="auto"/>
      </w:divBdr>
    </w:div>
    <w:div w:id="301813991">
      <w:bodyDiv w:val="1"/>
      <w:marLeft w:val="0"/>
      <w:marRight w:val="0"/>
      <w:marTop w:val="0"/>
      <w:marBottom w:val="0"/>
      <w:divBdr>
        <w:top w:val="none" w:sz="0" w:space="0" w:color="auto"/>
        <w:left w:val="none" w:sz="0" w:space="0" w:color="auto"/>
        <w:bottom w:val="none" w:sz="0" w:space="0" w:color="auto"/>
        <w:right w:val="none" w:sz="0" w:space="0" w:color="auto"/>
      </w:divBdr>
    </w:div>
    <w:div w:id="327640541">
      <w:bodyDiv w:val="1"/>
      <w:marLeft w:val="0"/>
      <w:marRight w:val="0"/>
      <w:marTop w:val="0"/>
      <w:marBottom w:val="0"/>
      <w:divBdr>
        <w:top w:val="none" w:sz="0" w:space="0" w:color="auto"/>
        <w:left w:val="none" w:sz="0" w:space="0" w:color="auto"/>
        <w:bottom w:val="none" w:sz="0" w:space="0" w:color="auto"/>
        <w:right w:val="none" w:sz="0" w:space="0" w:color="auto"/>
      </w:divBdr>
      <w:divsChild>
        <w:div w:id="803621471">
          <w:marLeft w:val="0"/>
          <w:marRight w:val="0"/>
          <w:marTop w:val="0"/>
          <w:marBottom w:val="0"/>
          <w:divBdr>
            <w:top w:val="single" w:sz="2" w:space="0" w:color="393E40"/>
            <w:left w:val="single" w:sz="2" w:space="0" w:color="393E40"/>
            <w:bottom w:val="single" w:sz="2" w:space="0" w:color="393E40"/>
            <w:right w:val="single" w:sz="2" w:space="0" w:color="393E40"/>
          </w:divBdr>
          <w:divsChild>
            <w:div w:id="1818104534">
              <w:marLeft w:val="0"/>
              <w:marRight w:val="0"/>
              <w:marTop w:val="0"/>
              <w:marBottom w:val="0"/>
              <w:divBdr>
                <w:top w:val="single" w:sz="2" w:space="0" w:color="393E40"/>
                <w:left w:val="single" w:sz="2" w:space="0" w:color="393E40"/>
                <w:bottom w:val="single" w:sz="2" w:space="0" w:color="393E40"/>
                <w:right w:val="single" w:sz="2" w:space="0" w:color="393E40"/>
              </w:divBdr>
              <w:divsChild>
                <w:div w:id="1607233987">
                  <w:marLeft w:val="0"/>
                  <w:marRight w:val="0"/>
                  <w:marTop w:val="0"/>
                  <w:marBottom w:val="0"/>
                  <w:divBdr>
                    <w:top w:val="single" w:sz="2" w:space="0" w:color="393E40"/>
                    <w:left w:val="single" w:sz="2" w:space="0" w:color="393E40"/>
                    <w:bottom w:val="single" w:sz="2" w:space="0" w:color="393E40"/>
                    <w:right w:val="single" w:sz="2" w:space="0" w:color="393E40"/>
                  </w:divBdr>
                  <w:divsChild>
                    <w:div w:id="208684066">
                      <w:marLeft w:val="0"/>
                      <w:marRight w:val="0"/>
                      <w:marTop w:val="0"/>
                      <w:marBottom w:val="0"/>
                      <w:divBdr>
                        <w:top w:val="single" w:sz="2" w:space="0" w:color="393E40"/>
                        <w:left w:val="single" w:sz="2" w:space="0" w:color="393E40"/>
                        <w:bottom w:val="single" w:sz="2" w:space="0" w:color="393E40"/>
                        <w:right w:val="single" w:sz="2" w:space="0" w:color="393E40"/>
                      </w:divBdr>
                      <w:divsChild>
                        <w:div w:id="1343701414">
                          <w:marLeft w:val="0"/>
                          <w:marRight w:val="0"/>
                          <w:marTop w:val="0"/>
                          <w:marBottom w:val="0"/>
                          <w:divBdr>
                            <w:top w:val="single" w:sz="2" w:space="0" w:color="auto"/>
                            <w:left w:val="single" w:sz="2" w:space="0" w:color="auto"/>
                            <w:bottom w:val="single" w:sz="6" w:space="0" w:color="auto"/>
                            <w:right w:val="single" w:sz="2" w:space="0" w:color="auto"/>
                          </w:divBdr>
                          <w:divsChild>
                            <w:div w:id="1011420296">
                              <w:marLeft w:val="0"/>
                              <w:marRight w:val="0"/>
                              <w:marTop w:val="100"/>
                              <w:marBottom w:val="100"/>
                              <w:divBdr>
                                <w:top w:val="single" w:sz="2" w:space="0" w:color="393E40"/>
                                <w:left w:val="single" w:sz="2" w:space="0" w:color="393E40"/>
                                <w:bottom w:val="single" w:sz="2" w:space="0" w:color="393E40"/>
                                <w:right w:val="single" w:sz="2" w:space="0" w:color="393E40"/>
                              </w:divBdr>
                              <w:divsChild>
                                <w:div w:id="376273239">
                                  <w:marLeft w:val="0"/>
                                  <w:marRight w:val="0"/>
                                  <w:marTop w:val="0"/>
                                  <w:marBottom w:val="0"/>
                                  <w:divBdr>
                                    <w:top w:val="single" w:sz="2" w:space="0" w:color="393E40"/>
                                    <w:left w:val="single" w:sz="2" w:space="0" w:color="393E40"/>
                                    <w:bottom w:val="single" w:sz="2" w:space="0" w:color="393E40"/>
                                    <w:right w:val="single" w:sz="2" w:space="0" w:color="393E40"/>
                                  </w:divBdr>
                                  <w:divsChild>
                                    <w:div w:id="406534872">
                                      <w:marLeft w:val="0"/>
                                      <w:marRight w:val="0"/>
                                      <w:marTop w:val="0"/>
                                      <w:marBottom w:val="0"/>
                                      <w:divBdr>
                                        <w:top w:val="single" w:sz="2" w:space="0" w:color="393E40"/>
                                        <w:left w:val="single" w:sz="2" w:space="0" w:color="393E40"/>
                                        <w:bottom w:val="single" w:sz="2" w:space="0" w:color="393E40"/>
                                        <w:right w:val="single" w:sz="2" w:space="0" w:color="393E40"/>
                                      </w:divBdr>
                                      <w:divsChild>
                                        <w:div w:id="587079890">
                                          <w:marLeft w:val="0"/>
                                          <w:marRight w:val="0"/>
                                          <w:marTop w:val="0"/>
                                          <w:marBottom w:val="0"/>
                                          <w:divBdr>
                                            <w:top w:val="single" w:sz="2" w:space="0" w:color="393E40"/>
                                            <w:left w:val="single" w:sz="2" w:space="0" w:color="393E40"/>
                                            <w:bottom w:val="single" w:sz="2" w:space="0" w:color="393E40"/>
                                            <w:right w:val="single" w:sz="2" w:space="0" w:color="393E40"/>
                                          </w:divBdr>
                                          <w:divsChild>
                                            <w:div w:id="1414274184">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sChild>
                            </w:div>
                          </w:divsChild>
                        </w:div>
                      </w:divsChild>
                    </w:div>
                  </w:divsChild>
                </w:div>
              </w:divsChild>
            </w:div>
          </w:divsChild>
        </w:div>
        <w:div w:id="1365255648">
          <w:marLeft w:val="0"/>
          <w:marRight w:val="0"/>
          <w:marTop w:val="0"/>
          <w:marBottom w:val="0"/>
          <w:divBdr>
            <w:top w:val="none" w:sz="0" w:space="0" w:color="auto"/>
            <w:left w:val="none" w:sz="0" w:space="0" w:color="auto"/>
            <w:bottom w:val="none" w:sz="0" w:space="0" w:color="auto"/>
            <w:right w:val="none" w:sz="0" w:space="0" w:color="auto"/>
          </w:divBdr>
        </w:div>
      </w:divsChild>
    </w:div>
    <w:div w:id="597762131">
      <w:bodyDiv w:val="1"/>
      <w:marLeft w:val="0"/>
      <w:marRight w:val="0"/>
      <w:marTop w:val="0"/>
      <w:marBottom w:val="0"/>
      <w:divBdr>
        <w:top w:val="none" w:sz="0" w:space="0" w:color="auto"/>
        <w:left w:val="none" w:sz="0" w:space="0" w:color="auto"/>
        <w:bottom w:val="none" w:sz="0" w:space="0" w:color="auto"/>
        <w:right w:val="none" w:sz="0" w:space="0" w:color="auto"/>
      </w:divBdr>
    </w:div>
    <w:div w:id="647057484">
      <w:bodyDiv w:val="1"/>
      <w:marLeft w:val="0"/>
      <w:marRight w:val="0"/>
      <w:marTop w:val="0"/>
      <w:marBottom w:val="0"/>
      <w:divBdr>
        <w:top w:val="none" w:sz="0" w:space="0" w:color="auto"/>
        <w:left w:val="none" w:sz="0" w:space="0" w:color="auto"/>
        <w:bottom w:val="none" w:sz="0" w:space="0" w:color="auto"/>
        <w:right w:val="none" w:sz="0" w:space="0" w:color="auto"/>
      </w:divBdr>
    </w:div>
    <w:div w:id="817068763">
      <w:bodyDiv w:val="1"/>
      <w:marLeft w:val="0"/>
      <w:marRight w:val="0"/>
      <w:marTop w:val="0"/>
      <w:marBottom w:val="0"/>
      <w:divBdr>
        <w:top w:val="none" w:sz="0" w:space="0" w:color="auto"/>
        <w:left w:val="none" w:sz="0" w:space="0" w:color="auto"/>
        <w:bottom w:val="none" w:sz="0" w:space="0" w:color="auto"/>
        <w:right w:val="none" w:sz="0" w:space="0" w:color="auto"/>
      </w:divBdr>
    </w:div>
    <w:div w:id="829634262">
      <w:bodyDiv w:val="1"/>
      <w:marLeft w:val="0"/>
      <w:marRight w:val="0"/>
      <w:marTop w:val="0"/>
      <w:marBottom w:val="0"/>
      <w:divBdr>
        <w:top w:val="none" w:sz="0" w:space="0" w:color="auto"/>
        <w:left w:val="none" w:sz="0" w:space="0" w:color="auto"/>
        <w:bottom w:val="none" w:sz="0" w:space="0" w:color="auto"/>
        <w:right w:val="none" w:sz="0" w:space="0" w:color="auto"/>
      </w:divBdr>
    </w:div>
    <w:div w:id="992759238">
      <w:bodyDiv w:val="1"/>
      <w:marLeft w:val="0"/>
      <w:marRight w:val="0"/>
      <w:marTop w:val="0"/>
      <w:marBottom w:val="0"/>
      <w:divBdr>
        <w:top w:val="none" w:sz="0" w:space="0" w:color="auto"/>
        <w:left w:val="none" w:sz="0" w:space="0" w:color="auto"/>
        <w:bottom w:val="none" w:sz="0" w:space="0" w:color="auto"/>
        <w:right w:val="none" w:sz="0" w:space="0" w:color="auto"/>
      </w:divBdr>
    </w:div>
    <w:div w:id="1032533956">
      <w:bodyDiv w:val="1"/>
      <w:marLeft w:val="0"/>
      <w:marRight w:val="0"/>
      <w:marTop w:val="0"/>
      <w:marBottom w:val="0"/>
      <w:divBdr>
        <w:top w:val="none" w:sz="0" w:space="0" w:color="auto"/>
        <w:left w:val="none" w:sz="0" w:space="0" w:color="auto"/>
        <w:bottom w:val="none" w:sz="0" w:space="0" w:color="auto"/>
        <w:right w:val="none" w:sz="0" w:space="0" w:color="auto"/>
      </w:divBdr>
    </w:div>
    <w:div w:id="1064766249">
      <w:bodyDiv w:val="1"/>
      <w:marLeft w:val="0"/>
      <w:marRight w:val="0"/>
      <w:marTop w:val="0"/>
      <w:marBottom w:val="0"/>
      <w:divBdr>
        <w:top w:val="none" w:sz="0" w:space="0" w:color="auto"/>
        <w:left w:val="none" w:sz="0" w:space="0" w:color="auto"/>
        <w:bottom w:val="none" w:sz="0" w:space="0" w:color="auto"/>
        <w:right w:val="none" w:sz="0" w:space="0" w:color="auto"/>
      </w:divBdr>
    </w:div>
    <w:div w:id="1250236819">
      <w:bodyDiv w:val="1"/>
      <w:marLeft w:val="0"/>
      <w:marRight w:val="0"/>
      <w:marTop w:val="0"/>
      <w:marBottom w:val="0"/>
      <w:divBdr>
        <w:top w:val="none" w:sz="0" w:space="0" w:color="auto"/>
        <w:left w:val="none" w:sz="0" w:space="0" w:color="auto"/>
        <w:bottom w:val="none" w:sz="0" w:space="0" w:color="auto"/>
        <w:right w:val="none" w:sz="0" w:space="0" w:color="auto"/>
      </w:divBdr>
    </w:div>
    <w:div w:id="1347100032">
      <w:bodyDiv w:val="1"/>
      <w:marLeft w:val="0"/>
      <w:marRight w:val="0"/>
      <w:marTop w:val="0"/>
      <w:marBottom w:val="0"/>
      <w:divBdr>
        <w:top w:val="none" w:sz="0" w:space="0" w:color="auto"/>
        <w:left w:val="none" w:sz="0" w:space="0" w:color="auto"/>
        <w:bottom w:val="none" w:sz="0" w:space="0" w:color="auto"/>
        <w:right w:val="none" w:sz="0" w:space="0" w:color="auto"/>
      </w:divBdr>
    </w:div>
    <w:div w:id="1362438573">
      <w:bodyDiv w:val="1"/>
      <w:marLeft w:val="0"/>
      <w:marRight w:val="0"/>
      <w:marTop w:val="0"/>
      <w:marBottom w:val="0"/>
      <w:divBdr>
        <w:top w:val="none" w:sz="0" w:space="0" w:color="auto"/>
        <w:left w:val="none" w:sz="0" w:space="0" w:color="auto"/>
        <w:bottom w:val="none" w:sz="0" w:space="0" w:color="auto"/>
        <w:right w:val="none" w:sz="0" w:space="0" w:color="auto"/>
      </w:divBdr>
    </w:div>
    <w:div w:id="1727221109">
      <w:bodyDiv w:val="1"/>
      <w:marLeft w:val="0"/>
      <w:marRight w:val="0"/>
      <w:marTop w:val="0"/>
      <w:marBottom w:val="0"/>
      <w:divBdr>
        <w:top w:val="none" w:sz="0" w:space="0" w:color="auto"/>
        <w:left w:val="none" w:sz="0" w:space="0" w:color="auto"/>
        <w:bottom w:val="none" w:sz="0" w:space="0" w:color="auto"/>
        <w:right w:val="none" w:sz="0" w:space="0" w:color="auto"/>
      </w:divBdr>
    </w:div>
    <w:div w:id="1788237783">
      <w:bodyDiv w:val="1"/>
      <w:marLeft w:val="0"/>
      <w:marRight w:val="0"/>
      <w:marTop w:val="0"/>
      <w:marBottom w:val="0"/>
      <w:divBdr>
        <w:top w:val="none" w:sz="0" w:space="0" w:color="auto"/>
        <w:left w:val="none" w:sz="0" w:space="0" w:color="auto"/>
        <w:bottom w:val="none" w:sz="0" w:space="0" w:color="auto"/>
        <w:right w:val="none" w:sz="0" w:space="0" w:color="auto"/>
      </w:divBdr>
    </w:div>
    <w:div w:id="1830246913">
      <w:bodyDiv w:val="1"/>
      <w:marLeft w:val="0"/>
      <w:marRight w:val="0"/>
      <w:marTop w:val="0"/>
      <w:marBottom w:val="0"/>
      <w:divBdr>
        <w:top w:val="none" w:sz="0" w:space="0" w:color="auto"/>
        <w:left w:val="none" w:sz="0" w:space="0" w:color="auto"/>
        <w:bottom w:val="none" w:sz="0" w:space="0" w:color="auto"/>
        <w:right w:val="none" w:sz="0" w:space="0" w:color="auto"/>
      </w:divBdr>
    </w:div>
    <w:div w:id="2032996462">
      <w:bodyDiv w:val="1"/>
      <w:marLeft w:val="0"/>
      <w:marRight w:val="0"/>
      <w:marTop w:val="0"/>
      <w:marBottom w:val="0"/>
      <w:divBdr>
        <w:top w:val="none" w:sz="0" w:space="0" w:color="auto"/>
        <w:left w:val="none" w:sz="0" w:space="0" w:color="auto"/>
        <w:bottom w:val="none" w:sz="0" w:space="0" w:color="auto"/>
        <w:right w:val="none" w:sz="0" w:space="0" w:color="auto"/>
      </w:divBdr>
    </w:div>
    <w:div w:id="2054038711">
      <w:bodyDiv w:val="1"/>
      <w:marLeft w:val="0"/>
      <w:marRight w:val="0"/>
      <w:marTop w:val="0"/>
      <w:marBottom w:val="0"/>
      <w:divBdr>
        <w:top w:val="none" w:sz="0" w:space="0" w:color="auto"/>
        <w:left w:val="none" w:sz="0" w:space="0" w:color="auto"/>
        <w:bottom w:val="none" w:sz="0" w:space="0" w:color="auto"/>
        <w:right w:val="none" w:sz="0" w:space="0" w:color="auto"/>
      </w:divBdr>
    </w:div>
    <w:div w:id="2098407402">
      <w:bodyDiv w:val="1"/>
      <w:marLeft w:val="0"/>
      <w:marRight w:val="0"/>
      <w:marTop w:val="0"/>
      <w:marBottom w:val="0"/>
      <w:divBdr>
        <w:top w:val="none" w:sz="0" w:space="0" w:color="auto"/>
        <w:left w:val="none" w:sz="0" w:space="0" w:color="auto"/>
        <w:bottom w:val="none" w:sz="0" w:space="0" w:color="auto"/>
        <w:right w:val="none" w:sz="0" w:space="0" w:color="auto"/>
      </w:divBdr>
      <w:divsChild>
        <w:div w:id="593032">
          <w:marLeft w:val="0"/>
          <w:marRight w:val="0"/>
          <w:marTop w:val="0"/>
          <w:marBottom w:val="0"/>
          <w:divBdr>
            <w:top w:val="single" w:sz="2" w:space="0" w:color="393E40"/>
            <w:left w:val="single" w:sz="2" w:space="0" w:color="393E40"/>
            <w:bottom w:val="single" w:sz="2" w:space="0" w:color="393E40"/>
            <w:right w:val="single" w:sz="2" w:space="0" w:color="393E40"/>
          </w:divBdr>
          <w:divsChild>
            <w:div w:id="1238243673">
              <w:marLeft w:val="0"/>
              <w:marRight w:val="0"/>
              <w:marTop w:val="0"/>
              <w:marBottom w:val="0"/>
              <w:divBdr>
                <w:top w:val="single" w:sz="2" w:space="0" w:color="393E40"/>
                <w:left w:val="single" w:sz="2" w:space="0" w:color="393E40"/>
                <w:bottom w:val="single" w:sz="2" w:space="0" w:color="393E40"/>
                <w:right w:val="single" w:sz="2" w:space="0" w:color="393E40"/>
              </w:divBdr>
              <w:divsChild>
                <w:div w:id="310991013">
                  <w:marLeft w:val="0"/>
                  <w:marRight w:val="0"/>
                  <w:marTop w:val="0"/>
                  <w:marBottom w:val="0"/>
                  <w:divBdr>
                    <w:top w:val="single" w:sz="2" w:space="0" w:color="393E40"/>
                    <w:left w:val="single" w:sz="2" w:space="0" w:color="393E40"/>
                    <w:bottom w:val="single" w:sz="2" w:space="0" w:color="393E40"/>
                    <w:right w:val="single" w:sz="2" w:space="0" w:color="393E40"/>
                  </w:divBdr>
                  <w:divsChild>
                    <w:div w:id="427779540">
                      <w:marLeft w:val="0"/>
                      <w:marRight w:val="0"/>
                      <w:marTop w:val="0"/>
                      <w:marBottom w:val="0"/>
                      <w:divBdr>
                        <w:top w:val="single" w:sz="2" w:space="0" w:color="393E40"/>
                        <w:left w:val="single" w:sz="2" w:space="0" w:color="393E40"/>
                        <w:bottom w:val="single" w:sz="2" w:space="0" w:color="393E40"/>
                        <w:right w:val="single" w:sz="2" w:space="0" w:color="393E40"/>
                      </w:divBdr>
                      <w:divsChild>
                        <w:div w:id="1977833272">
                          <w:marLeft w:val="0"/>
                          <w:marRight w:val="0"/>
                          <w:marTop w:val="0"/>
                          <w:marBottom w:val="0"/>
                          <w:divBdr>
                            <w:top w:val="single" w:sz="2" w:space="0" w:color="auto"/>
                            <w:left w:val="single" w:sz="2" w:space="0" w:color="auto"/>
                            <w:bottom w:val="single" w:sz="6" w:space="0" w:color="auto"/>
                            <w:right w:val="single" w:sz="2" w:space="0" w:color="auto"/>
                          </w:divBdr>
                          <w:divsChild>
                            <w:div w:id="402148253">
                              <w:marLeft w:val="0"/>
                              <w:marRight w:val="0"/>
                              <w:marTop w:val="100"/>
                              <w:marBottom w:val="100"/>
                              <w:divBdr>
                                <w:top w:val="single" w:sz="2" w:space="0" w:color="393E40"/>
                                <w:left w:val="single" w:sz="2" w:space="0" w:color="393E40"/>
                                <w:bottom w:val="single" w:sz="2" w:space="0" w:color="393E40"/>
                                <w:right w:val="single" w:sz="2" w:space="0" w:color="393E40"/>
                              </w:divBdr>
                              <w:divsChild>
                                <w:div w:id="1673797328">
                                  <w:marLeft w:val="0"/>
                                  <w:marRight w:val="0"/>
                                  <w:marTop w:val="0"/>
                                  <w:marBottom w:val="0"/>
                                  <w:divBdr>
                                    <w:top w:val="single" w:sz="2" w:space="0" w:color="393E40"/>
                                    <w:left w:val="single" w:sz="2" w:space="0" w:color="393E40"/>
                                    <w:bottom w:val="single" w:sz="2" w:space="0" w:color="393E40"/>
                                    <w:right w:val="single" w:sz="2" w:space="0" w:color="393E40"/>
                                  </w:divBdr>
                                  <w:divsChild>
                                    <w:div w:id="557788376">
                                      <w:marLeft w:val="0"/>
                                      <w:marRight w:val="0"/>
                                      <w:marTop w:val="0"/>
                                      <w:marBottom w:val="0"/>
                                      <w:divBdr>
                                        <w:top w:val="single" w:sz="2" w:space="0" w:color="393E40"/>
                                        <w:left w:val="single" w:sz="2" w:space="0" w:color="393E40"/>
                                        <w:bottom w:val="single" w:sz="2" w:space="0" w:color="393E40"/>
                                        <w:right w:val="single" w:sz="2" w:space="0" w:color="393E40"/>
                                      </w:divBdr>
                                      <w:divsChild>
                                        <w:div w:id="1330913069">
                                          <w:marLeft w:val="0"/>
                                          <w:marRight w:val="0"/>
                                          <w:marTop w:val="0"/>
                                          <w:marBottom w:val="0"/>
                                          <w:divBdr>
                                            <w:top w:val="single" w:sz="2" w:space="0" w:color="393E40"/>
                                            <w:left w:val="single" w:sz="2" w:space="0" w:color="393E40"/>
                                            <w:bottom w:val="single" w:sz="2" w:space="0" w:color="393E40"/>
                                            <w:right w:val="single" w:sz="2" w:space="0" w:color="393E40"/>
                                          </w:divBdr>
                                          <w:divsChild>
                                            <w:div w:id="1819612190">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sChild>
                            </w:div>
                          </w:divsChild>
                        </w:div>
                      </w:divsChild>
                    </w:div>
                  </w:divsChild>
                </w:div>
              </w:divsChild>
            </w:div>
          </w:divsChild>
        </w:div>
        <w:div w:id="1370453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3157</Words>
  <Characters>17995</Characters>
  <Application>Microsoft Office Word</Application>
  <DocSecurity>0</DocSecurity>
  <Lines>149</Lines>
  <Paragraphs>42</Paragraphs>
  <ScaleCrop>false</ScaleCrop>
  <Company/>
  <LinksUpToDate>false</LinksUpToDate>
  <CharactersWithSpaces>21110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Adem Gorahmedov</cp:lastModifiedBy>
  <cp:revision>2</cp:revision>
  <dcterms:created xsi:type="dcterms:W3CDTF">2023-08-26T17:57:00Z</dcterms:created>
  <dcterms:modified xsi:type="dcterms:W3CDTF">2023-08-26T17:57:00Z</dcterms:modified>
</cp:coreProperties>
</file>