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0820D" w14:textId="446458A4" w:rsidR="0043749A" w:rsidRPr="007B1CDD" w:rsidRDefault="00660681" w:rsidP="00660681">
      <w:pPr>
        <w:jc w:val="center"/>
        <w:rPr>
          <w:rFonts w:ascii="Times New Roman" w:hAnsi="Times New Roman" w:cs="Times New Roman"/>
          <w:sz w:val="32"/>
          <w:szCs w:val="32"/>
          <w:u w:val="single"/>
        </w:rPr>
      </w:pPr>
      <w:r w:rsidRPr="007B1CDD">
        <w:rPr>
          <w:rFonts w:ascii="Times New Roman" w:hAnsi="Times New Roman" w:cs="Times New Roman"/>
          <w:sz w:val="32"/>
          <w:szCs w:val="32"/>
          <w:u w:val="single"/>
        </w:rPr>
        <w:t>Management plan for Dinefwr Park</w:t>
      </w:r>
    </w:p>
    <w:p w14:paraId="430201D6" w14:textId="77777777" w:rsidR="005A756B" w:rsidRDefault="005A756B" w:rsidP="00363F44">
      <w:pPr>
        <w:pStyle w:val="NormalWeb"/>
        <w:spacing w:before="0" w:beforeAutospacing="0" w:after="0" w:afterAutospacing="0" w:line="276" w:lineRule="auto"/>
        <w:rPr>
          <w:color w:val="0E101A"/>
          <w:sz w:val="28"/>
          <w:szCs w:val="28"/>
          <w:u w:val="single"/>
        </w:rPr>
      </w:pPr>
      <w:r w:rsidRPr="005A756B">
        <w:rPr>
          <w:color w:val="0E101A"/>
          <w:sz w:val="28"/>
          <w:szCs w:val="28"/>
          <w:u w:val="single"/>
        </w:rPr>
        <w:t>Introduction to the site:</w:t>
      </w:r>
    </w:p>
    <w:p w14:paraId="4A712CF5" w14:textId="77777777" w:rsidR="005A756B" w:rsidRPr="005A756B" w:rsidRDefault="005A756B" w:rsidP="00363F44">
      <w:pPr>
        <w:pStyle w:val="NormalWeb"/>
        <w:spacing w:before="0" w:beforeAutospacing="0" w:after="0" w:afterAutospacing="0" w:line="276" w:lineRule="auto"/>
        <w:rPr>
          <w:color w:val="0E101A"/>
          <w:sz w:val="28"/>
          <w:szCs w:val="28"/>
        </w:rPr>
      </w:pPr>
    </w:p>
    <w:p w14:paraId="3F0D58EA" w14:textId="77777777" w:rsidR="005A756B" w:rsidRDefault="005A756B" w:rsidP="00363F44">
      <w:pPr>
        <w:pStyle w:val="NormalWeb"/>
        <w:spacing w:before="0" w:beforeAutospacing="0" w:after="0" w:afterAutospacing="0" w:line="276" w:lineRule="auto"/>
        <w:rPr>
          <w:color w:val="0E101A"/>
        </w:rPr>
      </w:pPr>
      <w:r>
        <w:rPr>
          <w:color w:val="0E101A"/>
        </w:rPr>
        <w:t>Dinefwr Park, in Wales, is the historical birthplace of the seventeenth-century ‘Newton House’ and its grounds are surrounded by the National Nature Reserve and an eighteenth-century landscape known as the ‘Deer Park’(National Trust). This is an area of SSSI, it must be protected, and conserve the wildlife and geology in the park (Biodiversity and the natural environment n.d). Alongside this, Sites of Special Scientific Interest conserve the most important landscapes nationally (Biodiversity and the natural environment). Furthermore, on the outskirts of the park lives a twelfth-century fortress that is under the protection of CADW (National Trust); CADW is the Welsh historic environment service that aims to make historical sites accessible as well as keep them protected (Introducing CADW, 2019, p3). The National Trust also hires outdoor activity providers to protect landscapes and wildlife areas with their main role prioritizing conservation, though they are also called upon to arrange events such as cycle rides, charity fundraisers, rock climbing, and gorge working (National Trust); Parks and outdoor recreation areas should be managed in ways that provide outdoor recreation opportunities but also protect a parks resources and the quality of the visitor experience (Manning &amp; Anderson, 2012, p232). This information highlights the need for a management plan that conserves all areas of the park, as well as introduces high-quality outdoor recreational activities to increase visitor enjoyment. </w:t>
      </w:r>
    </w:p>
    <w:p w14:paraId="2F2A8682" w14:textId="77777777" w:rsidR="005A756B" w:rsidRDefault="005A756B" w:rsidP="00363F44">
      <w:pPr>
        <w:pStyle w:val="NormalWeb"/>
        <w:spacing w:before="0" w:beforeAutospacing="0" w:after="0" w:afterAutospacing="0" w:line="276" w:lineRule="auto"/>
        <w:rPr>
          <w:color w:val="0E101A"/>
        </w:rPr>
      </w:pPr>
    </w:p>
    <w:p w14:paraId="7E18F19B" w14:textId="77777777" w:rsidR="005A756B" w:rsidRDefault="005A756B" w:rsidP="00363F44">
      <w:pPr>
        <w:pStyle w:val="NormalWeb"/>
        <w:spacing w:before="0" w:beforeAutospacing="0" w:after="0" w:afterAutospacing="0" w:line="276" w:lineRule="auto"/>
        <w:rPr>
          <w:color w:val="0E101A"/>
          <w:sz w:val="28"/>
          <w:szCs w:val="28"/>
          <w:u w:val="single"/>
        </w:rPr>
      </w:pPr>
      <w:r w:rsidRPr="005A756B">
        <w:rPr>
          <w:color w:val="0E101A"/>
          <w:sz w:val="28"/>
          <w:szCs w:val="28"/>
          <w:u w:val="single"/>
        </w:rPr>
        <w:t>The Management Plan </w:t>
      </w:r>
    </w:p>
    <w:p w14:paraId="2830C6B2" w14:textId="77777777" w:rsidR="005A756B" w:rsidRPr="005A756B" w:rsidRDefault="005A756B" w:rsidP="00363F44">
      <w:pPr>
        <w:pStyle w:val="NormalWeb"/>
        <w:spacing w:before="0" w:beforeAutospacing="0" w:after="0" w:afterAutospacing="0" w:line="276" w:lineRule="auto"/>
        <w:rPr>
          <w:color w:val="0E101A"/>
          <w:sz w:val="28"/>
          <w:szCs w:val="28"/>
        </w:rPr>
      </w:pPr>
    </w:p>
    <w:p w14:paraId="1DF9B707" w14:textId="77777777" w:rsidR="005A756B" w:rsidRDefault="005A756B" w:rsidP="00363F44">
      <w:pPr>
        <w:pStyle w:val="NormalWeb"/>
        <w:spacing w:before="0" w:beforeAutospacing="0" w:after="0" w:afterAutospacing="0" w:line="276" w:lineRule="auto"/>
        <w:rPr>
          <w:color w:val="0E101A"/>
        </w:rPr>
      </w:pPr>
      <w:r>
        <w:rPr>
          <w:color w:val="0E101A"/>
        </w:rPr>
        <w:t>To begin the management plan, I will be using the ‘management by objectives’ framework suggested by Manning (2017, p28); Following this framework allows me to define, measure, monitor, and manage the sustainability of parks for outdoor recreation (Manning 2017, p28). See </w:t>
      </w:r>
      <w:r>
        <w:rPr>
          <w:rStyle w:val="Strong"/>
          <w:color w:val="0E101A"/>
        </w:rPr>
        <w:t>Figure one</w:t>
      </w:r>
      <w:r>
        <w:rPr>
          <w:color w:val="0E101A"/>
        </w:rPr>
        <w:t> for a step-by-step process of this plan.</w:t>
      </w:r>
    </w:p>
    <w:p w14:paraId="1FC556F4" w14:textId="77777777" w:rsidR="005A756B" w:rsidRDefault="005A756B" w:rsidP="00363F44">
      <w:pPr>
        <w:pStyle w:val="NormalWeb"/>
        <w:spacing w:before="0" w:beforeAutospacing="0" w:after="0" w:afterAutospacing="0" w:line="276" w:lineRule="auto"/>
        <w:rPr>
          <w:color w:val="0E101A"/>
        </w:rPr>
      </w:pPr>
    </w:p>
    <w:p w14:paraId="6747CA05" w14:textId="06FC3EBA" w:rsidR="00340A65" w:rsidRPr="00443667" w:rsidRDefault="00340A65" w:rsidP="00363F44">
      <w:pPr>
        <w:spacing w:line="276" w:lineRule="auto"/>
        <w:rPr>
          <w:rFonts w:ascii="Times New Roman" w:hAnsi="Times New Roman" w:cs="Times New Roman"/>
          <w:sz w:val="28"/>
          <w:szCs w:val="28"/>
        </w:rPr>
      </w:pPr>
      <w:r w:rsidRPr="00443667">
        <w:rPr>
          <w:rFonts w:ascii="Times New Roman" w:hAnsi="Times New Roman" w:cs="Times New Roman"/>
          <w:b/>
          <w:bCs/>
          <w:sz w:val="28"/>
          <w:szCs w:val="28"/>
        </w:rPr>
        <w:t>Figure one</w:t>
      </w:r>
    </w:p>
    <w:tbl>
      <w:tblPr>
        <w:tblStyle w:val="TableGrid"/>
        <w:tblW w:w="0" w:type="auto"/>
        <w:tblLook w:val="04A0" w:firstRow="1" w:lastRow="0" w:firstColumn="1" w:lastColumn="0" w:noHBand="0" w:noVBand="1"/>
      </w:tblPr>
      <w:tblGrid>
        <w:gridCol w:w="2254"/>
        <w:gridCol w:w="2254"/>
        <w:gridCol w:w="2254"/>
        <w:gridCol w:w="2254"/>
      </w:tblGrid>
      <w:tr w:rsidR="00D850C9" w:rsidRPr="00A57069" w14:paraId="55A96893" w14:textId="77777777" w:rsidTr="00D850C9">
        <w:tc>
          <w:tcPr>
            <w:tcW w:w="2254" w:type="dxa"/>
          </w:tcPr>
          <w:p w14:paraId="6F5B4CC1" w14:textId="47BE450B" w:rsidR="00D850C9" w:rsidRPr="00A57069" w:rsidRDefault="00A500A7" w:rsidP="00363F44">
            <w:pPr>
              <w:spacing w:line="276" w:lineRule="auto"/>
              <w:jc w:val="right"/>
              <w:rPr>
                <w:rFonts w:ascii="Times New Roman" w:hAnsi="Times New Roman" w:cs="Times New Roman"/>
                <w:sz w:val="24"/>
                <w:szCs w:val="24"/>
              </w:rPr>
            </w:pPr>
            <w:r w:rsidRPr="00A57069">
              <w:rPr>
                <w:rFonts w:ascii="Times New Roman" w:hAnsi="Times New Roman" w:cs="Times New Roman"/>
                <w:sz w:val="24"/>
                <w:szCs w:val="24"/>
              </w:rPr>
              <w:t xml:space="preserve">Step 1: </w:t>
            </w:r>
            <w:r w:rsidR="00C12102" w:rsidRPr="00A57069">
              <w:rPr>
                <w:rFonts w:ascii="Times New Roman" w:hAnsi="Times New Roman" w:cs="Times New Roman"/>
                <w:sz w:val="24"/>
                <w:szCs w:val="24"/>
              </w:rPr>
              <w:t>What are the park conditions? What resources are available? What is the site like socially?</w:t>
            </w:r>
          </w:p>
        </w:tc>
        <w:tc>
          <w:tcPr>
            <w:tcW w:w="2254" w:type="dxa"/>
          </w:tcPr>
          <w:p w14:paraId="1C9C8A32" w14:textId="7763C8AB" w:rsidR="00D850C9" w:rsidRPr="00A57069" w:rsidRDefault="00C12102" w:rsidP="00363F44">
            <w:pPr>
              <w:spacing w:line="276" w:lineRule="auto"/>
              <w:jc w:val="right"/>
              <w:rPr>
                <w:rFonts w:ascii="Times New Roman" w:hAnsi="Times New Roman" w:cs="Times New Roman"/>
                <w:sz w:val="24"/>
                <w:szCs w:val="24"/>
              </w:rPr>
            </w:pPr>
            <w:r w:rsidRPr="00A57069">
              <w:rPr>
                <w:rFonts w:ascii="Times New Roman" w:hAnsi="Times New Roman" w:cs="Times New Roman"/>
                <w:sz w:val="24"/>
                <w:szCs w:val="24"/>
              </w:rPr>
              <w:t xml:space="preserve">Step 2: </w:t>
            </w:r>
            <w:r w:rsidR="008C4D8E" w:rsidRPr="00A57069">
              <w:rPr>
                <w:rFonts w:ascii="Times New Roman" w:hAnsi="Times New Roman" w:cs="Times New Roman"/>
                <w:sz w:val="24"/>
                <w:szCs w:val="24"/>
              </w:rPr>
              <w:t xml:space="preserve">What are the management objectives? </w:t>
            </w:r>
            <w:r w:rsidR="00357995" w:rsidRPr="00A57069">
              <w:rPr>
                <w:rFonts w:ascii="Times New Roman" w:hAnsi="Times New Roman" w:cs="Times New Roman"/>
                <w:sz w:val="24"/>
                <w:szCs w:val="24"/>
              </w:rPr>
              <w:t xml:space="preserve"> </w:t>
            </w:r>
            <w:r w:rsidR="007F58A5" w:rsidRPr="00A57069">
              <w:rPr>
                <w:rFonts w:ascii="Times New Roman" w:hAnsi="Times New Roman" w:cs="Times New Roman"/>
                <w:sz w:val="24"/>
                <w:szCs w:val="24"/>
              </w:rPr>
              <w:t xml:space="preserve">What </w:t>
            </w:r>
            <w:r w:rsidR="000B528D" w:rsidRPr="00A57069">
              <w:rPr>
                <w:rFonts w:ascii="Times New Roman" w:hAnsi="Times New Roman" w:cs="Times New Roman"/>
                <w:sz w:val="24"/>
                <w:szCs w:val="24"/>
              </w:rPr>
              <w:t xml:space="preserve">are </w:t>
            </w:r>
            <w:r w:rsidR="00071F64" w:rsidRPr="00A57069">
              <w:rPr>
                <w:rFonts w:ascii="Times New Roman" w:hAnsi="Times New Roman" w:cs="Times New Roman"/>
                <w:sz w:val="24"/>
                <w:szCs w:val="24"/>
              </w:rPr>
              <w:t>the best way</w:t>
            </w:r>
            <w:r w:rsidR="000B528D" w:rsidRPr="00A57069">
              <w:rPr>
                <w:rFonts w:ascii="Times New Roman" w:hAnsi="Times New Roman" w:cs="Times New Roman"/>
                <w:sz w:val="24"/>
                <w:szCs w:val="24"/>
              </w:rPr>
              <w:t>s</w:t>
            </w:r>
            <w:r w:rsidR="00071F64" w:rsidRPr="00A57069">
              <w:rPr>
                <w:rFonts w:ascii="Times New Roman" w:hAnsi="Times New Roman" w:cs="Times New Roman"/>
                <w:sz w:val="24"/>
                <w:szCs w:val="24"/>
              </w:rPr>
              <w:t xml:space="preserve"> to </w:t>
            </w:r>
            <w:r w:rsidR="000B528D" w:rsidRPr="00A57069">
              <w:rPr>
                <w:rFonts w:ascii="Times New Roman" w:hAnsi="Times New Roman" w:cs="Times New Roman"/>
                <w:sz w:val="24"/>
                <w:szCs w:val="24"/>
              </w:rPr>
              <w:t xml:space="preserve">implement </w:t>
            </w:r>
            <w:r w:rsidR="00071F64" w:rsidRPr="00A57069">
              <w:rPr>
                <w:rFonts w:ascii="Times New Roman" w:hAnsi="Times New Roman" w:cs="Times New Roman"/>
                <w:sz w:val="24"/>
                <w:szCs w:val="24"/>
              </w:rPr>
              <w:t xml:space="preserve">this? </w:t>
            </w:r>
          </w:p>
        </w:tc>
        <w:tc>
          <w:tcPr>
            <w:tcW w:w="2254" w:type="dxa"/>
          </w:tcPr>
          <w:p w14:paraId="20AB7EE8" w14:textId="50329451" w:rsidR="00D850C9" w:rsidRPr="00A57069" w:rsidRDefault="00071F64" w:rsidP="00363F44">
            <w:pPr>
              <w:spacing w:line="276" w:lineRule="auto"/>
              <w:jc w:val="right"/>
              <w:rPr>
                <w:rFonts w:ascii="Times New Roman" w:hAnsi="Times New Roman" w:cs="Times New Roman"/>
                <w:sz w:val="24"/>
                <w:szCs w:val="24"/>
              </w:rPr>
            </w:pPr>
            <w:r w:rsidRPr="00A57069">
              <w:rPr>
                <w:rFonts w:ascii="Times New Roman" w:hAnsi="Times New Roman" w:cs="Times New Roman"/>
                <w:sz w:val="24"/>
                <w:szCs w:val="24"/>
              </w:rPr>
              <w:t xml:space="preserve">Step 3: </w:t>
            </w:r>
            <w:r w:rsidR="002D69C0" w:rsidRPr="00A57069">
              <w:rPr>
                <w:rFonts w:ascii="Times New Roman" w:hAnsi="Times New Roman" w:cs="Times New Roman"/>
                <w:sz w:val="24"/>
                <w:szCs w:val="24"/>
              </w:rPr>
              <w:t>How to apply</w:t>
            </w:r>
            <w:r w:rsidRPr="00A57069">
              <w:rPr>
                <w:rFonts w:ascii="Times New Roman" w:hAnsi="Times New Roman" w:cs="Times New Roman"/>
                <w:sz w:val="24"/>
                <w:szCs w:val="24"/>
              </w:rPr>
              <w:t xml:space="preserve"> management practices</w:t>
            </w:r>
            <w:r w:rsidR="002D69C0" w:rsidRPr="00A57069">
              <w:rPr>
                <w:rFonts w:ascii="Times New Roman" w:hAnsi="Times New Roman" w:cs="Times New Roman"/>
                <w:sz w:val="24"/>
                <w:szCs w:val="24"/>
              </w:rPr>
              <w:t>?</w:t>
            </w:r>
            <w:r w:rsidR="00E43CBD" w:rsidRPr="00A57069">
              <w:rPr>
                <w:rFonts w:ascii="Times New Roman" w:hAnsi="Times New Roman" w:cs="Times New Roman"/>
                <w:sz w:val="24"/>
                <w:szCs w:val="24"/>
              </w:rPr>
              <w:t xml:space="preserve"> What are the associated indicators and standards?</w:t>
            </w:r>
            <w:r w:rsidR="00145F62" w:rsidRPr="00A57069">
              <w:rPr>
                <w:rFonts w:ascii="Times New Roman" w:hAnsi="Times New Roman" w:cs="Times New Roman"/>
                <w:sz w:val="24"/>
                <w:szCs w:val="24"/>
              </w:rPr>
              <w:t xml:space="preserve"> </w:t>
            </w:r>
          </w:p>
          <w:p w14:paraId="3C6E50F1" w14:textId="3F70D0C6" w:rsidR="00145F62" w:rsidRPr="00A57069" w:rsidRDefault="00145F62" w:rsidP="00363F44">
            <w:pPr>
              <w:spacing w:line="276" w:lineRule="auto"/>
              <w:jc w:val="right"/>
              <w:rPr>
                <w:rFonts w:ascii="Times New Roman" w:hAnsi="Times New Roman" w:cs="Times New Roman"/>
                <w:sz w:val="24"/>
                <w:szCs w:val="24"/>
              </w:rPr>
            </w:pPr>
          </w:p>
        </w:tc>
        <w:tc>
          <w:tcPr>
            <w:tcW w:w="2254" w:type="dxa"/>
          </w:tcPr>
          <w:p w14:paraId="69E013A7" w14:textId="292F6B39" w:rsidR="00D850C9" w:rsidRPr="00A57069" w:rsidRDefault="002D69C0" w:rsidP="00363F44">
            <w:pPr>
              <w:spacing w:line="276" w:lineRule="auto"/>
              <w:jc w:val="right"/>
              <w:rPr>
                <w:rFonts w:ascii="Times New Roman" w:hAnsi="Times New Roman" w:cs="Times New Roman"/>
                <w:sz w:val="24"/>
                <w:szCs w:val="24"/>
              </w:rPr>
            </w:pPr>
            <w:r w:rsidRPr="00A57069">
              <w:rPr>
                <w:rFonts w:ascii="Times New Roman" w:hAnsi="Times New Roman" w:cs="Times New Roman"/>
                <w:sz w:val="24"/>
                <w:szCs w:val="24"/>
              </w:rPr>
              <w:t xml:space="preserve">Step 4: </w:t>
            </w:r>
            <w:r w:rsidR="00ED7AC2" w:rsidRPr="00A57069">
              <w:rPr>
                <w:rFonts w:ascii="Times New Roman" w:hAnsi="Times New Roman" w:cs="Times New Roman"/>
                <w:sz w:val="24"/>
                <w:szCs w:val="24"/>
              </w:rPr>
              <w:t xml:space="preserve">How </w:t>
            </w:r>
            <w:r w:rsidR="002074E7" w:rsidRPr="00A57069">
              <w:rPr>
                <w:rFonts w:ascii="Times New Roman" w:hAnsi="Times New Roman" w:cs="Times New Roman"/>
                <w:sz w:val="24"/>
                <w:szCs w:val="24"/>
              </w:rPr>
              <w:t>to</w:t>
            </w:r>
            <w:r w:rsidR="00ED7AC2" w:rsidRPr="00A57069">
              <w:rPr>
                <w:rFonts w:ascii="Times New Roman" w:hAnsi="Times New Roman" w:cs="Times New Roman"/>
                <w:sz w:val="24"/>
                <w:szCs w:val="24"/>
              </w:rPr>
              <w:t xml:space="preserve"> monitor and evaluate its success?</w:t>
            </w:r>
          </w:p>
          <w:p w14:paraId="6F2410E7" w14:textId="40C71126" w:rsidR="00ED7AC2" w:rsidRPr="00A57069" w:rsidRDefault="00ED7AC2" w:rsidP="00363F44">
            <w:pPr>
              <w:spacing w:line="276" w:lineRule="auto"/>
              <w:jc w:val="right"/>
              <w:rPr>
                <w:rFonts w:ascii="Times New Roman" w:hAnsi="Times New Roman" w:cs="Times New Roman"/>
                <w:sz w:val="24"/>
                <w:szCs w:val="24"/>
              </w:rPr>
            </w:pPr>
          </w:p>
        </w:tc>
      </w:tr>
    </w:tbl>
    <w:p w14:paraId="3E093656" w14:textId="77777777" w:rsidR="00D76539" w:rsidRPr="00A57069" w:rsidRDefault="00D76539" w:rsidP="00363F44">
      <w:pPr>
        <w:spacing w:line="276" w:lineRule="auto"/>
        <w:rPr>
          <w:rFonts w:ascii="Times New Roman" w:hAnsi="Times New Roman" w:cs="Times New Roman"/>
          <w:sz w:val="24"/>
          <w:szCs w:val="24"/>
        </w:rPr>
      </w:pPr>
    </w:p>
    <w:p w14:paraId="0212E137" w14:textId="42E0A8C1" w:rsidR="003E5757" w:rsidRDefault="003E5757" w:rsidP="00363F44">
      <w:pPr>
        <w:pStyle w:val="NormalWeb"/>
        <w:spacing w:before="0" w:beforeAutospacing="0" w:after="0" w:afterAutospacing="0" w:line="276" w:lineRule="auto"/>
        <w:rPr>
          <w:color w:val="0E101A"/>
        </w:rPr>
      </w:pPr>
      <w:r w:rsidRPr="00EE3470">
        <w:rPr>
          <w:color w:val="0E101A"/>
          <w:sz w:val="28"/>
          <w:szCs w:val="28"/>
          <w:u w:val="single"/>
        </w:rPr>
        <w:t>Step 1:</w:t>
      </w:r>
      <w:r w:rsidRPr="00EE3470">
        <w:rPr>
          <w:color w:val="0E101A"/>
          <w:sz w:val="28"/>
          <w:szCs w:val="28"/>
        </w:rPr>
        <w:t> </w:t>
      </w:r>
      <w:r>
        <w:rPr>
          <w:color w:val="0E101A"/>
        </w:rPr>
        <w:t>What are the parks: Location, and condition of natural and cultural resources, the characteristics, needs, and wants of visitors and potential visitors, management issues</w:t>
      </w:r>
      <w:r w:rsidR="0067165F">
        <w:rPr>
          <w:color w:val="0E101A"/>
        </w:rPr>
        <w:t>,</w:t>
      </w:r>
      <w:r>
        <w:rPr>
          <w:color w:val="0E101A"/>
        </w:rPr>
        <w:t xml:space="preserve"> and associated potentials and constraints (Manning, 2017, p29).</w:t>
      </w:r>
    </w:p>
    <w:p w14:paraId="2850E7FD" w14:textId="77777777" w:rsidR="0067165F" w:rsidRDefault="0067165F" w:rsidP="00363F44">
      <w:pPr>
        <w:pStyle w:val="NormalWeb"/>
        <w:spacing w:before="0" w:beforeAutospacing="0" w:after="0" w:afterAutospacing="0" w:line="276" w:lineRule="auto"/>
        <w:rPr>
          <w:color w:val="0E101A"/>
        </w:rPr>
      </w:pPr>
    </w:p>
    <w:p w14:paraId="2956ADDC" w14:textId="64806A5E" w:rsidR="003E5757" w:rsidRDefault="003E5757" w:rsidP="00363F44">
      <w:pPr>
        <w:pStyle w:val="NormalWeb"/>
        <w:spacing w:before="0" w:beforeAutospacing="0" w:after="0" w:afterAutospacing="0" w:line="276" w:lineRule="auto"/>
        <w:rPr>
          <w:color w:val="0E101A"/>
        </w:rPr>
      </w:pPr>
      <w:r>
        <w:rPr>
          <w:color w:val="0E101A"/>
        </w:rPr>
        <w:lastRenderedPageBreak/>
        <w:t>Dinefwr Park is located in Llandilo, Carmarthenshire, and is a Site of Special Scientific Interest; It has 800 acres of parkland, a manor house</w:t>
      </w:r>
      <w:r w:rsidR="0067165F">
        <w:rPr>
          <w:color w:val="0E101A"/>
        </w:rPr>
        <w:t>,</w:t>
      </w:r>
      <w:r>
        <w:rPr>
          <w:color w:val="0E101A"/>
        </w:rPr>
        <w:t xml:space="preserve"> and a medieval fortress, and is home to deer, veteran trees, and wildflower meadows (National Trust). The park is only open for six months of the year and the deer park is closed from November to March (National Trust). The estate slopes into level fields that form the Tywi Floodplain; Here you can see small lakes and a range of wildlife such as deer, birds</w:t>
      </w:r>
      <w:r w:rsidR="0067165F">
        <w:rPr>
          <w:color w:val="0E101A"/>
        </w:rPr>
        <w:t>,</w:t>
      </w:r>
      <w:r>
        <w:rPr>
          <w:color w:val="0E101A"/>
        </w:rPr>
        <w:t xml:space="preserve"> and insects (National Trust). On-site there is a three-mile trail that surrounds the park, this trail is partly elevated from the ground, and the terrain is mostly even though not accessible for pushchairs or wheelchairs (National Trust). There is one walk that is accessible for everyone, and it is paved with concrete (First Nature, 2023), though the need for more accessible trails is highlighted here. This trail is used for cycling as well as walking (National Trust). </w:t>
      </w:r>
    </w:p>
    <w:p w14:paraId="11E23E59" w14:textId="77777777" w:rsidR="0067165F" w:rsidRDefault="0067165F" w:rsidP="00363F44">
      <w:pPr>
        <w:pStyle w:val="NormalWeb"/>
        <w:spacing w:before="0" w:beforeAutospacing="0" w:after="0" w:afterAutospacing="0" w:line="276" w:lineRule="auto"/>
        <w:rPr>
          <w:color w:val="0E101A"/>
        </w:rPr>
      </w:pPr>
    </w:p>
    <w:p w14:paraId="7D589136" w14:textId="77777777" w:rsidR="003E5757" w:rsidRDefault="003E5757" w:rsidP="00363F44">
      <w:pPr>
        <w:pStyle w:val="NormalWeb"/>
        <w:spacing w:before="0" w:beforeAutospacing="0" w:after="0" w:afterAutospacing="0" w:line="276" w:lineRule="auto"/>
        <w:rPr>
          <w:color w:val="0E101A"/>
        </w:rPr>
      </w:pPr>
      <w:r>
        <w:rPr>
          <w:color w:val="0E101A"/>
        </w:rPr>
        <w:t>The park attracts twenty-thousand visitors annually (Norman, 2020); Visitors come to Dinefwr Park for a variety of reasons, these include seeing its rich variety of wildlife, learning about the history of the site, and because it is the only National Trust Parkland in Wales providing guests with a microcosm of Welsh heritage and history (National Trust, Kaz, 2023). Recently however, the Welsh public has been in upheaval surrounding entry prices to the park, the general manager of the park has responded by declaring that the Park does not receive government funding and therefore relies on the donations and membership renewals of the public in order to keep the site running (Meakin, 2015). He further states that they use £75,000 every year on footpath maintenance to ensure all trails are fit for people to enjoy (Meakin, 2015). This conveys that the financial restraints of the park are affecting visitors' use of the National Trust, highlighting potential management issues for the Parks success as they rely on guests for their income. It also shows potential room for an increase in outdoor recreational activities so that the park can bring in more visitors and earn more revenue to conserve the park.</w:t>
      </w:r>
    </w:p>
    <w:p w14:paraId="0A6CEF51" w14:textId="77777777" w:rsidR="0067165F" w:rsidRDefault="0067165F" w:rsidP="00363F44">
      <w:pPr>
        <w:pStyle w:val="NormalWeb"/>
        <w:spacing w:before="0" w:beforeAutospacing="0" w:after="0" w:afterAutospacing="0" w:line="276" w:lineRule="auto"/>
        <w:rPr>
          <w:color w:val="0E101A"/>
        </w:rPr>
      </w:pPr>
    </w:p>
    <w:p w14:paraId="49C7AF9D" w14:textId="77777777" w:rsidR="003E5757" w:rsidRDefault="003E5757" w:rsidP="00363F44">
      <w:pPr>
        <w:pStyle w:val="NormalWeb"/>
        <w:spacing w:before="0" w:beforeAutospacing="0" w:after="0" w:afterAutospacing="0" w:line="276" w:lineRule="auto"/>
        <w:rPr>
          <w:color w:val="0E101A"/>
        </w:rPr>
      </w:pPr>
      <w:r>
        <w:rPr>
          <w:color w:val="0E101A"/>
        </w:rPr>
        <w:t>Currently, the National Trust hires outdoor activity providers to protect landscapes and wildlife areas with their main role prioritizing conservation, though they are also called upon to arrange events such as cycle rides, charity fundraisers, rock climbing, and gorge working (National Trust). In order for this collaboration to work, the ‘Active Outdoor Providers Scheme’ is in place to ensure the site is managed to reduce impacts on the environment, the local community, and the overall effect of all users on the site (National Trust). This suggests more events could be provided by the outdoor companies and surveys could be collated to see if this improves visitor satisfaction rate, ultimately making them want to visit again. As well as this, these outdoor providers are trained in sustainability and conservation aiding the development of the park further without adding extra costs. </w:t>
      </w:r>
    </w:p>
    <w:p w14:paraId="5C885E0A" w14:textId="77777777" w:rsidR="0067165F" w:rsidRDefault="0067165F" w:rsidP="00363F44">
      <w:pPr>
        <w:pStyle w:val="NormalWeb"/>
        <w:spacing w:before="0" w:beforeAutospacing="0" w:after="0" w:afterAutospacing="0" w:line="276" w:lineRule="auto"/>
        <w:rPr>
          <w:color w:val="0E101A"/>
        </w:rPr>
      </w:pPr>
    </w:p>
    <w:p w14:paraId="0CA90290" w14:textId="77777777" w:rsidR="003E5757" w:rsidRDefault="003E5757" w:rsidP="00363F44">
      <w:pPr>
        <w:pStyle w:val="NormalWeb"/>
        <w:spacing w:before="0" w:beforeAutospacing="0" w:after="0" w:afterAutospacing="0" w:line="276" w:lineRule="auto"/>
        <w:rPr>
          <w:color w:val="0E101A"/>
        </w:rPr>
      </w:pPr>
      <w:r w:rsidRPr="0067165F">
        <w:rPr>
          <w:color w:val="0E101A"/>
          <w:sz w:val="28"/>
          <w:szCs w:val="28"/>
          <w:u w:val="single"/>
        </w:rPr>
        <w:t>Step 2:</w:t>
      </w:r>
      <w:r w:rsidRPr="0067165F">
        <w:rPr>
          <w:color w:val="0E101A"/>
          <w:sz w:val="28"/>
          <w:szCs w:val="28"/>
        </w:rPr>
        <w:t> </w:t>
      </w:r>
      <w:r>
        <w:rPr>
          <w:color w:val="0E101A"/>
        </w:rPr>
        <w:t>What are the feasible management objectives and the best ways to implement them? What are the associated indicators and standards? (Manning, 2017 p29)</w:t>
      </w:r>
    </w:p>
    <w:p w14:paraId="0E9337D9" w14:textId="77777777" w:rsidR="0067165F" w:rsidRDefault="0067165F" w:rsidP="00363F44">
      <w:pPr>
        <w:pStyle w:val="NormalWeb"/>
        <w:spacing w:before="0" w:beforeAutospacing="0" w:after="0" w:afterAutospacing="0" w:line="276" w:lineRule="auto"/>
        <w:rPr>
          <w:color w:val="0E101A"/>
        </w:rPr>
      </w:pPr>
    </w:p>
    <w:p w14:paraId="4AD410B3" w14:textId="77777777" w:rsidR="003E5757" w:rsidRDefault="003E5757" w:rsidP="00363F44">
      <w:pPr>
        <w:pStyle w:val="NormalWeb"/>
        <w:spacing w:before="0" w:beforeAutospacing="0" w:after="0" w:afterAutospacing="0" w:line="276" w:lineRule="auto"/>
        <w:rPr>
          <w:color w:val="0E101A"/>
        </w:rPr>
      </w:pPr>
      <w:r>
        <w:rPr>
          <w:color w:val="0E101A"/>
        </w:rPr>
        <w:t xml:space="preserve">I have selected three different ways in which Dinefwr Park can manage their site productively whilst aligning itself with the eighteenth-century theme and conservational attributes. These </w:t>
      </w:r>
      <w:r>
        <w:rPr>
          <w:color w:val="0E101A"/>
        </w:rPr>
        <w:lastRenderedPageBreak/>
        <w:t>management opportunities will increase visitor satisfaction and increase revenue for the site. I believe that the following areas would all be beneficial in the upkeep of the National Trust site: information and education, zoning, and rules and regulations. Firstly, to address multiple issues at once, Dinefwr Park should use the practice of informing and educating visitors (Manning &amp; Anderson, 2012, p232). They should inform and educate visitors on the different areas of the park, such as the fortress, deer park and the wetlands to decrease any traffic on paths in the busy summer months as well as decrease impacts on the soil (Manning, 2017, p34), causing less money to be needed for reparations. The site should also inform guests of less busy times of the year they can access the park and promote the times when specific wildlife can be found. This will increase visitor satisfaction as well as the previously stated benefits and avoid overcrowding in the park (Manning, 2017, p34). </w:t>
      </w:r>
    </w:p>
    <w:p w14:paraId="454E21B2" w14:textId="77777777" w:rsidR="0067165F" w:rsidRDefault="0067165F" w:rsidP="00363F44">
      <w:pPr>
        <w:pStyle w:val="NormalWeb"/>
        <w:spacing w:before="0" w:beforeAutospacing="0" w:after="0" w:afterAutospacing="0" w:line="276" w:lineRule="auto"/>
        <w:rPr>
          <w:color w:val="0E101A"/>
        </w:rPr>
      </w:pPr>
    </w:p>
    <w:p w14:paraId="44917A52" w14:textId="77777777" w:rsidR="003E5757" w:rsidRDefault="003E5757" w:rsidP="00363F44">
      <w:pPr>
        <w:pStyle w:val="NormalWeb"/>
        <w:spacing w:before="0" w:beforeAutospacing="0" w:after="0" w:afterAutospacing="0" w:line="276" w:lineRule="auto"/>
        <w:rPr>
          <w:color w:val="0E101A"/>
        </w:rPr>
      </w:pPr>
      <w:r>
        <w:rPr>
          <w:color w:val="0E101A"/>
        </w:rPr>
        <w:t>Furthermore, zoning is when land and water environments are classified to their ecosystems and cultural resource protection requirements and their capacity to sustain and improve opportunities for visitors' experiences (Parks Canada Agency, 2022). In Dinefwr Park, zoning can be used on the different ecosystems at different times of the year to ensure they can be sustained. Zoning can help decrease the impact on soil in areas of the park as well as decrease antisocial behaviour as visitors will be predominantly in one or two places around the park. Although this may prevent guests from seeing the full extent of the Park, the zones allocated for enjoyment could be enhanced through outdoor recreational activities such as guided walks, bird watching or live showings of some of their animals. This would boost visitor satisfaction levels regardless of limited access to the park (Manning &amp; Anderson, 2012, p232). Lastly, rules and regulations could be introduced in parts of the park to ensure there is no littering or antisocial behaviour; Fines could also be used as a deterrent to prevent these things from happening. This will help site conservation as well as improve the livelihood of animals such as deer or cattle as they may be spooked by antisocial behaviour on site. </w:t>
      </w:r>
    </w:p>
    <w:p w14:paraId="10435696" w14:textId="77777777" w:rsidR="00786329" w:rsidRDefault="00786329" w:rsidP="00363F44">
      <w:pPr>
        <w:pStyle w:val="NormalWeb"/>
        <w:spacing w:before="0" w:beforeAutospacing="0" w:after="0" w:afterAutospacing="0" w:line="276" w:lineRule="auto"/>
        <w:rPr>
          <w:color w:val="0E101A"/>
        </w:rPr>
      </w:pPr>
    </w:p>
    <w:p w14:paraId="1C0E66B8" w14:textId="77777777" w:rsidR="003E5757" w:rsidRDefault="003E5757" w:rsidP="00363F44">
      <w:pPr>
        <w:pStyle w:val="NormalWeb"/>
        <w:spacing w:before="0" w:beforeAutospacing="0" w:after="0" w:afterAutospacing="0" w:line="276" w:lineRule="auto"/>
        <w:rPr>
          <w:color w:val="0E101A"/>
        </w:rPr>
      </w:pPr>
      <w:r w:rsidRPr="00786329">
        <w:rPr>
          <w:color w:val="0E101A"/>
          <w:sz w:val="28"/>
          <w:szCs w:val="28"/>
          <w:u w:val="single"/>
        </w:rPr>
        <w:t>Step 3:</w:t>
      </w:r>
      <w:r w:rsidRPr="00786329">
        <w:rPr>
          <w:color w:val="0E101A"/>
          <w:sz w:val="28"/>
          <w:szCs w:val="28"/>
        </w:rPr>
        <w:t> </w:t>
      </w:r>
      <w:r>
        <w:rPr>
          <w:color w:val="0E101A"/>
        </w:rPr>
        <w:t>What are the standards and indicators of quality? How can they be applied to the site? (Manning, 2017, p28).</w:t>
      </w:r>
    </w:p>
    <w:p w14:paraId="56514BC3" w14:textId="77777777" w:rsidR="00786329" w:rsidRDefault="00786329" w:rsidP="00363F44">
      <w:pPr>
        <w:pStyle w:val="NormalWeb"/>
        <w:spacing w:before="0" w:beforeAutospacing="0" w:after="0" w:afterAutospacing="0" w:line="276" w:lineRule="auto"/>
        <w:rPr>
          <w:color w:val="0E101A"/>
        </w:rPr>
      </w:pPr>
    </w:p>
    <w:p w14:paraId="6F876CE5" w14:textId="77777777" w:rsidR="003E5757" w:rsidRDefault="003E5757" w:rsidP="00363F44">
      <w:pPr>
        <w:pStyle w:val="NormalWeb"/>
        <w:spacing w:before="0" w:beforeAutospacing="0" w:after="0" w:afterAutospacing="0" w:line="276" w:lineRule="auto"/>
        <w:rPr>
          <w:color w:val="0E101A"/>
        </w:rPr>
      </w:pPr>
      <w:r>
        <w:rPr>
          <w:color w:val="0E101A"/>
        </w:rPr>
        <w:t>In regard to indicators and standards, the minimum standards of the park must be identified. Alongside this, I have suggested ways the management practices can be applied to the site itself. See </w:t>
      </w:r>
      <w:r>
        <w:rPr>
          <w:rStyle w:val="Strong"/>
          <w:color w:val="0E101A"/>
        </w:rPr>
        <w:t>Figure 2 </w:t>
      </w:r>
      <w:r>
        <w:rPr>
          <w:color w:val="0E101A"/>
        </w:rPr>
        <w:t>for a table regarding the standards of quality and their indicators and how they can be implemented in Dinefwr Park.</w:t>
      </w:r>
    </w:p>
    <w:p w14:paraId="3969750B" w14:textId="01B24DED" w:rsidR="003E5757" w:rsidRDefault="003E5757" w:rsidP="00363F44">
      <w:pPr>
        <w:pStyle w:val="NormalWeb"/>
        <w:spacing w:before="0" w:beforeAutospacing="0" w:after="0" w:afterAutospacing="0" w:line="276" w:lineRule="auto"/>
        <w:rPr>
          <w:color w:val="0E101A"/>
        </w:rPr>
      </w:pPr>
    </w:p>
    <w:p w14:paraId="1B820226" w14:textId="33B241B3" w:rsidR="00A006B0" w:rsidRPr="00443667" w:rsidRDefault="0090113E" w:rsidP="00363F44">
      <w:pPr>
        <w:spacing w:line="276" w:lineRule="auto"/>
        <w:rPr>
          <w:rFonts w:ascii="Times New Roman" w:hAnsi="Times New Roman" w:cs="Times New Roman"/>
          <w:b/>
          <w:bCs/>
          <w:sz w:val="28"/>
          <w:szCs w:val="28"/>
        </w:rPr>
      </w:pPr>
      <w:r w:rsidRPr="00443667">
        <w:rPr>
          <w:rFonts w:ascii="Times New Roman" w:hAnsi="Times New Roman" w:cs="Times New Roman"/>
          <w:b/>
          <w:bCs/>
          <w:sz w:val="28"/>
          <w:szCs w:val="28"/>
        </w:rPr>
        <w:t>Figure 2</w:t>
      </w:r>
    </w:p>
    <w:tbl>
      <w:tblPr>
        <w:tblStyle w:val="TableGrid"/>
        <w:tblW w:w="0" w:type="auto"/>
        <w:tblLook w:val="04A0" w:firstRow="1" w:lastRow="0" w:firstColumn="1" w:lastColumn="0" w:noHBand="0" w:noVBand="1"/>
      </w:tblPr>
      <w:tblGrid>
        <w:gridCol w:w="3090"/>
        <w:gridCol w:w="3241"/>
        <w:gridCol w:w="2685"/>
      </w:tblGrid>
      <w:tr w:rsidR="00D13C18" w:rsidRPr="00A57069" w14:paraId="79DA0807" w14:textId="19A5C238" w:rsidTr="00D13C18">
        <w:tc>
          <w:tcPr>
            <w:tcW w:w="3090" w:type="dxa"/>
          </w:tcPr>
          <w:p w14:paraId="6385FD3A" w14:textId="7F00A5BC" w:rsidR="00D13C18" w:rsidRPr="00A57069" w:rsidRDefault="00D13C18"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 xml:space="preserve">Minimum </w:t>
            </w:r>
            <w:r w:rsidR="003D428D">
              <w:rPr>
                <w:rFonts w:ascii="Times New Roman" w:hAnsi="Times New Roman" w:cs="Times New Roman"/>
                <w:sz w:val="24"/>
                <w:szCs w:val="24"/>
              </w:rPr>
              <w:t>Standards</w:t>
            </w:r>
            <w:r w:rsidRPr="00A57069">
              <w:rPr>
                <w:rFonts w:ascii="Times New Roman" w:hAnsi="Times New Roman" w:cs="Times New Roman"/>
                <w:sz w:val="24"/>
                <w:szCs w:val="24"/>
              </w:rPr>
              <w:t xml:space="preserve"> of Quality </w:t>
            </w:r>
          </w:p>
        </w:tc>
        <w:tc>
          <w:tcPr>
            <w:tcW w:w="3241" w:type="dxa"/>
          </w:tcPr>
          <w:p w14:paraId="265083B9" w14:textId="63C4143D" w:rsidR="00D13C18" w:rsidRPr="00A57069" w:rsidRDefault="00D13C18"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 xml:space="preserve">Indicators of </w:t>
            </w:r>
            <w:r w:rsidR="003D428D">
              <w:rPr>
                <w:rFonts w:ascii="Times New Roman" w:hAnsi="Times New Roman" w:cs="Times New Roman"/>
                <w:sz w:val="24"/>
                <w:szCs w:val="24"/>
              </w:rPr>
              <w:t>S</w:t>
            </w:r>
            <w:r w:rsidRPr="00A57069">
              <w:rPr>
                <w:rFonts w:ascii="Times New Roman" w:hAnsi="Times New Roman" w:cs="Times New Roman"/>
                <w:sz w:val="24"/>
                <w:szCs w:val="24"/>
              </w:rPr>
              <w:t>tandards</w:t>
            </w:r>
          </w:p>
        </w:tc>
        <w:tc>
          <w:tcPr>
            <w:tcW w:w="2685" w:type="dxa"/>
          </w:tcPr>
          <w:p w14:paraId="07189173" w14:textId="697362B8" w:rsidR="00D13C18" w:rsidRPr="00A57069" w:rsidRDefault="00D13C18"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How could this be implemented?</w:t>
            </w:r>
          </w:p>
        </w:tc>
      </w:tr>
      <w:tr w:rsidR="00CC0B16" w:rsidRPr="00A57069" w14:paraId="4E0B672E" w14:textId="77777777" w:rsidTr="00D13C18">
        <w:tc>
          <w:tcPr>
            <w:tcW w:w="3090" w:type="dxa"/>
          </w:tcPr>
          <w:p w14:paraId="602129EE" w14:textId="488E7FB2" w:rsidR="00CC0B16" w:rsidRPr="00A57069" w:rsidRDefault="00CC0B16" w:rsidP="00363F44">
            <w:pPr>
              <w:spacing w:line="276" w:lineRule="auto"/>
              <w:rPr>
                <w:rFonts w:ascii="Times New Roman" w:hAnsi="Times New Roman" w:cs="Times New Roman"/>
                <w:sz w:val="24"/>
                <w:szCs w:val="24"/>
              </w:rPr>
            </w:pPr>
            <w:r>
              <w:rPr>
                <w:rFonts w:ascii="Times New Roman" w:hAnsi="Times New Roman" w:cs="Times New Roman"/>
                <w:sz w:val="24"/>
                <w:szCs w:val="24"/>
              </w:rPr>
              <w:t xml:space="preserve">Wheelchair and Pushchair access </w:t>
            </w:r>
          </w:p>
        </w:tc>
        <w:tc>
          <w:tcPr>
            <w:tcW w:w="3241" w:type="dxa"/>
          </w:tcPr>
          <w:p w14:paraId="7352822C" w14:textId="6AC7031F" w:rsidR="00CC0B16" w:rsidRPr="00A57069" w:rsidRDefault="00DD1F68" w:rsidP="00363F44">
            <w:pPr>
              <w:spacing w:line="276" w:lineRule="auto"/>
              <w:rPr>
                <w:rFonts w:ascii="Times New Roman" w:hAnsi="Times New Roman" w:cs="Times New Roman"/>
                <w:sz w:val="24"/>
                <w:szCs w:val="24"/>
              </w:rPr>
            </w:pPr>
            <w:r>
              <w:rPr>
                <w:rFonts w:ascii="Times New Roman" w:hAnsi="Times New Roman" w:cs="Times New Roman"/>
                <w:sz w:val="24"/>
                <w:szCs w:val="24"/>
              </w:rPr>
              <w:t>These users are able to access most areas of the park.</w:t>
            </w:r>
          </w:p>
        </w:tc>
        <w:tc>
          <w:tcPr>
            <w:tcW w:w="2685" w:type="dxa"/>
          </w:tcPr>
          <w:p w14:paraId="3F58D5B5" w14:textId="6C0080CF" w:rsidR="00CC0B16" w:rsidRPr="00A57069" w:rsidRDefault="0018146B" w:rsidP="00363F44">
            <w:pPr>
              <w:spacing w:line="276" w:lineRule="auto"/>
              <w:rPr>
                <w:rFonts w:ascii="Times New Roman" w:hAnsi="Times New Roman" w:cs="Times New Roman"/>
                <w:sz w:val="24"/>
                <w:szCs w:val="24"/>
              </w:rPr>
            </w:pPr>
            <w:r>
              <w:rPr>
                <w:rFonts w:ascii="Times New Roman" w:hAnsi="Times New Roman" w:cs="Times New Roman"/>
                <w:sz w:val="24"/>
                <w:szCs w:val="24"/>
              </w:rPr>
              <w:t>S</w:t>
            </w:r>
            <w:r w:rsidR="003623F2">
              <w:rPr>
                <w:rFonts w:ascii="Times New Roman" w:hAnsi="Times New Roman" w:cs="Times New Roman"/>
                <w:sz w:val="24"/>
                <w:szCs w:val="24"/>
              </w:rPr>
              <w:t>hort</w:t>
            </w:r>
            <w:r>
              <w:rPr>
                <w:rFonts w:ascii="Times New Roman" w:hAnsi="Times New Roman" w:cs="Times New Roman"/>
                <w:sz w:val="24"/>
                <w:szCs w:val="24"/>
              </w:rPr>
              <w:t xml:space="preserve"> accessible </w:t>
            </w:r>
            <w:r w:rsidR="003623F2">
              <w:rPr>
                <w:rFonts w:ascii="Times New Roman" w:hAnsi="Times New Roman" w:cs="Times New Roman"/>
                <w:sz w:val="24"/>
                <w:szCs w:val="24"/>
              </w:rPr>
              <w:t>routes to sections of the park</w:t>
            </w:r>
            <w:r w:rsidR="00FD77D3">
              <w:rPr>
                <w:rFonts w:ascii="Times New Roman" w:hAnsi="Times New Roman" w:cs="Times New Roman"/>
                <w:sz w:val="24"/>
                <w:szCs w:val="24"/>
              </w:rPr>
              <w:t xml:space="preserve"> or offering off</w:t>
            </w:r>
            <w:r w:rsidR="003D428D">
              <w:rPr>
                <w:rFonts w:ascii="Times New Roman" w:hAnsi="Times New Roman" w:cs="Times New Roman"/>
                <w:sz w:val="24"/>
                <w:szCs w:val="24"/>
              </w:rPr>
              <w:t>-</w:t>
            </w:r>
            <w:r w:rsidR="00FD77D3">
              <w:rPr>
                <w:rFonts w:ascii="Times New Roman" w:hAnsi="Times New Roman" w:cs="Times New Roman"/>
                <w:sz w:val="24"/>
                <w:szCs w:val="24"/>
              </w:rPr>
              <w:t>road wheelchairs/prams.</w:t>
            </w:r>
          </w:p>
        </w:tc>
      </w:tr>
      <w:tr w:rsidR="00D13C18" w:rsidRPr="00A57069" w14:paraId="06D731C8" w14:textId="232C93B1" w:rsidTr="00D13C18">
        <w:tc>
          <w:tcPr>
            <w:tcW w:w="3090" w:type="dxa"/>
          </w:tcPr>
          <w:p w14:paraId="3C72DABF" w14:textId="3F634A15" w:rsidR="00D13C18" w:rsidRPr="00A57069" w:rsidRDefault="00D13C18"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lastRenderedPageBreak/>
              <w:t xml:space="preserve">Dog </w:t>
            </w:r>
            <w:r w:rsidR="00A7349F">
              <w:rPr>
                <w:rFonts w:ascii="Times New Roman" w:hAnsi="Times New Roman" w:cs="Times New Roman"/>
                <w:sz w:val="24"/>
                <w:szCs w:val="24"/>
              </w:rPr>
              <w:t>waste</w:t>
            </w:r>
            <w:r w:rsidRPr="00A57069">
              <w:rPr>
                <w:rFonts w:ascii="Times New Roman" w:hAnsi="Times New Roman" w:cs="Times New Roman"/>
                <w:sz w:val="24"/>
                <w:szCs w:val="24"/>
              </w:rPr>
              <w:t xml:space="preserve"> bins </w:t>
            </w:r>
            <w:r w:rsidR="003D428D">
              <w:rPr>
                <w:rFonts w:ascii="Times New Roman" w:hAnsi="Times New Roman" w:cs="Times New Roman"/>
                <w:sz w:val="24"/>
                <w:szCs w:val="24"/>
              </w:rPr>
              <w:t xml:space="preserve">are </w:t>
            </w:r>
            <w:r w:rsidRPr="00A57069">
              <w:rPr>
                <w:rFonts w:ascii="Times New Roman" w:hAnsi="Times New Roman" w:cs="Times New Roman"/>
                <w:sz w:val="24"/>
                <w:szCs w:val="24"/>
              </w:rPr>
              <w:t>available at all times.</w:t>
            </w:r>
          </w:p>
        </w:tc>
        <w:tc>
          <w:tcPr>
            <w:tcW w:w="3241" w:type="dxa"/>
          </w:tcPr>
          <w:p w14:paraId="1D3EA1F0" w14:textId="44D1C4C4" w:rsidR="00D13C18" w:rsidRPr="00A57069" w:rsidRDefault="00D13C18"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 xml:space="preserve">Dog </w:t>
            </w:r>
            <w:r w:rsidR="00A7349F">
              <w:rPr>
                <w:rFonts w:ascii="Times New Roman" w:hAnsi="Times New Roman" w:cs="Times New Roman"/>
                <w:sz w:val="24"/>
                <w:szCs w:val="24"/>
              </w:rPr>
              <w:t>waste</w:t>
            </w:r>
            <w:r w:rsidRPr="00A57069">
              <w:rPr>
                <w:rFonts w:ascii="Times New Roman" w:hAnsi="Times New Roman" w:cs="Times New Roman"/>
                <w:sz w:val="24"/>
                <w:szCs w:val="24"/>
              </w:rPr>
              <w:t xml:space="preserve"> is in the bins not on the floor </w:t>
            </w:r>
          </w:p>
        </w:tc>
        <w:tc>
          <w:tcPr>
            <w:tcW w:w="2685" w:type="dxa"/>
          </w:tcPr>
          <w:p w14:paraId="002AA44D" w14:textId="3A951E56" w:rsidR="00D13C18" w:rsidRPr="00A57069" w:rsidRDefault="00143FFC"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L</w:t>
            </w:r>
            <w:r w:rsidR="00D13C18" w:rsidRPr="00A57069">
              <w:rPr>
                <w:rFonts w:ascii="Times New Roman" w:hAnsi="Times New Roman" w:cs="Times New Roman"/>
                <w:sz w:val="24"/>
                <w:szCs w:val="24"/>
              </w:rPr>
              <w:t xml:space="preserve">ocated every </w:t>
            </w:r>
            <w:r w:rsidR="00853AE1" w:rsidRPr="00A57069">
              <w:rPr>
                <w:rFonts w:ascii="Times New Roman" w:hAnsi="Times New Roman" w:cs="Times New Roman"/>
                <w:sz w:val="24"/>
                <w:szCs w:val="24"/>
              </w:rPr>
              <w:t>300-5</w:t>
            </w:r>
            <w:r w:rsidR="00D13C18" w:rsidRPr="00A57069">
              <w:rPr>
                <w:rFonts w:ascii="Times New Roman" w:hAnsi="Times New Roman" w:cs="Times New Roman"/>
                <w:sz w:val="24"/>
                <w:szCs w:val="24"/>
              </w:rPr>
              <w:t>00 meters around the park</w:t>
            </w:r>
            <w:r w:rsidRPr="00A57069">
              <w:rPr>
                <w:rFonts w:ascii="Times New Roman" w:hAnsi="Times New Roman" w:cs="Times New Roman"/>
                <w:sz w:val="24"/>
                <w:szCs w:val="24"/>
              </w:rPr>
              <w:t xml:space="preserve">, bins </w:t>
            </w:r>
            <w:r w:rsidR="003D428D">
              <w:rPr>
                <w:rFonts w:ascii="Times New Roman" w:hAnsi="Times New Roman" w:cs="Times New Roman"/>
                <w:sz w:val="24"/>
                <w:szCs w:val="24"/>
              </w:rPr>
              <w:t xml:space="preserve">are </w:t>
            </w:r>
            <w:r w:rsidRPr="00A57069">
              <w:rPr>
                <w:rFonts w:ascii="Times New Roman" w:hAnsi="Times New Roman" w:cs="Times New Roman"/>
                <w:sz w:val="24"/>
                <w:szCs w:val="24"/>
              </w:rPr>
              <w:t>collected every two weeks to prevent nasty smells.</w:t>
            </w:r>
          </w:p>
        </w:tc>
      </w:tr>
      <w:tr w:rsidR="00D13C18" w:rsidRPr="00A57069" w14:paraId="75BA1D4A" w14:textId="17A59F68" w:rsidTr="00D13C18">
        <w:tc>
          <w:tcPr>
            <w:tcW w:w="3090" w:type="dxa"/>
          </w:tcPr>
          <w:p w14:paraId="089D84F9" w14:textId="55B71536" w:rsidR="00D13C18" w:rsidRPr="00A57069" w:rsidRDefault="00D13C18"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 xml:space="preserve">No more than seventy-five </w:t>
            </w:r>
            <w:r w:rsidR="00853AE1" w:rsidRPr="00A57069">
              <w:rPr>
                <w:rFonts w:ascii="Times New Roman" w:hAnsi="Times New Roman" w:cs="Times New Roman"/>
                <w:sz w:val="24"/>
                <w:szCs w:val="24"/>
              </w:rPr>
              <w:t xml:space="preserve">guests </w:t>
            </w:r>
            <w:r w:rsidRPr="00A57069">
              <w:rPr>
                <w:rFonts w:ascii="Times New Roman" w:hAnsi="Times New Roman" w:cs="Times New Roman"/>
                <w:sz w:val="24"/>
                <w:szCs w:val="24"/>
              </w:rPr>
              <w:t xml:space="preserve">in each acre of the park </w:t>
            </w:r>
            <w:r w:rsidR="000F6D36" w:rsidRPr="00A57069">
              <w:rPr>
                <w:rFonts w:ascii="Times New Roman" w:hAnsi="Times New Roman" w:cs="Times New Roman"/>
                <w:sz w:val="24"/>
                <w:szCs w:val="24"/>
              </w:rPr>
              <w:t>– aligns with ROS</w:t>
            </w:r>
            <w:r w:rsidR="00DF6F6C">
              <w:rPr>
                <w:rFonts w:ascii="Times New Roman" w:hAnsi="Times New Roman" w:cs="Times New Roman"/>
                <w:sz w:val="24"/>
                <w:szCs w:val="24"/>
              </w:rPr>
              <w:t>.</w:t>
            </w:r>
          </w:p>
        </w:tc>
        <w:tc>
          <w:tcPr>
            <w:tcW w:w="3241" w:type="dxa"/>
          </w:tcPr>
          <w:p w14:paraId="1E030A98" w14:textId="41265A91" w:rsidR="00D13C18" w:rsidRPr="00A57069" w:rsidRDefault="00853AE1"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A</w:t>
            </w:r>
            <w:r w:rsidR="00D13C18" w:rsidRPr="00A57069">
              <w:rPr>
                <w:rFonts w:ascii="Times New Roman" w:hAnsi="Times New Roman" w:cs="Times New Roman"/>
                <w:sz w:val="24"/>
                <w:szCs w:val="24"/>
              </w:rPr>
              <w:t>reas are not overcrowded.</w:t>
            </w:r>
          </w:p>
        </w:tc>
        <w:tc>
          <w:tcPr>
            <w:tcW w:w="2685" w:type="dxa"/>
          </w:tcPr>
          <w:p w14:paraId="47E113AD" w14:textId="37AA63F5" w:rsidR="00D13C18" w:rsidRPr="00A57069" w:rsidRDefault="00853AE1"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 xml:space="preserve">Visitors are tallied </w:t>
            </w:r>
            <w:r w:rsidR="00A7349F">
              <w:rPr>
                <w:rFonts w:ascii="Times New Roman" w:hAnsi="Times New Roman" w:cs="Times New Roman"/>
                <w:sz w:val="24"/>
                <w:szCs w:val="24"/>
              </w:rPr>
              <w:t>into</w:t>
            </w:r>
            <w:r w:rsidRPr="00A57069">
              <w:rPr>
                <w:rFonts w:ascii="Times New Roman" w:hAnsi="Times New Roman" w:cs="Times New Roman"/>
                <w:sz w:val="24"/>
                <w:szCs w:val="24"/>
              </w:rPr>
              <w:t xml:space="preserve"> the </w:t>
            </w:r>
            <w:r w:rsidR="00C120D0" w:rsidRPr="00A57069">
              <w:rPr>
                <w:rFonts w:ascii="Times New Roman" w:hAnsi="Times New Roman" w:cs="Times New Roman"/>
                <w:sz w:val="24"/>
                <w:szCs w:val="24"/>
              </w:rPr>
              <w:t xml:space="preserve">different </w:t>
            </w:r>
            <w:r w:rsidRPr="00A57069">
              <w:rPr>
                <w:rFonts w:ascii="Times New Roman" w:hAnsi="Times New Roman" w:cs="Times New Roman"/>
                <w:sz w:val="24"/>
                <w:szCs w:val="24"/>
              </w:rPr>
              <w:t>area</w:t>
            </w:r>
            <w:r w:rsidR="00C120D0" w:rsidRPr="00A57069">
              <w:rPr>
                <w:rFonts w:ascii="Times New Roman" w:hAnsi="Times New Roman" w:cs="Times New Roman"/>
                <w:sz w:val="24"/>
                <w:szCs w:val="24"/>
              </w:rPr>
              <w:t>s</w:t>
            </w:r>
            <w:r w:rsidRPr="00A57069">
              <w:rPr>
                <w:rFonts w:ascii="Times New Roman" w:hAnsi="Times New Roman" w:cs="Times New Roman"/>
                <w:sz w:val="24"/>
                <w:szCs w:val="24"/>
              </w:rPr>
              <w:t xml:space="preserve"> of the park by staff</w:t>
            </w:r>
            <w:r w:rsidR="00C120D0" w:rsidRPr="00A57069">
              <w:rPr>
                <w:rFonts w:ascii="Times New Roman" w:hAnsi="Times New Roman" w:cs="Times New Roman"/>
                <w:sz w:val="24"/>
                <w:szCs w:val="24"/>
              </w:rPr>
              <w:t>.</w:t>
            </w:r>
          </w:p>
        </w:tc>
      </w:tr>
      <w:tr w:rsidR="00D13C18" w:rsidRPr="00A57069" w14:paraId="22591C72" w14:textId="080F0CF8" w:rsidTr="00D13C18">
        <w:tc>
          <w:tcPr>
            <w:tcW w:w="3090" w:type="dxa"/>
          </w:tcPr>
          <w:p w14:paraId="0002A94E" w14:textId="1D0477C6" w:rsidR="00D13C18" w:rsidRPr="00A57069" w:rsidRDefault="00D13C18"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No Litter</w:t>
            </w:r>
            <w:r w:rsidR="00C120D0" w:rsidRPr="00A57069">
              <w:rPr>
                <w:rFonts w:ascii="Times New Roman" w:hAnsi="Times New Roman" w:cs="Times New Roman"/>
                <w:sz w:val="24"/>
                <w:szCs w:val="24"/>
              </w:rPr>
              <w:t>ing</w:t>
            </w:r>
          </w:p>
        </w:tc>
        <w:tc>
          <w:tcPr>
            <w:tcW w:w="3241" w:type="dxa"/>
          </w:tcPr>
          <w:p w14:paraId="0125CDE9" w14:textId="7E04DA1E" w:rsidR="00D13C18" w:rsidRPr="00A57069" w:rsidRDefault="00C120D0"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 xml:space="preserve">No litter </w:t>
            </w:r>
            <w:r w:rsidR="003D428D">
              <w:rPr>
                <w:rFonts w:ascii="Times New Roman" w:hAnsi="Times New Roman" w:cs="Times New Roman"/>
                <w:sz w:val="24"/>
                <w:szCs w:val="24"/>
              </w:rPr>
              <w:t xml:space="preserve">is </w:t>
            </w:r>
            <w:r w:rsidRPr="00A57069">
              <w:rPr>
                <w:rFonts w:ascii="Times New Roman" w:hAnsi="Times New Roman" w:cs="Times New Roman"/>
                <w:sz w:val="24"/>
                <w:szCs w:val="24"/>
              </w:rPr>
              <w:t>found around the park.</w:t>
            </w:r>
          </w:p>
        </w:tc>
        <w:tc>
          <w:tcPr>
            <w:tcW w:w="2685" w:type="dxa"/>
          </w:tcPr>
          <w:p w14:paraId="4471281D" w14:textId="24AE96D8" w:rsidR="00D13C18" w:rsidRPr="00A57069" w:rsidRDefault="00C120D0"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Fines for littering and signs to notify you of 300m away bins.</w:t>
            </w:r>
          </w:p>
        </w:tc>
      </w:tr>
      <w:tr w:rsidR="00D13C18" w:rsidRPr="00A57069" w14:paraId="2313D9EB" w14:textId="6DDE96CF" w:rsidTr="00D13C18">
        <w:tc>
          <w:tcPr>
            <w:tcW w:w="3090" w:type="dxa"/>
          </w:tcPr>
          <w:p w14:paraId="23578AF4" w14:textId="6BA091CF" w:rsidR="00D13C18" w:rsidRPr="00A57069" w:rsidRDefault="00D13C18"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 xml:space="preserve">Guests are informed of sites available to them </w:t>
            </w:r>
            <w:r w:rsidR="003B63D0" w:rsidRPr="00A57069">
              <w:rPr>
                <w:rFonts w:ascii="Times New Roman" w:hAnsi="Times New Roman" w:cs="Times New Roman"/>
                <w:sz w:val="24"/>
                <w:szCs w:val="24"/>
              </w:rPr>
              <w:t>seasonally.</w:t>
            </w:r>
          </w:p>
        </w:tc>
        <w:tc>
          <w:tcPr>
            <w:tcW w:w="3241" w:type="dxa"/>
          </w:tcPr>
          <w:p w14:paraId="707A68D0" w14:textId="2BC4CFF8" w:rsidR="00D13C18" w:rsidRPr="00A57069" w:rsidRDefault="00D13C18"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Visitors are seen in the areas suggested to them and correct footpaths are being used.</w:t>
            </w:r>
          </w:p>
        </w:tc>
        <w:tc>
          <w:tcPr>
            <w:tcW w:w="2685" w:type="dxa"/>
          </w:tcPr>
          <w:p w14:paraId="0F4C8667" w14:textId="36D23E2F" w:rsidR="00D13C18" w:rsidRPr="00A57069" w:rsidRDefault="003B63D0"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 xml:space="preserve">Staff and leaflets can be used to </w:t>
            </w:r>
            <w:r w:rsidR="00E4625E" w:rsidRPr="00A57069">
              <w:rPr>
                <w:rFonts w:ascii="Times New Roman" w:hAnsi="Times New Roman" w:cs="Times New Roman"/>
                <w:sz w:val="24"/>
                <w:szCs w:val="24"/>
              </w:rPr>
              <w:t>indicate places for visitors to go.</w:t>
            </w:r>
          </w:p>
        </w:tc>
      </w:tr>
      <w:tr w:rsidR="00D13C18" w:rsidRPr="00A57069" w14:paraId="11F323CC" w14:textId="7D6C369C" w:rsidTr="00D13C18">
        <w:tc>
          <w:tcPr>
            <w:tcW w:w="3090" w:type="dxa"/>
          </w:tcPr>
          <w:p w14:paraId="4FA4F696" w14:textId="3FAA2A26" w:rsidR="00D13C18" w:rsidRPr="00A57069" w:rsidRDefault="00D13C18"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Footpaths are used by visitors</w:t>
            </w:r>
          </w:p>
        </w:tc>
        <w:tc>
          <w:tcPr>
            <w:tcW w:w="3241" w:type="dxa"/>
          </w:tcPr>
          <w:p w14:paraId="0694B512" w14:textId="6CB2C6C1" w:rsidR="00D13C18" w:rsidRPr="00A57069" w:rsidRDefault="00D13C18"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No alternative pathways leading to the areas</w:t>
            </w:r>
          </w:p>
        </w:tc>
        <w:tc>
          <w:tcPr>
            <w:tcW w:w="2685" w:type="dxa"/>
          </w:tcPr>
          <w:p w14:paraId="3B77FDC0" w14:textId="174FCCD5" w:rsidR="00D13C18" w:rsidRPr="00A57069" w:rsidRDefault="00E4625E"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Maps located around the park</w:t>
            </w:r>
            <w:r w:rsidR="00855D04" w:rsidRPr="00A57069">
              <w:rPr>
                <w:rFonts w:ascii="Times New Roman" w:hAnsi="Times New Roman" w:cs="Times New Roman"/>
                <w:sz w:val="24"/>
                <w:szCs w:val="24"/>
              </w:rPr>
              <w:t xml:space="preserve"> or signs/ trail markers highlighting pathways</w:t>
            </w:r>
          </w:p>
        </w:tc>
      </w:tr>
      <w:tr w:rsidR="00BE7714" w:rsidRPr="00A57069" w14:paraId="21A0F7A3" w14:textId="77777777" w:rsidTr="00D13C18">
        <w:tc>
          <w:tcPr>
            <w:tcW w:w="3090" w:type="dxa"/>
          </w:tcPr>
          <w:p w14:paraId="64F34396" w14:textId="41779178" w:rsidR="00BE7714" w:rsidRPr="00A57069" w:rsidRDefault="00AB767D"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Outdoor recreational activities such as</w:t>
            </w:r>
            <w:r w:rsidR="003D5C11" w:rsidRPr="00A57069">
              <w:rPr>
                <w:rFonts w:ascii="Times New Roman" w:hAnsi="Times New Roman" w:cs="Times New Roman"/>
                <w:sz w:val="24"/>
                <w:szCs w:val="24"/>
              </w:rPr>
              <w:t xml:space="preserve"> birdwatching,</w:t>
            </w:r>
            <w:r w:rsidRPr="00A57069">
              <w:rPr>
                <w:rFonts w:ascii="Times New Roman" w:hAnsi="Times New Roman" w:cs="Times New Roman"/>
                <w:sz w:val="24"/>
                <w:szCs w:val="24"/>
              </w:rPr>
              <w:t xml:space="preserve"> </w:t>
            </w:r>
            <w:r w:rsidR="006239A6" w:rsidRPr="00A57069">
              <w:rPr>
                <w:rFonts w:ascii="Times New Roman" w:hAnsi="Times New Roman" w:cs="Times New Roman"/>
                <w:sz w:val="24"/>
                <w:szCs w:val="24"/>
              </w:rPr>
              <w:t>guided</w:t>
            </w:r>
            <w:r w:rsidRPr="00A57069">
              <w:rPr>
                <w:rFonts w:ascii="Times New Roman" w:hAnsi="Times New Roman" w:cs="Times New Roman"/>
                <w:sz w:val="24"/>
                <w:szCs w:val="24"/>
              </w:rPr>
              <w:t xml:space="preserve"> walk</w:t>
            </w:r>
            <w:r w:rsidR="00114086" w:rsidRPr="00A57069">
              <w:rPr>
                <w:rFonts w:ascii="Times New Roman" w:hAnsi="Times New Roman" w:cs="Times New Roman"/>
                <w:sz w:val="24"/>
                <w:szCs w:val="24"/>
              </w:rPr>
              <w:t>s</w:t>
            </w:r>
            <w:r w:rsidR="00E32209">
              <w:rPr>
                <w:rFonts w:ascii="Times New Roman" w:hAnsi="Times New Roman" w:cs="Times New Roman"/>
                <w:sz w:val="24"/>
                <w:szCs w:val="24"/>
              </w:rPr>
              <w:t>,</w:t>
            </w:r>
            <w:r w:rsidR="00114086" w:rsidRPr="00A57069">
              <w:rPr>
                <w:rFonts w:ascii="Times New Roman" w:hAnsi="Times New Roman" w:cs="Times New Roman"/>
                <w:sz w:val="24"/>
                <w:szCs w:val="24"/>
              </w:rPr>
              <w:t xml:space="preserve"> </w:t>
            </w:r>
            <w:r w:rsidRPr="00A57069">
              <w:rPr>
                <w:rFonts w:ascii="Times New Roman" w:hAnsi="Times New Roman" w:cs="Times New Roman"/>
                <w:sz w:val="24"/>
                <w:szCs w:val="24"/>
              </w:rPr>
              <w:t xml:space="preserve">and cycling </w:t>
            </w:r>
            <w:r w:rsidR="003D428D">
              <w:rPr>
                <w:rFonts w:ascii="Times New Roman" w:hAnsi="Times New Roman" w:cs="Times New Roman"/>
                <w:sz w:val="24"/>
                <w:szCs w:val="24"/>
              </w:rPr>
              <w:t xml:space="preserve">are </w:t>
            </w:r>
            <w:r w:rsidRPr="00A57069">
              <w:rPr>
                <w:rFonts w:ascii="Times New Roman" w:hAnsi="Times New Roman" w:cs="Times New Roman"/>
                <w:sz w:val="24"/>
                <w:szCs w:val="24"/>
              </w:rPr>
              <w:t xml:space="preserve">available </w:t>
            </w:r>
            <w:r w:rsidR="00E32209">
              <w:rPr>
                <w:rFonts w:ascii="Times New Roman" w:hAnsi="Times New Roman" w:cs="Times New Roman"/>
                <w:sz w:val="24"/>
                <w:szCs w:val="24"/>
              </w:rPr>
              <w:t>on-site</w:t>
            </w:r>
            <w:r w:rsidR="006239A6" w:rsidRPr="00A57069">
              <w:rPr>
                <w:rFonts w:ascii="Times New Roman" w:hAnsi="Times New Roman" w:cs="Times New Roman"/>
                <w:sz w:val="24"/>
                <w:szCs w:val="24"/>
              </w:rPr>
              <w:t>.</w:t>
            </w:r>
          </w:p>
        </w:tc>
        <w:tc>
          <w:tcPr>
            <w:tcW w:w="3241" w:type="dxa"/>
          </w:tcPr>
          <w:p w14:paraId="6374BA64" w14:textId="2FDBC5EB" w:rsidR="00BE7714" w:rsidRPr="00A57069" w:rsidRDefault="00AA2449"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Activities sign-up sheet</w:t>
            </w:r>
            <w:r w:rsidR="00405772" w:rsidRPr="00A57069">
              <w:rPr>
                <w:rFonts w:ascii="Times New Roman" w:hAnsi="Times New Roman" w:cs="Times New Roman"/>
                <w:sz w:val="24"/>
                <w:szCs w:val="24"/>
              </w:rPr>
              <w:t>.</w:t>
            </w:r>
          </w:p>
        </w:tc>
        <w:tc>
          <w:tcPr>
            <w:tcW w:w="2685" w:type="dxa"/>
          </w:tcPr>
          <w:p w14:paraId="101F738F" w14:textId="54B19939" w:rsidR="00BE7714" w:rsidRPr="00A57069" w:rsidRDefault="00405772" w:rsidP="00363F44">
            <w:pPr>
              <w:spacing w:line="276" w:lineRule="auto"/>
              <w:rPr>
                <w:rFonts w:ascii="Times New Roman" w:hAnsi="Times New Roman" w:cs="Times New Roman"/>
                <w:sz w:val="24"/>
                <w:szCs w:val="24"/>
              </w:rPr>
            </w:pPr>
            <w:r w:rsidRPr="00A57069">
              <w:rPr>
                <w:rFonts w:ascii="Times New Roman" w:hAnsi="Times New Roman" w:cs="Times New Roman"/>
                <w:sz w:val="24"/>
                <w:szCs w:val="24"/>
              </w:rPr>
              <w:t xml:space="preserve">Having rentable bikes on site, a common outdoor provider that </w:t>
            </w:r>
            <w:r w:rsidR="00137782" w:rsidRPr="00A57069">
              <w:rPr>
                <w:rFonts w:ascii="Times New Roman" w:hAnsi="Times New Roman" w:cs="Times New Roman"/>
                <w:sz w:val="24"/>
                <w:szCs w:val="24"/>
              </w:rPr>
              <w:t>hosts walks/birdwatching at different times every day.</w:t>
            </w:r>
          </w:p>
        </w:tc>
      </w:tr>
    </w:tbl>
    <w:p w14:paraId="34727B47" w14:textId="77777777" w:rsidR="0004167D" w:rsidRPr="00A57069" w:rsidRDefault="0004167D" w:rsidP="00363F44">
      <w:pPr>
        <w:spacing w:line="276" w:lineRule="auto"/>
        <w:rPr>
          <w:rFonts w:ascii="Times New Roman" w:hAnsi="Times New Roman" w:cs="Times New Roman"/>
          <w:sz w:val="24"/>
          <w:szCs w:val="24"/>
        </w:rPr>
      </w:pPr>
    </w:p>
    <w:p w14:paraId="52951B92" w14:textId="77777777" w:rsidR="00C45780" w:rsidRDefault="00C45780" w:rsidP="00363F44">
      <w:pPr>
        <w:pStyle w:val="NormalWeb"/>
        <w:spacing w:before="0" w:beforeAutospacing="0" w:after="0" w:afterAutospacing="0" w:line="276" w:lineRule="auto"/>
        <w:rPr>
          <w:color w:val="0E101A"/>
        </w:rPr>
      </w:pPr>
      <w:r w:rsidRPr="00E32209">
        <w:rPr>
          <w:color w:val="0E101A"/>
          <w:sz w:val="28"/>
          <w:szCs w:val="28"/>
          <w:u w:val="single"/>
        </w:rPr>
        <w:t>Step 4</w:t>
      </w:r>
      <w:r>
        <w:rPr>
          <w:color w:val="0E101A"/>
          <w:u w:val="single"/>
        </w:rPr>
        <w:t>:</w:t>
      </w:r>
      <w:r>
        <w:rPr>
          <w:color w:val="0E101A"/>
        </w:rPr>
        <w:t> Monitoring the success of these implementations (Manning, 2017, p28). </w:t>
      </w:r>
    </w:p>
    <w:p w14:paraId="3D4FA0BB" w14:textId="77777777" w:rsidR="00C45780" w:rsidRDefault="00C45780" w:rsidP="00363F44">
      <w:pPr>
        <w:pStyle w:val="NormalWeb"/>
        <w:spacing w:before="0" w:beforeAutospacing="0" w:after="0" w:afterAutospacing="0" w:line="276" w:lineRule="auto"/>
        <w:rPr>
          <w:color w:val="0E101A"/>
        </w:rPr>
      </w:pPr>
      <w:r>
        <w:rPr>
          <w:color w:val="0E101A"/>
        </w:rPr>
        <w:t>To monitor the management of the site, staff can survey guests as they exit to see how much they enjoyed their experience if there are further areas for improvement and what they enjoyed the most. This will give the staff insight into how to make the site better for the visitor experience in the future. Footpaths should be visited every two weeks by conservationist staff to assess the damage to the soil on trails; In doing so they will be able to identify if they need to close a footpath or replenish it, redirecting visitors to other parts of the Park in based conditions/closing footpaths all together. The checking of trails would need to be done more frequently in the summer months compared to winter due to the decrease in visitor population, though should still be managed and be ready for the start of summer seasons. </w:t>
      </w:r>
    </w:p>
    <w:p w14:paraId="082082C6" w14:textId="77777777" w:rsidR="00E32209" w:rsidRDefault="00E32209" w:rsidP="00363F44">
      <w:pPr>
        <w:pStyle w:val="NormalWeb"/>
        <w:spacing w:before="0" w:beforeAutospacing="0" w:after="0" w:afterAutospacing="0" w:line="276" w:lineRule="auto"/>
        <w:rPr>
          <w:color w:val="0E101A"/>
        </w:rPr>
      </w:pPr>
    </w:p>
    <w:p w14:paraId="32D606F8" w14:textId="77777777" w:rsidR="00C45780" w:rsidRDefault="00C45780" w:rsidP="00363F44">
      <w:pPr>
        <w:pStyle w:val="NormalWeb"/>
        <w:spacing w:before="0" w:beforeAutospacing="0" w:after="0" w:afterAutospacing="0" w:line="276" w:lineRule="auto"/>
        <w:rPr>
          <w:color w:val="0E101A"/>
        </w:rPr>
      </w:pPr>
      <w:r>
        <w:rPr>
          <w:color w:val="0E101A"/>
        </w:rPr>
        <w:t xml:space="preserve">Due to the upset the price of entry caused Welsh citizens, implementation of outdoor recreational activities via the ‘Active outdoor providers scheme’ should be utilised to make visitors feel their money is being used for something more than just accessing the park, as outdoor recreational activities can impact the park in many ways, including park resources, visitor experiences, and park facilities and services (Manning &amp; Anderson, 2012, p232). These activities should not affect the 18th-century theme as this will negatively impact the visitor experience. Outdoor recreation management can also impact the quality of the visitor </w:t>
      </w:r>
      <w:r>
        <w:rPr>
          <w:color w:val="0E101A"/>
        </w:rPr>
        <w:lastRenderedPageBreak/>
        <w:t>experience both positively and negatively, so it is important that the activities do not affect the natural beauty of the scenery or the natural environment as this will negatively impact this (Manning &amp; Anderson, 2012, p233).</w:t>
      </w:r>
    </w:p>
    <w:p w14:paraId="66F4E9FD" w14:textId="77777777" w:rsidR="00E32209" w:rsidRDefault="00E32209" w:rsidP="00363F44">
      <w:pPr>
        <w:pStyle w:val="NormalWeb"/>
        <w:spacing w:before="0" w:beforeAutospacing="0" w:after="0" w:afterAutospacing="0" w:line="276" w:lineRule="auto"/>
        <w:rPr>
          <w:color w:val="0E101A"/>
        </w:rPr>
      </w:pPr>
    </w:p>
    <w:p w14:paraId="57D6142F" w14:textId="77777777" w:rsidR="00C45780" w:rsidRDefault="00C45780" w:rsidP="00363F44">
      <w:pPr>
        <w:pStyle w:val="NormalWeb"/>
        <w:spacing w:before="0" w:beforeAutospacing="0" w:after="0" w:afterAutospacing="0" w:line="276" w:lineRule="auto"/>
        <w:rPr>
          <w:color w:val="0E101A"/>
          <w:sz w:val="28"/>
          <w:szCs w:val="28"/>
          <w:u w:val="single"/>
        </w:rPr>
      </w:pPr>
      <w:r w:rsidRPr="00E32209">
        <w:rPr>
          <w:color w:val="0E101A"/>
          <w:sz w:val="28"/>
          <w:szCs w:val="28"/>
          <w:u w:val="single"/>
        </w:rPr>
        <w:t>Conceptual Frameworks and Theories</w:t>
      </w:r>
    </w:p>
    <w:p w14:paraId="60BD8EE8" w14:textId="77777777" w:rsidR="00E32209" w:rsidRDefault="00E32209" w:rsidP="00363F44">
      <w:pPr>
        <w:pStyle w:val="NormalWeb"/>
        <w:spacing w:before="0" w:beforeAutospacing="0" w:after="0" w:afterAutospacing="0" w:line="276" w:lineRule="auto"/>
        <w:rPr>
          <w:color w:val="0E101A"/>
        </w:rPr>
      </w:pPr>
    </w:p>
    <w:p w14:paraId="4AD142D7" w14:textId="77777777" w:rsidR="00C45780" w:rsidRDefault="00C45780" w:rsidP="00363F44">
      <w:pPr>
        <w:pStyle w:val="NormalWeb"/>
        <w:spacing w:before="0" w:beforeAutospacing="0" w:after="0" w:afterAutospacing="0" w:line="276" w:lineRule="auto"/>
        <w:rPr>
          <w:color w:val="0E101A"/>
        </w:rPr>
      </w:pPr>
      <w:r>
        <w:rPr>
          <w:color w:val="0E101A"/>
        </w:rPr>
        <w:t>The National Trust has suggested they have limits of acceptable change, as they limit the use of specific areas due to the potential risk of negative impacts on the environment (National Trust); Limits of acceptable change are defined as the maximum variation that is considered acceptable to a particular component or process of the ecological character of a place, without causing change to its character that could lead to reduction or loss of predetermined site-specific criteria (Department of Sustainability, 2012). In specificity to Dinefwr Park, their site aims to restore the eighteenth-century layout of the park (Norman, 2020) enforcing strict criteria for their limits of acceptable change as the site needs to mirror this era and stay sustainable and conservative (National Trust). The limits of acceptable change for this park include: regularly placed dog waste bins, outdoor activities that do not visually taint the environment, eg a rock climbing wall, educational signs/maps around the site and further signage for zoning. These limitations ensure the environment complements the National Trust aesthetic as well as follows regulations of the SSSI and CADW, maintaining conservation and sustainable practices across the park. In </w:t>
      </w:r>
      <w:r>
        <w:rPr>
          <w:rStyle w:val="Strong"/>
          <w:color w:val="0E101A"/>
        </w:rPr>
        <w:t>Figure 2,</w:t>
      </w:r>
      <w:r>
        <w:rPr>
          <w:color w:val="0E101A"/>
        </w:rPr>
        <w:t> I have suggested implementations to the park which align with these limitations.  </w:t>
      </w:r>
    </w:p>
    <w:p w14:paraId="40CDF106" w14:textId="77777777" w:rsidR="00C45780" w:rsidRDefault="00C45780" w:rsidP="00363F44">
      <w:pPr>
        <w:pStyle w:val="NormalWeb"/>
        <w:spacing w:before="0" w:beforeAutospacing="0" w:after="0" w:afterAutospacing="0" w:line="276" w:lineRule="auto"/>
        <w:rPr>
          <w:color w:val="0E101A"/>
        </w:rPr>
      </w:pPr>
    </w:p>
    <w:p w14:paraId="58FDFDEF" w14:textId="79CA3D97" w:rsidR="00C45780" w:rsidRDefault="00C45780" w:rsidP="00363F44">
      <w:pPr>
        <w:pStyle w:val="NormalWeb"/>
        <w:spacing w:before="0" w:beforeAutospacing="0" w:after="0" w:afterAutospacing="0" w:line="276" w:lineRule="auto"/>
        <w:rPr>
          <w:color w:val="0E101A"/>
        </w:rPr>
      </w:pPr>
      <w:r>
        <w:rPr>
          <w:color w:val="0E101A"/>
        </w:rPr>
        <w:t>Alongside this, there are indicators and standards of quality that must be adhered to in order to manage high-quality outdoor recreation opportunities (Manning, 2012 p1); These will also have to align with the eighteenth-century theme and uphold high standards of quality due to it being an area of conservation that is of national importance (National Trust). The indicators of quality may include elements of resource, social, and management environments to determine the outdoor recreational opportunities and will define the minimum condition that is acceptable for the indicator variables available (Manning, 2012, p7). This information can be found in </w:t>
      </w:r>
      <w:r>
        <w:rPr>
          <w:rStyle w:val="Strong"/>
          <w:color w:val="0E101A"/>
        </w:rPr>
        <w:t>Figure 2</w:t>
      </w:r>
      <w:r>
        <w:rPr>
          <w:color w:val="0E101A"/>
        </w:rPr>
        <w:t>. </w:t>
      </w:r>
    </w:p>
    <w:p w14:paraId="6B4827A9" w14:textId="77777777" w:rsidR="00C45780" w:rsidRDefault="00C45780" w:rsidP="00363F44">
      <w:pPr>
        <w:pStyle w:val="NormalWeb"/>
        <w:spacing w:before="0" w:beforeAutospacing="0" w:after="0" w:afterAutospacing="0" w:line="276" w:lineRule="auto"/>
        <w:rPr>
          <w:color w:val="0E101A"/>
        </w:rPr>
      </w:pPr>
    </w:p>
    <w:p w14:paraId="23038CC6" w14:textId="77777777" w:rsidR="00C45780" w:rsidRDefault="00C45780" w:rsidP="00363F44">
      <w:pPr>
        <w:pStyle w:val="NormalWeb"/>
        <w:spacing w:before="0" w:beforeAutospacing="0" w:after="0" w:afterAutospacing="0" w:line="276" w:lineRule="auto"/>
        <w:rPr>
          <w:color w:val="0E101A"/>
        </w:rPr>
      </w:pPr>
      <w:r>
        <w:rPr>
          <w:color w:val="0E101A"/>
        </w:rPr>
        <w:t xml:space="preserve">Furthermore, the Recreation Opportunity Spectrum (ROS) is a system that classifies and manages recreational opportunities based on physical settings, social settings, and managerial settings (United States Department of Agriculture, p1). The ROS should be used to help ensure diversity in outdoor recreation opportunities (Manning &amp; Anderson, 2012, p232). Due to the size of Dinefwr Park and its location on roads, the spectrum suggests the park be a rural environment in which culturally changed environments are viewed constantly by pedestrians walking through its environment (United States Department of Agriculture, p1). This links to limits of acceptable change as the site needs to maintain this rural setting. The capacity for this type of environment is 75 persons per acre per year and it is also an environment that can host the most visitors, without detrimental effects on the environment (United States Department of Agriculture, p2). Activities or facilities that are typical for areas such as these include camping, fishing, information centres, convenience stores, and resorts </w:t>
      </w:r>
      <w:r>
        <w:rPr>
          <w:color w:val="0E101A"/>
        </w:rPr>
        <w:lastRenderedPageBreak/>
        <w:t>(United States Department of Agriculture, p2). This highlights there is plenty of opportunity for recreational activities to cross the park without distressing the environment and that the carrying capacity is 75 visitors per acre maximum.  </w:t>
      </w:r>
    </w:p>
    <w:p w14:paraId="0DBDBF0A" w14:textId="77777777" w:rsidR="00C45780" w:rsidRDefault="00C45780" w:rsidP="00363F44">
      <w:pPr>
        <w:pStyle w:val="NormalWeb"/>
        <w:spacing w:before="0" w:beforeAutospacing="0" w:after="0" w:afterAutospacing="0" w:line="276" w:lineRule="auto"/>
        <w:rPr>
          <w:color w:val="0E101A"/>
        </w:rPr>
      </w:pPr>
    </w:p>
    <w:p w14:paraId="5A3C3E54" w14:textId="77777777" w:rsidR="00C45780" w:rsidRPr="00C45780" w:rsidRDefault="00C45780" w:rsidP="00363F44">
      <w:pPr>
        <w:pStyle w:val="NormalWeb"/>
        <w:spacing w:before="0" w:beforeAutospacing="0" w:after="0" w:afterAutospacing="0" w:line="276" w:lineRule="auto"/>
        <w:rPr>
          <w:color w:val="0E101A"/>
          <w:sz w:val="28"/>
          <w:szCs w:val="28"/>
          <w:u w:val="single"/>
        </w:rPr>
      </w:pPr>
      <w:r w:rsidRPr="00C45780">
        <w:rPr>
          <w:color w:val="0E101A"/>
          <w:sz w:val="28"/>
          <w:szCs w:val="28"/>
          <w:u w:val="single"/>
        </w:rPr>
        <w:t>Conclusion</w:t>
      </w:r>
    </w:p>
    <w:p w14:paraId="59674A2E" w14:textId="77777777" w:rsidR="00C45780" w:rsidRDefault="00C45780" w:rsidP="00363F44">
      <w:pPr>
        <w:pStyle w:val="NormalWeb"/>
        <w:spacing w:before="0" w:beforeAutospacing="0" w:after="0" w:afterAutospacing="0" w:line="276" w:lineRule="auto"/>
        <w:rPr>
          <w:color w:val="0E101A"/>
        </w:rPr>
      </w:pPr>
    </w:p>
    <w:p w14:paraId="542FF169" w14:textId="67588EC0" w:rsidR="00C45780" w:rsidRDefault="00C45780" w:rsidP="00363F44">
      <w:pPr>
        <w:pStyle w:val="NormalWeb"/>
        <w:spacing w:before="0" w:beforeAutospacing="0" w:after="0" w:afterAutospacing="0" w:line="276" w:lineRule="auto"/>
        <w:rPr>
          <w:color w:val="0E101A"/>
        </w:rPr>
      </w:pPr>
      <w:r>
        <w:rPr>
          <w:color w:val="0E101A"/>
        </w:rPr>
        <w:t>In conclusion, Dinfwr Park has lots of potential to increase its visitor satisfaction levels, make the park more accessible, increase overall revenue, outdoor recreational experiences, and sustainable management practices. The Parks staff need to ensure most parts of the park are accessible via pushchairs and wheelchairs</w:t>
      </w:r>
      <w:r w:rsidR="00192043">
        <w:rPr>
          <w:color w:val="0E101A"/>
        </w:rPr>
        <w:t xml:space="preserve"> by building a short accessible route</w:t>
      </w:r>
      <w:r w:rsidR="00AC74D7">
        <w:rPr>
          <w:color w:val="0E101A"/>
        </w:rPr>
        <w:t xml:space="preserve"> to the area</w:t>
      </w:r>
      <w:r>
        <w:rPr>
          <w:color w:val="0E101A"/>
        </w:rPr>
        <w:t>. They must also ensure they are conserving environments when necessary, and redirecting visitors to other parts of the park in this situation. The site should also take note of pricing concerns and lower this if its revenue increases after the management plan has been implemented.</w:t>
      </w:r>
    </w:p>
    <w:p w14:paraId="0FCC5716" w14:textId="7F1E9ED6" w:rsidR="00EE3470" w:rsidRDefault="00EE3470" w:rsidP="00660681">
      <w:pPr>
        <w:rPr>
          <w:rFonts w:ascii="Georgia" w:hAnsi="Georgia"/>
          <w:color w:val="1F1F1F"/>
          <w:sz w:val="30"/>
          <w:szCs w:val="30"/>
          <w:shd w:val="clear" w:color="auto" w:fill="FAF8F8"/>
        </w:rPr>
      </w:pPr>
    </w:p>
    <w:p w14:paraId="5F13BDB7" w14:textId="77777777" w:rsidR="00660681" w:rsidRDefault="00660681" w:rsidP="00660681">
      <w:pPr>
        <w:rPr>
          <w:rFonts w:ascii="Georgia" w:hAnsi="Georgia"/>
          <w:color w:val="1F1F1F"/>
          <w:sz w:val="30"/>
          <w:szCs w:val="30"/>
          <w:shd w:val="clear" w:color="auto" w:fill="FAF8F8"/>
        </w:rPr>
      </w:pPr>
    </w:p>
    <w:p w14:paraId="2F2F8E13" w14:textId="305A751E" w:rsidR="00660681" w:rsidRDefault="009E06F0" w:rsidP="00660681">
      <w:pPr>
        <w:rPr>
          <w:rFonts w:ascii="Georgia" w:hAnsi="Georgia"/>
          <w:color w:val="1F1F1F"/>
          <w:sz w:val="30"/>
          <w:szCs w:val="30"/>
          <w:shd w:val="clear" w:color="auto" w:fill="FAF8F8"/>
        </w:rPr>
      </w:pPr>
      <w:r>
        <w:rPr>
          <w:rFonts w:ascii="Georgia" w:hAnsi="Georgia"/>
          <w:color w:val="1F1F1F"/>
          <w:sz w:val="30"/>
          <w:szCs w:val="30"/>
          <w:shd w:val="clear" w:color="auto" w:fill="FAF8F8"/>
        </w:rPr>
        <w:t>Word count: 2</w:t>
      </w:r>
      <w:r w:rsidR="003322A2">
        <w:rPr>
          <w:rFonts w:ascii="Georgia" w:hAnsi="Georgia"/>
          <w:color w:val="1F1F1F"/>
          <w:sz w:val="30"/>
          <w:szCs w:val="30"/>
          <w:shd w:val="clear" w:color="auto" w:fill="FAF8F8"/>
        </w:rPr>
        <w:t>4</w:t>
      </w:r>
      <w:r w:rsidR="00AC74D7">
        <w:rPr>
          <w:rFonts w:ascii="Georgia" w:hAnsi="Georgia"/>
          <w:color w:val="1F1F1F"/>
          <w:sz w:val="30"/>
          <w:szCs w:val="30"/>
          <w:shd w:val="clear" w:color="auto" w:fill="FAF8F8"/>
        </w:rPr>
        <w:t>84</w:t>
      </w:r>
    </w:p>
    <w:p w14:paraId="5C89E8CF" w14:textId="77777777" w:rsidR="00660681" w:rsidRDefault="00660681" w:rsidP="00660681">
      <w:pPr>
        <w:rPr>
          <w:rFonts w:ascii="Georgia" w:hAnsi="Georgia"/>
          <w:color w:val="1F1F1F"/>
          <w:sz w:val="30"/>
          <w:szCs w:val="30"/>
          <w:shd w:val="clear" w:color="auto" w:fill="FAF8F8"/>
        </w:rPr>
      </w:pPr>
    </w:p>
    <w:p w14:paraId="0FB584A4" w14:textId="77777777" w:rsidR="00660681" w:rsidRDefault="00660681" w:rsidP="00660681">
      <w:pPr>
        <w:rPr>
          <w:rFonts w:ascii="Georgia" w:hAnsi="Georgia"/>
          <w:color w:val="1F1F1F"/>
          <w:sz w:val="30"/>
          <w:szCs w:val="30"/>
          <w:shd w:val="clear" w:color="auto" w:fill="FAF8F8"/>
        </w:rPr>
      </w:pPr>
    </w:p>
    <w:p w14:paraId="560223E7" w14:textId="77777777" w:rsidR="00660681" w:rsidRDefault="00660681" w:rsidP="00660681">
      <w:pPr>
        <w:rPr>
          <w:rFonts w:ascii="Georgia" w:hAnsi="Georgia"/>
          <w:color w:val="1F1F1F"/>
          <w:sz w:val="30"/>
          <w:szCs w:val="30"/>
          <w:shd w:val="clear" w:color="auto" w:fill="FAF8F8"/>
        </w:rPr>
      </w:pPr>
    </w:p>
    <w:p w14:paraId="3EA24524" w14:textId="77777777" w:rsidR="00660681" w:rsidRDefault="00660681" w:rsidP="00660681">
      <w:pPr>
        <w:rPr>
          <w:rFonts w:ascii="Georgia" w:hAnsi="Georgia"/>
          <w:color w:val="1F1F1F"/>
          <w:sz w:val="30"/>
          <w:szCs w:val="30"/>
          <w:shd w:val="clear" w:color="auto" w:fill="FAF8F8"/>
        </w:rPr>
      </w:pPr>
    </w:p>
    <w:p w14:paraId="1C0D1428" w14:textId="77777777" w:rsidR="00660681" w:rsidRDefault="00660681" w:rsidP="00660681">
      <w:pPr>
        <w:rPr>
          <w:rFonts w:ascii="Georgia" w:hAnsi="Georgia"/>
          <w:color w:val="1F1F1F"/>
          <w:sz w:val="30"/>
          <w:szCs w:val="30"/>
          <w:shd w:val="clear" w:color="auto" w:fill="FAF8F8"/>
        </w:rPr>
      </w:pPr>
    </w:p>
    <w:p w14:paraId="53D05F6E" w14:textId="77777777" w:rsidR="00660681" w:rsidRDefault="00660681" w:rsidP="00660681">
      <w:pPr>
        <w:rPr>
          <w:rFonts w:ascii="Georgia" w:hAnsi="Georgia"/>
          <w:color w:val="1F1F1F"/>
          <w:sz w:val="30"/>
          <w:szCs w:val="30"/>
          <w:shd w:val="clear" w:color="auto" w:fill="FAF8F8"/>
        </w:rPr>
      </w:pPr>
    </w:p>
    <w:p w14:paraId="54C1C70F" w14:textId="3A53A874" w:rsidR="00660681" w:rsidRDefault="00660681" w:rsidP="00660681">
      <w:pPr>
        <w:rPr>
          <w:rFonts w:ascii="Georgia" w:hAnsi="Georgia"/>
          <w:color w:val="1F1F1F"/>
          <w:sz w:val="30"/>
          <w:szCs w:val="30"/>
          <w:shd w:val="clear" w:color="auto" w:fill="FAF8F8"/>
        </w:rPr>
      </w:pPr>
    </w:p>
    <w:p w14:paraId="28BC7F00" w14:textId="77777777" w:rsidR="00EE2112" w:rsidRDefault="00EE2112" w:rsidP="00660681">
      <w:pPr>
        <w:rPr>
          <w:rFonts w:ascii="Georgia" w:hAnsi="Georgia"/>
          <w:color w:val="1F1F1F"/>
          <w:sz w:val="30"/>
          <w:szCs w:val="30"/>
          <w:shd w:val="clear" w:color="auto" w:fill="FAF8F8"/>
        </w:rPr>
      </w:pPr>
    </w:p>
    <w:p w14:paraId="3CF61F9B" w14:textId="77777777" w:rsidR="00EE2112" w:rsidRDefault="00EE2112" w:rsidP="00660681">
      <w:pPr>
        <w:rPr>
          <w:rFonts w:ascii="Georgia" w:hAnsi="Georgia"/>
          <w:color w:val="1F1F1F"/>
          <w:sz w:val="30"/>
          <w:szCs w:val="30"/>
          <w:shd w:val="clear" w:color="auto" w:fill="FAF8F8"/>
        </w:rPr>
      </w:pPr>
    </w:p>
    <w:p w14:paraId="31CA2475" w14:textId="77777777" w:rsidR="00EE2112" w:rsidRDefault="00EE2112" w:rsidP="00660681">
      <w:pPr>
        <w:rPr>
          <w:rFonts w:ascii="Georgia" w:hAnsi="Georgia"/>
          <w:color w:val="1F1F1F"/>
          <w:sz w:val="30"/>
          <w:szCs w:val="30"/>
          <w:shd w:val="clear" w:color="auto" w:fill="FAF8F8"/>
        </w:rPr>
      </w:pPr>
    </w:p>
    <w:p w14:paraId="17831F07" w14:textId="77777777" w:rsidR="00EE3470" w:rsidRDefault="00EE3470" w:rsidP="00660681">
      <w:pPr>
        <w:rPr>
          <w:rFonts w:ascii="Georgia" w:hAnsi="Georgia"/>
          <w:color w:val="1F1F1F"/>
          <w:sz w:val="30"/>
          <w:szCs w:val="30"/>
          <w:shd w:val="clear" w:color="auto" w:fill="FAF8F8"/>
        </w:rPr>
      </w:pPr>
    </w:p>
    <w:p w14:paraId="5EC743F6" w14:textId="77777777" w:rsidR="00EE3470" w:rsidRDefault="00EE3470" w:rsidP="00660681">
      <w:pPr>
        <w:rPr>
          <w:rFonts w:ascii="Georgia" w:hAnsi="Georgia"/>
          <w:color w:val="1F1F1F"/>
          <w:sz w:val="30"/>
          <w:szCs w:val="30"/>
          <w:shd w:val="clear" w:color="auto" w:fill="FAF8F8"/>
        </w:rPr>
      </w:pPr>
    </w:p>
    <w:p w14:paraId="628929CB" w14:textId="77777777" w:rsidR="00EE3470" w:rsidRDefault="00EE3470" w:rsidP="00660681">
      <w:pPr>
        <w:rPr>
          <w:rFonts w:ascii="Georgia" w:hAnsi="Georgia"/>
          <w:color w:val="1F1F1F"/>
          <w:sz w:val="30"/>
          <w:szCs w:val="30"/>
          <w:shd w:val="clear" w:color="auto" w:fill="FAF8F8"/>
        </w:rPr>
      </w:pPr>
    </w:p>
    <w:p w14:paraId="2079925C" w14:textId="77777777" w:rsidR="00EE3470" w:rsidRDefault="00EE3470" w:rsidP="00660681">
      <w:pPr>
        <w:rPr>
          <w:rFonts w:ascii="Georgia" w:hAnsi="Georgia"/>
          <w:color w:val="1F1F1F"/>
          <w:sz w:val="30"/>
          <w:szCs w:val="30"/>
          <w:shd w:val="clear" w:color="auto" w:fill="FAF8F8"/>
        </w:rPr>
      </w:pPr>
    </w:p>
    <w:p w14:paraId="252E1FD8" w14:textId="77777777" w:rsidR="00EE2112" w:rsidRDefault="00EE2112" w:rsidP="00660681">
      <w:pPr>
        <w:rPr>
          <w:rFonts w:ascii="Georgia" w:hAnsi="Georgia"/>
          <w:color w:val="1F1F1F"/>
          <w:sz w:val="30"/>
          <w:szCs w:val="30"/>
          <w:shd w:val="clear" w:color="auto" w:fill="FAF8F8"/>
        </w:rPr>
      </w:pPr>
    </w:p>
    <w:p w14:paraId="04163791" w14:textId="32E563B0" w:rsidR="00BE049E" w:rsidRPr="004210A7" w:rsidRDefault="00EE2112" w:rsidP="00660681">
      <w:pPr>
        <w:rPr>
          <w:rFonts w:ascii="Times New Roman" w:hAnsi="Times New Roman" w:cs="Times New Roman"/>
          <w:color w:val="1F1F1F"/>
          <w:sz w:val="30"/>
          <w:szCs w:val="30"/>
          <w:u w:val="single"/>
          <w:shd w:val="clear" w:color="auto" w:fill="FAF8F8"/>
        </w:rPr>
      </w:pPr>
      <w:r w:rsidRPr="004210A7">
        <w:rPr>
          <w:rFonts w:ascii="Times New Roman" w:hAnsi="Times New Roman" w:cs="Times New Roman"/>
          <w:color w:val="1F1F1F"/>
          <w:sz w:val="30"/>
          <w:szCs w:val="30"/>
          <w:u w:val="single"/>
          <w:shd w:val="clear" w:color="auto" w:fill="FAF8F8"/>
        </w:rPr>
        <w:lastRenderedPageBreak/>
        <w:t>References:</w:t>
      </w:r>
    </w:p>
    <w:p w14:paraId="2595EF43" w14:textId="77777777" w:rsidR="00EE2112" w:rsidRPr="00EE2112" w:rsidRDefault="00EE2112" w:rsidP="005D2A29">
      <w:pPr>
        <w:pStyle w:val="NormalWeb"/>
        <w:ind w:left="567" w:hanging="567"/>
      </w:pPr>
      <w:r w:rsidRPr="00EE2112">
        <w:t xml:space="preserve">Biodiversity and the natural environment (no date) </w:t>
      </w:r>
      <w:r w:rsidRPr="00EE2112">
        <w:rPr>
          <w:i/>
          <w:iCs/>
        </w:rPr>
        <w:t>Biodiversity and the Natural Environment | Capability Brown</w:t>
      </w:r>
      <w:r w:rsidRPr="00EE2112">
        <w:t xml:space="preserve">. Available at: https://www.capabilitybrown.org.uk/biodiversity-and-natural-environment/#:~:text=Sites%20of%20Special%20Scientific%20Interest,the%20landscapes%20that%20surround%20them. (Accessed: 12 May 2023). </w:t>
      </w:r>
    </w:p>
    <w:p w14:paraId="04089910" w14:textId="77777777" w:rsidR="00EE2112" w:rsidRPr="00EE2112" w:rsidRDefault="00EE2112" w:rsidP="00AB279D">
      <w:pPr>
        <w:pStyle w:val="NormalWeb"/>
        <w:ind w:left="567" w:hanging="567"/>
      </w:pPr>
      <w:r w:rsidRPr="00EE2112">
        <w:t xml:space="preserve">Department of Sustainability (2012) </w:t>
      </w:r>
      <w:r w:rsidRPr="00EE2112">
        <w:rPr>
          <w:i/>
          <w:iCs/>
        </w:rPr>
        <w:t>Limits of acceptable change - fact sheet</w:t>
      </w:r>
      <w:r w:rsidRPr="00EE2112">
        <w:t xml:space="preserve">, </w:t>
      </w:r>
      <w:r w:rsidRPr="00EE2112">
        <w:rPr>
          <w:i/>
          <w:iCs/>
        </w:rPr>
        <w:t>DCCEEW</w:t>
      </w:r>
      <w:r w:rsidRPr="00EE2112">
        <w:t xml:space="preserve">. Available at: https://www.dcceew.gov.au/water/wetlands/publications/factsheet-limits-acceptable-change#:~:text=Limits%20of%20acceptable%20change%20are%20defined%20as%20the%20variation%20that,site%20was%20Ramsar%20listed%20(modified (Accessed: 13 May 2023). </w:t>
      </w:r>
    </w:p>
    <w:p w14:paraId="58E4A55F" w14:textId="77777777" w:rsidR="00EE2112" w:rsidRPr="00EE2112" w:rsidRDefault="00EE2112" w:rsidP="00E14B99">
      <w:pPr>
        <w:pStyle w:val="NormalWeb"/>
        <w:ind w:left="567" w:hanging="567"/>
      </w:pPr>
      <w:r w:rsidRPr="00EE2112">
        <w:rPr>
          <w:i/>
          <w:iCs/>
        </w:rPr>
        <w:t>Explore the parkland at Dinefwr: Wales</w:t>
      </w:r>
      <w:r w:rsidRPr="00EE2112">
        <w:t xml:space="preserve"> (no date) </w:t>
      </w:r>
      <w:r w:rsidRPr="00EE2112">
        <w:rPr>
          <w:i/>
          <w:iCs/>
        </w:rPr>
        <w:t>National Trust</w:t>
      </w:r>
      <w:r w:rsidRPr="00EE2112">
        <w:t xml:space="preserve">. Available at: https://www.nationaltrust.org.uk/visit/wales/dinefwr/parkland-at-dinefwr (Accessed: 14 May 2023). </w:t>
      </w:r>
    </w:p>
    <w:p w14:paraId="56A90DF2" w14:textId="77777777" w:rsidR="00EE2112" w:rsidRPr="00EE2112" w:rsidRDefault="00EE2112" w:rsidP="00E8220E">
      <w:pPr>
        <w:pStyle w:val="NormalWeb"/>
        <w:ind w:left="567" w:hanging="567"/>
      </w:pPr>
      <w:r w:rsidRPr="00EE2112">
        <w:t xml:space="preserve">First Nature (2023) </w:t>
      </w:r>
      <w:r w:rsidRPr="00EE2112">
        <w:rPr>
          <w:i/>
          <w:iCs/>
        </w:rPr>
        <w:t>Dinefwr National Nature Reserve, Llandeilo, Carmarthenshire, South Wales</w:t>
      </w:r>
      <w:r w:rsidRPr="00EE2112">
        <w:t xml:space="preserve"> </w:t>
      </w:r>
      <w:r w:rsidRPr="00EE2112">
        <w:rPr>
          <w:i/>
          <w:iCs/>
        </w:rPr>
        <w:t>Dinefwr National Nature Reserve, Llandeilo, Carmarthenshire, Southwest Wales</w:t>
      </w:r>
      <w:r w:rsidRPr="00EE2112">
        <w:t xml:space="preserve">. Available at: https://www.first-nature.com/waleswildlife/sw-nnr-dinefwr.php (Accessed: 14 May 2023). </w:t>
      </w:r>
    </w:p>
    <w:p w14:paraId="2E88CDFD" w14:textId="77777777" w:rsidR="00EE2112" w:rsidRPr="00EE2112" w:rsidRDefault="00EE2112" w:rsidP="00A33132">
      <w:pPr>
        <w:pStyle w:val="NormalWeb"/>
        <w:ind w:left="567" w:hanging="567"/>
      </w:pPr>
      <w:r w:rsidRPr="00EE2112">
        <w:t xml:space="preserve">Introducing CADW (2019).  </w:t>
      </w:r>
      <w:r w:rsidRPr="00EE2112">
        <w:rPr>
          <w:i/>
          <w:iCs/>
        </w:rPr>
        <w:t>Cyflwyno Cadw = introducing cadw</w:t>
      </w:r>
      <w:r w:rsidRPr="00EE2112">
        <w:t xml:space="preserve"> Cardiff: Cadw, Welsh Government. ISBN 978-1-83876-520-0 </w:t>
      </w:r>
    </w:p>
    <w:p w14:paraId="51532AEA" w14:textId="77777777" w:rsidR="00EE2112" w:rsidRPr="00EE2112" w:rsidRDefault="00EE2112" w:rsidP="00462415">
      <w:pPr>
        <w:pStyle w:val="NormalWeb"/>
        <w:ind w:left="567" w:hanging="567"/>
      </w:pPr>
      <w:r w:rsidRPr="00EE2112">
        <w:t xml:space="preserve">Kaz (2023) </w:t>
      </w:r>
      <w:r w:rsidRPr="00EE2112">
        <w:rPr>
          <w:i/>
          <w:iCs/>
        </w:rPr>
        <w:t>Dinefwr Park</w:t>
      </w:r>
      <w:r w:rsidRPr="00EE2112">
        <w:t xml:space="preserve">, </w:t>
      </w:r>
      <w:r w:rsidRPr="00EE2112">
        <w:rPr>
          <w:i/>
          <w:iCs/>
        </w:rPr>
        <w:t>West Wales Family Life</w:t>
      </w:r>
      <w:r w:rsidRPr="00EE2112">
        <w:t xml:space="preserve">. Available at: https://www.westwalesfamilylife.co.uk/heritage-and-gardens-in-west-wales/carmarthenshire-heritage-and-gardens/dinefwr-park/ (Accessed: 14 May 2023). </w:t>
      </w:r>
    </w:p>
    <w:p w14:paraId="7EA24233" w14:textId="77777777" w:rsidR="00EE2112" w:rsidRPr="00EE2112" w:rsidRDefault="00EE2112" w:rsidP="00660681">
      <w:pPr>
        <w:rPr>
          <w:rFonts w:ascii="Times New Roman" w:hAnsi="Times New Roman" w:cs="Times New Roman"/>
          <w:color w:val="1F1F1F"/>
          <w:sz w:val="24"/>
          <w:szCs w:val="24"/>
          <w:shd w:val="clear" w:color="auto" w:fill="FAF8F8"/>
        </w:rPr>
      </w:pPr>
      <w:r w:rsidRPr="00EE2112">
        <w:rPr>
          <w:rFonts w:ascii="Times New Roman" w:hAnsi="Times New Roman" w:cs="Times New Roman"/>
          <w:color w:val="1F1F1F"/>
          <w:sz w:val="24"/>
          <w:szCs w:val="24"/>
          <w:shd w:val="clear" w:color="auto" w:fill="FAF8F8"/>
        </w:rPr>
        <w:t>Manning  R.  Anderson  L. and Pettengill  P. (2017). Managing Outdoor Recreation. 2nd Edition.]: CAB International p28-34</w:t>
      </w:r>
    </w:p>
    <w:p w14:paraId="31D28DA6" w14:textId="77777777" w:rsidR="00EE2112" w:rsidRPr="00EE2112" w:rsidRDefault="00EE2112" w:rsidP="00660681">
      <w:pPr>
        <w:rPr>
          <w:rFonts w:ascii="Times New Roman" w:hAnsi="Times New Roman" w:cs="Times New Roman"/>
          <w:color w:val="1F1F1F"/>
          <w:sz w:val="24"/>
          <w:szCs w:val="24"/>
          <w:u w:val="single"/>
          <w:shd w:val="clear" w:color="auto" w:fill="FAF8F8"/>
        </w:rPr>
      </w:pPr>
      <w:r w:rsidRPr="00EE2112">
        <w:rPr>
          <w:rFonts w:ascii="Times New Roman" w:hAnsi="Times New Roman" w:cs="Times New Roman"/>
          <w:color w:val="1F1F1F"/>
          <w:sz w:val="24"/>
          <w:szCs w:val="24"/>
          <w:shd w:val="clear" w:color="auto" w:fill="FAF8F8"/>
        </w:rPr>
        <w:t xml:space="preserve">Manning R , Anderson L, (2012) </w:t>
      </w:r>
      <w:r w:rsidRPr="00EE2112">
        <w:rPr>
          <w:rFonts w:ascii="Times New Roman" w:hAnsi="Times New Roman" w:cs="Times New Roman"/>
          <w:sz w:val="24"/>
          <w:szCs w:val="24"/>
        </w:rPr>
        <w:t xml:space="preserve">Managing outdoor recreation: Case studies in the national parks Available at </w:t>
      </w:r>
      <w:hyperlink r:id="rId7" w:history="1">
        <w:r w:rsidRPr="00EE2112">
          <w:rPr>
            <w:rStyle w:val="Hyperlink"/>
            <w:rFonts w:ascii="Times New Roman" w:hAnsi="Times New Roman" w:cs="Times New Roman"/>
            <w:sz w:val="24"/>
            <w:szCs w:val="24"/>
          </w:rPr>
          <w:t>https://mmv.boku.ac.at/refbase/files/mmv6_234_235.pdf</w:t>
        </w:r>
      </w:hyperlink>
      <w:r w:rsidRPr="00EE2112">
        <w:rPr>
          <w:rFonts w:ascii="Times New Roman" w:hAnsi="Times New Roman" w:cs="Times New Roman"/>
          <w:sz w:val="24"/>
          <w:szCs w:val="24"/>
        </w:rPr>
        <w:t xml:space="preserve">  (Accessed: 14 May 2023). </w:t>
      </w:r>
    </w:p>
    <w:p w14:paraId="7590DB2A" w14:textId="77777777" w:rsidR="00EE2112" w:rsidRPr="00EE2112" w:rsidRDefault="00EE2112" w:rsidP="0079416B">
      <w:pPr>
        <w:pStyle w:val="NormalWeb"/>
        <w:ind w:left="567" w:hanging="567"/>
      </w:pPr>
      <w:r w:rsidRPr="00EE2112">
        <w:t xml:space="preserve">Manning, R.E. (2012) ‘Indicators and standards in parks and Outdoor Recreation’, </w:t>
      </w:r>
      <w:r w:rsidRPr="00EE2112">
        <w:rPr>
          <w:i/>
          <w:iCs/>
        </w:rPr>
        <w:t>Using Indicators and Standards of Quality to Guide Transportation Management in Parks and Public Lands: A Best Practices Manual</w:t>
      </w:r>
      <w:r w:rsidRPr="00EE2112">
        <w:t xml:space="preserve">, pp. 1–22. doi:10.1007/978-90-481-9861-0_2. </w:t>
      </w:r>
    </w:p>
    <w:p w14:paraId="5134CD7F" w14:textId="77777777" w:rsidR="00EE2112" w:rsidRPr="00EE2112" w:rsidRDefault="00EE2112" w:rsidP="00900495">
      <w:pPr>
        <w:pStyle w:val="NormalWeb"/>
        <w:ind w:left="567" w:hanging="567"/>
      </w:pPr>
      <w:r w:rsidRPr="00EE2112">
        <w:t xml:space="preserve">Meakin, L. (2015) </w:t>
      </w:r>
      <w:r w:rsidRPr="00EE2112">
        <w:rPr>
          <w:i/>
          <w:iCs/>
        </w:rPr>
        <w:t>Public slams new dinefwr park entry fee scheme</w:t>
      </w:r>
      <w:r w:rsidRPr="00EE2112">
        <w:t xml:space="preserve">, </w:t>
      </w:r>
      <w:r w:rsidRPr="00EE2112">
        <w:rPr>
          <w:i/>
          <w:iCs/>
        </w:rPr>
        <w:t>South Wales Guardian</w:t>
      </w:r>
      <w:r w:rsidRPr="00EE2112">
        <w:t xml:space="preserve">. Available at: https://www.southwalesguardian.co.uk/news/12864597.public-slams-new-dinefwr-park-entry-fee-scheme/ (Accessed: 14 May 2023). </w:t>
      </w:r>
    </w:p>
    <w:p w14:paraId="71BC690F" w14:textId="77777777" w:rsidR="00EE2112" w:rsidRPr="00EE2112" w:rsidRDefault="00EE2112" w:rsidP="00660681">
      <w:pPr>
        <w:pStyle w:val="NormalWeb"/>
        <w:ind w:left="567" w:hanging="567"/>
      </w:pPr>
      <w:r w:rsidRPr="00EE2112">
        <w:t>National Trust (no date)</w:t>
      </w:r>
      <w:r w:rsidRPr="00EE2112">
        <w:rPr>
          <w:i/>
          <w:iCs/>
        </w:rPr>
        <w:t xml:space="preserve"> Dinefwr: Carmarthenshire: Wales National Trust</w:t>
      </w:r>
      <w:r w:rsidRPr="00EE2112">
        <w:t xml:space="preserve">. Available at: https://www.nationaltrust.org.uk/visit/wales/dinefwr (Accessed: 12 May 2023). </w:t>
      </w:r>
    </w:p>
    <w:p w14:paraId="6417622D" w14:textId="77777777" w:rsidR="00EE2112" w:rsidRPr="00EE2112" w:rsidRDefault="00EE2112" w:rsidP="00A03BA1">
      <w:pPr>
        <w:pStyle w:val="NormalWeb"/>
        <w:ind w:left="567" w:hanging="567"/>
      </w:pPr>
      <w:r w:rsidRPr="00EE2112">
        <w:lastRenderedPageBreak/>
        <w:t xml:space="preserve">National Trust (no date) </w:t>
      </w:r>
      <w:r w:rsidRPr="00EE2112">
        <w:rPr>
          <w:i/>
          <w:iCs/>
        </w:rPr>
        <w:t>Hosting outdoor activities</w:t>
      </w:r>
      <w:r w:rsidRPr="00EE2112">
        <w:t xml:space="preserve">, </w:t>
      </w:r>
      <w:r w:rsidRPr="00EE2112">
        <w:rPr>
          <w:i/>
          <w:iCs/>
        </w:rPr>
        <w:t>National Trust</w:t>
      </w:r>
      <w:r w:rsidRPr="00EE2112">
        <w:t xml:space="preserve">. Available at: https://www.nationaltrust.org.uk/services/help-centre/information-for-outdoor-activity-providers (Accessed: 13 May 2023). </w:t>
      </w:r>
    </w:p>
    <w:p w14:paraId="701E50C1" w14:textId="77777777" w:rsidR="00EE2112" w:rsidRPr="00EE2112" w:rsidRDefault="00EE2112" w:rsidP="00820111">
      <w:pPr>
        <w:pStyle w:val="NormalWeb"/>
        <w:ind w:left="567" w:hanging="567"/>
      </w:pPr>
      <w:r w:rsidRPr="00EE2112">
        <w:t xml:space="preserve">Norman, T. (2020) </w:t>
      </w:r>
      <w:r w:rsidRPr="00EE2112">
        <w:rPr>
          <w:i/>
          <w:iCs/>
        </w:rPr>
        <w:t>Llandeilo history</w:t>
      </w:r>
      <w:r w:rsidRPr="00EE2112">
        <w:t xml:space="preserve">, </w:t>
      </w:r>
      <w:r w:rsidRPr="00EE2112">
        <w:rPr>
          <w:i/>
          <w:iCs/>
        </w:rPr>
        <w:t>Llandeilo History - Dinefwr Park - Policies</w:t>
      </w:r>
      <w:r w:rsidRPr="00EE2112">
        <w:t xml:space="preserve">. Available at: https://llandeilo.org/nt_policies.php (Accessed: 13 May 2023). </w:t>
      </w:r>
    </w:p>
    <w:p w14:paraId="560CF858" w14:textId="77777777" w:rsidR="00EE2112" w:rsidRPr="00EE2112" w:rsidRDefault="00EE2112" w:rsidP="0063606A">
      <w:pPr>
        <w:pStyle w:val="NormalWeb"/>
        <w:ind w:left="567" w:hanging="567"/>
      </w:pPr>
      <w:r w:rsidRPr="00EE2112">
        <w:t xml:space="preserve">Parks Canada Agency, G. of C. (2022) </w:t>
      </w:r>
      <w:r w:rsidRPr="00EE2112">
        <w:rPr>
          <w:i/>
          <w:iCs/>
        </w:rPr>
        <w:t>6.1 zoning in national parks</w:t>
      </w:r>
      <w:r w:rsidRPr="00EE2112">
        <w:t xml:space="preserve">, </w:t>
      </w:r>
      <w:r w:rsidRPr="00EE2112">
        <w:rPr>
          <w:i/>
          <w:iCs/>
        </w:rPr>
        <w:t>Aulavik National Park</w:t>
      </w:r>
      <w:r w:rsidRPr="00EE2112">
        <w:t xml:space="preserve">. Available at: https://parks.canada.ca/pn-np/nt/aulavik/gestion-management/plan/plan2/sec6 (Accessed: 14 May 2023). </w:t>
      </w:r>
    </w:p>
    <w:p w14:paraId="4AA0281A" w14:textId="77777777" w:rsidR="00EE2112" w:rsidRPr="00EE2112" w:rsidRDefault="00EE2112" w:rsidP="00F744C7">
      <w:pPr>
        <w:pStyle w:val="NormalWeb"/>
        <w:ind w:left="567" w:hanging="567"/>
      </w:pPr>
      <w:r w:rsidRPr="00EE2112">
        <w:t>United States Department of Agriculture (no date)</w:t>
      </w:r>
      <w:r w:rsidRPr="00EE2112">
        <w:rPr>
          <w:i/>
          <w:iCs/>
        </w:rPr>
        <w:t xml:space="preserve"> RECREATION OPPORTUNITY SPECTRUM  (ROS)</w:t>
      </w:r>
      <w:r w:rsidRPr="00EE2112">
        <w:t xml:space="preserve"> </w:t>
      </w:r>
      <w:r w:rsidRPr="00EE2112">
        <w:rPr>
          <w:i/>
          <w:iCs/>
        </w:rPr>
        <w:t xml:space="preserve">Forest Service National </w:t>
      </w:r>
      <w:r w:rsidRPr="00EE2112">
        <w:t xml:space="preserve">. Available at: https://www.fs.usda.gov/detail/tonto/landmanagement/planning/?cid=stelprdb5412121 (Accessed: 13 May 2023). </w:t>
      </w:r>
    </w:p>
    <w:p w14:paraId="217B41FF" w14:textId="77777777" w:rsidR="00660681" w:rsidRPr="00660681" w:rsidRDefault="00660681" w:rsidP="00660681">
      <w:pPr>
        <w:rPr>
          <w:rFonts w:ascii="Times New Roman" w:hAnsi="Times New Roman" w:cs="Times New Roman"/>
          <w:sz w:val="24"/>
          <w:szCs w:val="24"/>
        </w:rPr>
      </w:pPr>
    </w:p>
    <w:sectPr w:rsidR="00660681" w:rsidRPr="0066068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A5258" w14:textId="77777777" w:rsidR="00CE0C4E" w:rsidRDefault="00CE0C4E" w:rsidP="009E06F0">
      <w:pPr>
        <w:spacing w:after="0" w:line="240" w:lineRule="auto"/>
      </w:pPr>
      <w:r>
        <w:separator/>
      </w:r>
    </w:p>
  </w:endnote>
  <w:endnote w:type="continuationSeparator" w:id="0">
    <w:p w14:paraId="7B4EBAE9" w14:textId="77777777" w:rsidR="00CE0C4E" w:rsidRDefault="00CE0C4E" w:rsidP="009E0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989321"/>
      <w:docPartObj>
        <w:docPartGallery w:val="Page Numbers (Bottom of Page)"/>
        <w:docPartUnique/>
      </w:docPartObj>
    </w:sdtPr>
    <w:sdtEndPr>
      <w:rPr>
        <w:color w:val="7F7F7F" w:themeColor="background1" w:themeShade="7F"/>
        <w:spacing w:val="60"/>
      </w:rPr>
    </w:sdtEndPr>
    <w:sdtContent>
      <w:p w14:paraId="27F120F6" w14:textId="7CF5FD5B" w:rsidR="009E06F0" w:rsidRDefault="009E06F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84739AE" w14:textId="77777777" w:rsidR="009E06F0" w:rsidRDefault="009E0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A8841" w14:textId="77777777" w:rsidR="00CE0C4E" w:rsidRDefault="00CE0C4E" w:rsidP="009E06F0">
      <w:pPr>
        <w:spacing w:after="0" w:line="240" w:lineRule="auto"/>
      </w:pPr>
      <w:r>
        <w:separator/>
      </w:r>
    </w:p>
  </w:footnote>
  <w:footnote w:type="continuationSeparator" w:id="0">
    <w:p w14:paraId="6297AF62" w14:textId="77777777" w:rsidR="00CE0C4E" w:rsidRDefault="00CE0C4E" w:rsidP="009E06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F2760" w14:textId="478817F8" w:rsidR="009E06F0" w:rsidRDefault="009E06F0">
    <w:pPr>
      <w:pStyle w:val="Header"/>
    </w:pPr>
    <w:r>
      <w:t>Darcey Beak: 2006955                                                                                                  BM</w:t>
    </w:r>
    <w:r w:rsidR="001A701A">
      <w:t>OE6003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F0DDF"/>
    <w:multiLevelType w:val="hybridMultilevel"/>
    <w:tmpl w:val="AF4EF3F6"/>
    <w:lvl w:ilvl="0" w:tplc="D486A1D4">
      <w:start w:val="1"/>
      <w:numFmt w:val="decimal"/>
      <w:lvlText w:val="%1."/>
      <w:lvlJc w:val="left"/>
      <w:pPr>
        <w:tabs>
          <w:tab w:val="num" w:pos="720"/>
        </w:tabs>
        <w:ind w:left="720" w:hanging="360"/>
      </w:pPr>
    </w:lvl>
    <w:lvl w:ilvl="1" w:tplc="CFFA6A7A" w:tentative="1">
      <w:start w:val="1"/>
      <w:numFmt w:val="decimal"/>
      <w:lvlText w:val="%2."/>
      <w:lvlJc w:val="left"/>
      <w:pPr>
        <w:tabs>
          <w:tab w:val="num" w:pos="1440"/>
        </w:tabs>
        <w:ind w:left="1440" w:hanging="360"/>
      </w:pPr>
    </w:lvl>
    <w:lvl w:ilvl="2" w:tplc="53181A5A" w:tentative="1">
      <w:start w:val="1"/>
      <w:numFmt w:val="decimal"/>
      <w:lvlText w:val="%3."/>
      <w:lvlJc w:val="left"/>
      <w:pPr>
        <w:tabs>
          <w:tab w:val="num" w:pos="2160"/>
        </w:tabs>
        <w:ind w:left="2160" w:hanging="360"/>
      </w:pPr>
    </w:lvl>
    <w:lvl w:ilvl="3" w:tplc="32E267C4" w:tentative="1">
      <w:start w:val="1"/>
      <w:numFmt w:val="decimal"/>
      <w:lvlText w:val="%4."/>
      <w:lvlJc w:val="left"/>
      <w:pPr>
        <w:tabs>
          <w:tab w:val="num" w:pos="2880"/>
        </w:tabs>
        <w:ind w:left="2880" w:hanging="360"/>
      </w:pPr>
    </w:lvl>
    <w:lvl w:ilvl="4" w:tplc="6696F96A" w:tentative="1">
      <w:start w:val="1"/>
      <w:numFmt w:val="decimal"/>
      <w:lvlText w:val="%5."/>
      <w:lvlJc w:val="left"/>
      <w:pPr>
        <w:tabs>
          <w:tab w:val="num" w:pos="3600"/>
        </w:tabs>
        <w:ind w:left="3600" w:hanging="360"/>
      </w:pPr>
    </w:lvl>
    <w:lvl w:ilvl="5" w:tplc="21F8973E" w:tentative="1">
      <w:start w:val="1"/>
      <w:numFmt w:val="decimal"/>
      <w:lvlText w:val="%6."/>
      <w:lvlJc w:val="left"/>
      <w:pPr>
        <w:tabs>
          <w:tab w:val="num" w:pos="4320"/>
        </w:tabs>
        <w:ind w:left="4320" w:hanging="360"/>
      </w:pPr>
    </w:lvl>
    <w:lvl w:ilvl="6" w:tplc="979494B4" w:tentative="1">
      <w:start w:val="1"/>
      <w:numFmt w:val="decimal"/>
      <w:lvlText w:val="%7."/>
      <w:lvlJc w:val="left"/>
      <w:pPr>
        <w:tabs>
          <w:tab w:val="num" w:pos="5040"/>
        </w:tabs>
        <w:ind w:left="5040" w:hanging="360"/>
      </w:pPr>
    </w:lvl>
    <w:lvl w:ilvl="7" w:tplc="41A60758" w:tentative="1">
      <w:start w:val="1"/>
      <w:numFmt w:val="decimal"/>
      <w:lvlText w:val="%8."/>
      <w:lvlJc w:val="left"/>
      <w:pPr>
        <w:tabs>
          <w:tab w:val="num" w:pos="5760"/>
        </w:tabs>
        <w:ind w:left="5760" w:hanging="360"/>
      </w:pPr>
    </w:lvl>
    <w:lvl w:ilvl="8" w:tplc="03AC41AA" w:tentative="1">
      <w:start w:val="1"/>
      <w:numFmt w:val="decimal"/>
      <w:lvlText w:val="%9."/>
      <w:lvlJc w:val="left"/>
      <w:pPr>
        <w:tabs>
          <w:tab w:val="num" w:pos="6480"/>
        </w:tabs>
        <w:ind w:left="6480" w:hanging="360"/>
      </w:pPr>
    </w:lvl>
  </w:abstractNum>
  <w:abstractNum w:abstractNumId="1" w15:restartNumberingAfterBreak="0">
    <w:nsid w:val="37BB4696"/>
    <w:multiLevelType w:val="hybridMultilevel"/>
    <w:tmpl w:val="6B84053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72C70201"/>
    <w:multiLevelType w:val="multilevel"/>
    <w:tmpl w:val="36A60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29020708">
    <w:abstractNumId w:val="1"/>
  </w:num>
  <w:num w:numId="2" w16cid:durableId="548078304">
    <w:abstractNumId w:val="0"/>
  </w:num>
  <w:num w:numId="3" w16cid:durableId="19192440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681"/>
    <w:rsid w:val="00004B41"/>
    <w:rsid w:val="0001450D"/>
    <w:rsid w:val="00020769"/>
    <w:rsid w:val="00023C77"/>
    <w:rsid w:val="00033030"/>
    <w:rsid w:val="00033ED7"/>
    <w:rsid w:val="000405AE"/>
    <w:rsid w:val="0004167D"/>
    <w:rsid w:val="000416AC"/>
    <w:rsid w:val="00041ED4"/>
    <w:rsid w:val="00057BC8"/>
    <w:rsid w:val="00061288"/>
    <w:rsid w:val="00062790"/>
    <w:rsid w:val="00066186"/>
    <w:rsid w:val="0006696E"/>
    <w:rsid w:val="00067239"/>
    <w:rsid w:val="00070D1F"/>
    <w:rsid w:val="00071F64"/>
    <w:rsid w:val="00075076"/>
    <w:rsid w:val="0008463C"/>
    <w:rsid w:val="000A4F10"/>
    <w:rsid w:val="000A5A67"/>
    <w:rsid w:val="000B314E"/>
    <w:rsid w:val="000B528D"/>
    <w:rsid w:val="000C54AF"/>
    <w:rsid w:val="000D5302"/>
    <w:rsid w:val="000D57FB"/>
    <w:rsid w:val="000D6919"/>
    <w:rsid w:val="000D7236"/>
    <w:rsid w:val="000E76F6"/>
    <w:rsid w:val="000F1EDB"/>
    <w:rsid w:val="000F3E0F"/>
    <w:rsid w:val="000F6D36"/>
    <w:rsid w:val="0010460C"/>
    <w:rsid w:val="00106D05"/>
    <w:rsid w:val="00114086"/>
    <w:rsid w:val="00116397"/>
    <w:rsid w:val="00124FA2"/>
    <w:rsid w:val="00130F83"/>
    <w:rsid w:val="00137782"/>
    <w:rsid w:val="00143FFC"/>
    <w:rsid w:val="00145F62"/>
    <w:rsid w:val="00153D68"/>
    <w:rsid w:val="00153E00"/>
    <w:rsid w:val="00163590"/>
    <w:rsid w:val="0016435A"/>
    <w:rsid w:val="00171016"/>
    <w:rsid w:val="0018146B"/>
    <w:rsid w:val="001862DC"/>
    <w:rsid w:val="00191F08"/>
    <w:rsid w:val="00192043"/>
    <w:rsid w:val="00195E59"/>
    <w:rsid w:val="001A22F0"/>
    <w:rsid w:val="001A701A"/>
    <w:rsid w:val="001E295F"/>
    <w:rsid w:val="001E3000"/>
    <w:rsid w:val="001E6153"/>
    <w:rsid w:val="001E6EEB"/>
    <w:rsid w:val="001E73BC"/>
    <w:rsid w:val="001F60ED"/>
    <w:rsid w:val="001F6F57"/>
    <w:rsid w:val="002010C6"/>
    <w:rsid w:val="002074E7"/>
    <w:rsid w:val="0022049E"/>
    <w:rsid w:val="00266DB7"/>
    <w:rsid w:val="0027403F"/>
    <w:rsid w:val="00283AFF"/>
    <w:rsid w:val="002B1876"/>
    <w:rsid w:val="002C4EC1"/>
    <w:rsid w:val="002C5913"/>
    <w:rsid w:val="002D3B9D"/>
    <w:rsid w:val="002D69C0"/>
    <w:rsid w:val="002E167E"/>
    <w:rsid w:val="002F1F59"/>
    <w:rsid w:val="003101DC"/>
    <w:rsid w:val="0031717A"/>
    <w:rsid w:val="00326ED4"/>
    <w:rsid w:val="003322A2"/>
    <w:rsid w:val="00340A65"/>
    <w:rsid w:val="003415E4"/>
    <w:rsid w:val="00347818"/>
    <w:rsid w:val="003516F2"/>
    <w:rsid w:val="00357995"/>
    <w:rsid w:val="003600C2"/>
    <w:rsid w:val="003623F2"/>
    <w:rsid w:val="00363F44"/>
    <w:rsid w:val="00370FA6"/>
    <w:rsid w:val="00374984"/>
    <w:rsid w:val="00384D43"/>
    <w:rsid w:val="00385543"/>
    <w:rsid w:val="00391589"/>
    <w:rsid w:val="00393967"/>
    <w:rsid w:val="0039519F"/>
    <w:rsid w:val="0039644B"/>
    <w:rsid w:val="003B0CA7"/>
    <w:rsid w:val="003B63D0"/>
    <w:rsid w:val="003C0549"/>
    <w:rsid w:val="003C1E6B"/>
    <w:rsid w:val="003C1EA5"/>
    <w:rsid w:val="003C6EE0"/>
    <w:rsid w:val="003D26C0"/>
    <w:rsid w:val="003D428D"/>
    <w:rsid w:val="003D5C11"/>
    <w:rsid w:val="003E1B52"/>
    <w:rsid w:val="003E5757"/>
    <w:rsid w:val="003F14E0"/>
    <w:rsid w:val="003F1B85"/>
    <w:rsid w:val="003F3D61"/>
    <w:rsid w:val="00405772"/>
    <w:rsid w:val="004064CB"/>
    <w:rsid w:val="0041030D"/>
    <w:rsid w:val="004210A7"/>
    <w:rsid w:val="00433A30"/>
    <w:rsid w:val="0043749A"/>
    <w:rsid w:val="00443667"/>
    <w:rsid w:val="00446EA0"/>
    <w:rsid w:val="00453880"/>
    <w:rsid w:val="00462415"/>
    <w:rsid w:val="00462D36"/>
    <w:rsid w:val="00474394"/>
    <w:rsid w:val="0048561D"/>
    <w:rsid w:val="0048785D"/>
    <w:rsid w:val="0049310C"/>
    <w:rsid w:val="004935E1"/>
    <w:rsid w:val="004A0F62"/>
    <w:rsid w:val="004A542F"/>
    <w:rsid w:val="004B4A6D"/>
    <w:rsid w:val="004C032F"/>
    <w:rsid w:val="004C263C"/>
    <w:rsid w:val="004C3426"/>
    <w:rsid w:val="004C410A"/>
    <w:rsid w:val="004E1AA3"/>
    <w:rsid w:val="004E2FB7"/>
    <w:rsid w:val="004F2872"/>
    <w:rsid w:val="004F7E49"/>
    <w:rsid w:val="005028E5"/>
    <w:rsid w:val="00502901"/>
    <w:rsid w:val="00502932"/>
    <w:rsid w:val="00507774"/>
    <w:rsid w:val="00513E8A"/>
    <w:rsid w:val="00521C9B"/>
    <w:rsid w:val="005468FE"/>
    <w:rsid w:val="00564739"/>
    <w:rsid w:val="0057349F"/>
    <w:rsid w:val="00574911"/>
    <w:rsid w:val="0057541F"/>
    <w:rsid w:val="005777D0"/>
    <w:rsid w:val="00582082"/>
    <w:rsid w:val="005844A4"/>
    <w:rsid w:val="00587B4C"/>
    <w:rsid w:val="005965E2"/>
    <w:rsid w:val="005A6752"/>
    <w:rsid w:val="005A7289"/>
    <w:rsid w:val="005A73AC"/>
    <w:rsid w:val="005A756B"/>
    <w:rsid w:val="005D0C3E"/>
    <w:rsid w:val="005D2A29"/>
    <w:rsid w:val="005E6457"/>
    <w:rsid w:val="005E6C08"/>
    <w:rsid w:val="005F13CA"/>
    <w:rsid w:val="005F75FD"/>
    <w:rsid w:val="006031D7"/>
    <w:rsid w:val="00607ABB"/>
    <w:rsid w:val="00612A9B"/>
    <w:rsid w:val="00621579"/>
    <w:rsid w:val="0062158D"/>
    <w:rsid w:val="006239A6"/>
    <w:rsid w:val="0063606A"/>
    <w:rsid w:val="006477F3"/>
    <w:rsid w:val="00652CF4"/>
    <w:rsid w:val="00653E6B"/>
    <w:rsid w:val="00660681"/>
    <w:rsid w:val="00662292"/>
    <w:rsid w:val="0067165F"/>
    <w:rsid w:val="00693B06"/>
    <w:rsid w:val="006B12A6"/>
    <w:rsid w:val="006B21CF"/>
    <w:rsid w:val="006B70EF"/>
    <w:rsid w:val="006C3987"/>
    <w:rsid w:val="006C5BD7"/>
    <w:rsid w:val="006C612E"/>
    <w:rsid w:val="006D5B24"/>
    <w:rsid w:val="006E4A47"/>
    <w:rsid w:val="006F6273"/>
    <w:rsid w:val="00703C94"/>
    <w:rsid w:val="00706433"/>
    <w:rsid w:val="007070C4"/>
    <w:rsid w:val="0071169A"/>
    <w:rsid w:val="00721FBC"/>
    <w:rsid w:val="007436BA"/>
    <w:rsid w:val="00752F9A"/>
    <w:rsid w:val="007569A6"/>
    <w:rsid w:val="007571CC"/>
    <w:rsid w:val="00765176"/>
    <w:rsid w:val="00770E18"/>
    <w:rsid w:val="007741F2"/>
    <w:rsid w:val="00774BD9"/>
    <w:rsid w:val="00780CE8"/>
    <w:rsid w:val="00781C52"/>
    <w:rsid w:val="007820FB"/>
    <w:rsid w:val="007836BC"/>
    <w:rsid w:val="00783F02"/>
    <w:rsid w:val="00786329"/>
    <w:rsid w:val="0078639F"/>
    <w:rsid w:val="0079416B"/>
    <w:rsid w:val="0079562A"/>
    <w:rsid w:val="007A32C7"/>
    <w:rsid w:val="007A4C7C"/>
    <w:rsid w:val="007B1CDD"/>
    <w:rsid w:val="007B1E38"/>
    <w:rsid w:val="007B75CA"/>
    <w:rsid w:val="007E0BCB"/>
    <w:rsid w:val="007F3AAD"/>
    <w:rsid w:val="007F58A5"/>
    <w:rsid w:val="00805A72"/>
    <w:rsid w:val="00815B80"/>
    <w:rsid w:val="00820111"/>
    <w:rsid w:val="008201B7"/>
    <w:rsid w:val="00824392"/>
    <w:rsid w:val="0084728E"/>
    <w:rsid w:val="008478B2"/>
    <w:rsid w:val="00850425"/>
    <w:rsid w:val="00852B52"/>
    <w:rsid w:val="00853030"/>
    <w:rsid w:val="00853AE1"/>
    <w:rsid w:val="008543C2"/>
    <w:rsid w:val="008555A2"/>
    <w:rsid w:val="00855D04"/>
    <w:rsid w:val="00861125"/>
    <w:rsid w:val="0086297A"/>
    <w:rsid w:val="0086494B"/>
    <w:rsid w:val="008670E1"/>
    <w:rsid w:val="00867EBA"/>
    <w:rsid w:val="00871A9B"/>
    <w:rsid w:val="0089307A"/>
    <w:rsid w:val="00893104"/>
    <w:rsid w:val="00894ED6"/>
    <w:rsid w:val="008B2311"/>
    <w:rsid w:val="008B5844"/>
    <w:rsid w:val="008C0AF7"/>
    <w:rsid w:val="008C4D8E"/>
    <w:rsid w:val="008D6003"/>
    <w:rsid w:val="008E1E43"/>
    <w:rsid w:val="008E761C"/>
    <w:rsid w:val="00900495"/>
    <w:rsid w:val="0090113E"/>
    <w:rsid w:val="00901ED6"/>
    <w:rsid w:val="009075C0"/>
    <w:rsid w:val="009121D8"/>
    <w:rsid w:val="00914D21"/>
    <w:rsid w:val="00914D7F"/>
    <w:rsid w:val="009175A5"/>
    <w:rsid w:val="0093463A"/>
    <w:rsid w:val="009436C1"/>
    <w:rsid w:val="0094403A"/>
    <w:rsid w:val="00944907"/>
    <w:rsid w:val="00954CCC"/>
    <w:rsid w:val="00955126"/>
    <w:rsid w:val="00960678"/>
    <w:rsid w:val="00961B3A"/>
    <w:rsid w:val="00973979"/>
    <w:rsid w:val="00975DBD"/>
    <w:rsid w:val="0098086E"/>
    <w:rsid w:val="00981A09"/>
    <w:rsid w:val="009840DC"/>
    <w:rsid w:val="009A0BC2"/>
    <w:rsid w:val="009A0E75"/>
    <w:rsid w:val="009A13D5"/>
    <w:rsid w:val="009A3CD8"/>
    <w:rsid w:val="009C038C"/>
    <w:rsid w:val="009D73A3"/>
    <w:rsid w:val="009D7F0D"/>
    <w:rsid w:val="009E06F0"/>
    <w:rsid w:val="009F11BA"/>
    <w:rsid w:val="009F63A7"/>
    <w:rsid w:val="00A006B0"/>
    <w:rsid w:val="00A010EE"/>
    <w:rsid w:val="00A03BA1"/>
    <w:rsid w:val="00A10242"/>
    <w:rsid w:val="00A1318C"/>
    <w:rsid w:val="00A13482"/>
    <w:rsid w:val="00A16882"/>
    <w:rsid w:val="00A20336"/>
    <w:rsid w:val="00A20DB5"/>
    <w:rsid w:val="00A22C81"/>
    <w:rsid w:val="00A22F0F"/>
    <w:rsid w:val="00A30E74"/>
    <w:rsid w:val="00A33132"/>
    <w:rsid w:val="00A33664"/>
    <w:rsid w:val="00A3497C"/>
    <w:rsid w:val="00A35FBB"/>
    <w:rsid w:val="00A500A7"/>
    <w:rsid w:val="00A534C9"/>
    <w:rsid w:val="00A57069"/>
    <w:rsid w:val="00A62B10"/>
    <w:rsid w:val="00A63677"/>
    <w:rsid w:val="00A7349F"/>
    <w:rsid w:val="00A736B8"/>
    <w:rsid w:val="00A81957"/>
    <w:rsid w:val="00A84475"/>
    <w:rsid w:val="00A86974"/>
    <w:rsid w:val="00A91AD3"/>
    <w:rsid w:val="00A927C6"/>
    <w:rsid w:val="00A9640A"/>
    <w:rsid w:val="00A96F8F"/>
    <w:rsid w:val="00A97E4A"/>
    <w:rsid w:val="00AA2449"/>
    <w:rsid w:val="00AA50CF"/>
    <w:rsid w:val="00AB080F"/>
    <w:rsid w:val="00AB279D"/>
    <w:rsid w:val="00AB33DC"/>
    <w:rsid w:val="00AB597F"/>
    <w:rsid w:val="00AB767D"/>
    <w:rsid w:val="00AC74D7"/>
    <w:rsid w:val="00AD179B"/>
    <w:rsid w:val="00AD72D9"/>
    <w:rsid w:val="00B00283"/>
    <w:rsid w:val="00B069F3"/>
    <w:rsid w:val="00B0716F"/>
    <w:rsid w:val="00B11BE6"/>
    <w:rsid w:val="00B13D8C"/>
    <w:rsid w:val="00B156F6"/>
    <w:rsid w:val="00B261E8"/>
    <w:rsid w:val="00B54BE4"/>
    <w:rsid w:val="00B62462"/>
    <w:rsid w:val="00B705AB"/>
    <w:rsid w:val="00B7176B"/>
    <w:rsid w:val="00B81F0A"/>
    <w:rsid w:val="00B853EE"/>
    <w:rsid w:val="00B93E66"/>
    <w:rsid w:val="00B95677"/>
    <w:rsid w:val="00BA3D10"/>
    <w:rsid w:val="00BB1BE3"/>
    <w:rsid w:val="00BB7DCA"/>
    <w:rsid w:val="00BC48A3"/>
    <w:rsid w:val="00BC5EA2"/>
    <w:rsid w:val="00BC6FDC"/>
    <w:rsid w:val="00BD0C40"/>
    <w:rsid w:val="00BE049E"/>
    <w:rsid w:val="00BE7714"/>
    <w:rsid w:val="00C120D0"/>
    <w:rsid w:val="00C12102"/>
    <w:rsid w:val="00C1351B"/>
    <w:rsid w:val="00C15B5B"/>
    <w:rsid w:val="00C16223"/>
    <w:rsid w:val="00C21811"/>
    <w:rsid w:val="00C22C62"/>
    <w:rsid w:val="00C2475D"/>
    <w:rsid w:val="00C25667"/>
    <w:rsid w:val="00C43ADA"/>
    <w:rsid w:val="00C447CA"/>
    <w:rsid w:val="00C45780"/>
    <w:rsid w:val="00C47BD5"/>
    <w:rsid w:val="00C47D76"/>
    <w:rsid w:val="00C57BF8"/>
    <w:rsid w:val="00C60FFF"/>
    <w:rsid w:val="00C624D5"/>
    <w:rsid w:val="00C76500"/>
    <w:rsid w:val="00C8582F"/>
    <w:rsid w:val="00CA2A74"/>
    <w:rsid w:val="00CA4B8C"/>
    <w:rsid w:val="00CA7C73"/>
    <w:rsid w:val="00CB42EB"/>
    <w:rsid w:val="00CB48B4"/>
    <w:rsid w:val="00CB612C"/>
    <w:rsid w:val="00CB757C"/>
    <w:rsid w:val="00CC0B16"/>
    <w:rsid w:val="00CC5938"/>
    <w:rsid w:val="00CD1BA6"/>
    <w:rsid w:val="00CE0C4E"/>
    <w:rsid w:val="00CE59AB"/>
    <w:rsid w:val="00CF29DA"/>
    <w:rsid w:val="00CF305E"/>
    <w:rsid w:val="00CF572C"/>
    <w:rsid w:val="00D049E3"/>
    <w:rsid w:val="00D13C18"/>
    <w:rsid w:val="00D23F6C"/>
    <w:rsid w:val="00D4631C"/>
    <w:rsid w:val="00D53C11"/>
    <w:rsid w:val="00D54FF7"/>
    <w:rsid w:val="00D67E2A"/>
    <w:rsid w:val="00D74DF6"/>
    <w:rsid w:val="00D75F02"/>
    <w:rsid w:val="00D76539"/>
    <w:rsid w:val="00D850C9"/>
    <w:rsid w:val="00D908F4"/>
    <w:rsid w:val="00D94CCE"/>
    <w:rsid w:val="00D967CD"/>
    <w:rsid w:val="00D97CC2"/>
    <w:rsid w:val="00DA3554"/>
    <w:rsid w:val="00DA4945"/>
    <w:rsid w:val="00DC3B0C"/>
    <w:rsid w:val="00DD1F68"/>
    <w:rsid w:val="00DE7B21"/>
    <w:rsid w:val="00DF1A9A"/>
    <w:rsid w:val="00DF6F6C"/>
    <w:rsid w:val="00E14B99"/>
    <w:rsid w:val="00E1774F"/>
    <w:rsid w:val="00E24568"/>
    <w:rsid w:val="00E3050A"/>
    <w:rsid w:val="00E32209"/>
    <w:rsid w:val="00E43CBD"/>
    <w:rsid w:val="00E4625E"/>
    <w:rsid w:val="00E53038"/>
    <w:rsid w:val="00E5417F"/>
    <w:rsid w:val="00E567E3"/>
    <w:rsid w:val="00E6452E"/>
    <w:rsid w:val="00E7281A"/>
    <w:rsid w:val="00E7595F"/>
    <w:rsid w:val="00E8220E"/>
    <w:rsid w:val="00E92D9E"/>
    <w:rsid w:val="00EA0301"/>
    <w:rsid w:val="00EA64DE"/>
    <w:rsid w:val="00EB61FC"/>
    <w:rsid w:val="00EC6DD8"/>
    <w:rsid w:val="00ED7AC2"/>
    <w:rsid w:val="00EE2112"/>
    <w:rsid w:val="00EE2BC6"/>
    <w:rsid w:val="00EE3470"/>
    <w:rsid w:val="00EF6995"/>
    <w:rsid w:val="00F01361"/>
    <w:rsid w:val="00F01AB3"/>
    <w:rsid w:val="00F064DC"/>
    <w:rsid w:val="00F13DF0"/>
    <w:rsid w:val="00F153C2"/>
    <w:rsid w:val="00F22FBA"/>
    <w:rsid w:val="00F364CC"/>
    <w:rsid w:val="00F36A45"/>
    <w:rsid w:val="00F424CC"/>
    <w:rsid w:val="00F45050"/>
    <w:rsid w:val="00F50384"/>
    <w:rsid w:val="00F50D63"/>
    <w:rsid w:val="00F744C7"/>
    <w:rsid w:val="00F76F11"/>
    <w:rsid w:val="00F853CA"/>
    <w:rsid w:val="00F87434"/>
    <w:rsid w:val="00F95211"/>
    <w:rsid w:val="00FB1306"/>
    <w:rsid w:val="00FB772B"/>
    <w:rsid w:val="00FC00F9"/>
    <w:rsid w:val="00FC0FDA"/>
    <w:rsid w:val="00FD0F3E"/>
    <w:rsid w:val="00FD77D3"/>
    <w:rsid w:val="00FE7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7633F"/>
  <w15:chartTrackingRefBased/>
  <w15:docId w15:val="{E1CE9DD3-A451-4634-B59F-417A2B9B3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606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171016"/>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D850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83AFF"/>
    <w:rPr>
      <w:color w:val="0000FF"/>
      <w:u w:val="single"/>
    </w:rPr>
  </w:style>
  <w:style w:type="character" w:styleId="UnresolvedMention">
    <w:name w:val="Unresolved Mention"/>
    <w:basedOn w:val="DefaultParagraphFont"/>
    <w:uiPriority w:val="99"/>
    <w:semiHidden/>
    <w:unhideWhenUsed/>
    <w:rsid w:val="00507774"/>
    <w:rPr>
      <w:color w:val="605E5C"/>
      <w:shd w:val="clear" w:color="auto" w:fill="E1DFDD"/>
    </w:rPr>
  </w:style>
  <w:style w:type="paragraph" w:styleId="Header">
    <w:name w:val="header"/>
    <w:basedOn w:val="Normal"/>
    <w:link w:val="HeaderChar"/>
    <w:uiPriority w:val="99"/>
    <w:unhideWhenUsed/>
    <w:rsid w:val="009E06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6F0"/>
  </w:style>
  <w:style w:type="paragraph" w:styleId="Footer">
    <w:name w:val="footer"/>
    <w:basedOn w:val="Normal"/>
    <w:link w:val="FooterChar"/>
    <w:uiPriority w:val="99"/>
    <w:unhideWhenUsed/>
    <w:rsid w:val="009E06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6F0"/>
  </w:style>
  <w:style w:type="character" w:styleId="Strong">
    <w:name w:val="Strong"/>
    <w:basedOn w:val="DefaultParagraphFont"/>
    <w:uiPriority w:val="22"/>
    <w:qFormat/>
    <w:rsid w:val="005A75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138622">
      <w:bodyDiv w:val="1"/>
      <w:marLeft w:val="0"/>
      <w:marRight w:val="0"/>
      <w:marTop w:val="0"/>
      <w:marBottom w:val="0"/>
      <w:divBdr>
        <w:top w:val="none" w:sz="0" w:space="0" w:color="auto"/>
        <w:left w:val="none" w:sz="0" w:space="0" w:color="auto"/>
        <w:bottom w:val="none" w:sz="0" w:space="0" w:color="auto"/>
        <w:right w:val="none" w:sz="0" w:space="0" w:color="auto"/>
      </w:divBdr>
    </w:div>
    <w:div w:id="187066996">
      <w:bodyDiv w:val="1"/>
      <w:marLeft w:val="0"/>
      <w:marRight w:val="0"/>
      <w:marTop w:val="0"/>
      <w:marBottom w:val="0"/>
      <w:divBdr>
        <w:top w:val="none" w:sz="0" w:space="0" w:color="auto"/>
        <w:left w:val="none" w:sz="0" w:space="0" w:color="auto"/>
        <w:bottom w:val="none" w:sz="0" w:space="0" w:color="auto"/>
        <w:right w:val="none" w:sz="0" w:space="0" w:color="auto"/>
      </w:divBdr>
    </w:div>
    <w:div w:id="339938578">
      <w:bodyDiv w:val="1"/>
      <w:marLeft w:val="0"/>
      <w:marRight w:val="0"/>
      <w:marTop w:val="0"/>
      <w:marBottom w:val="0"/>
      <w:divBdr>
        <w:top w:val="none" w:sz="0" w:space="0" w:color="auto"/>
        <w:left w:val="none" w:sz="0" w:space="0" w:color="auto"/>
        <w:bottom w:val="none" w:sz="0" w:space="0" w:color="auto"/>
        <w:right w:val="none" w:sz="0" w:space="0" w:color="auto"/>
      </w:divBdr>
    </w:div>
    <w:div w:id="341130903">
      <w:bodyDiv w:val="1"/>
      <w:marLeft w:val="0"/>
      <w:marRight w:val="0"/>
      <w:marTop w:val="0"/>
      <w:marBottom w:val="0"/>
      <w:divBdr>
        <w:top w:val="none" w:sz="0" w:space="0" w:color="auto"/>
        <w:left w:val="none" w:sz="0" w:space="0" w:color="auto"/>
        <w:bottom w:val="none" w:sz="0" w:space="0" w:color="auto"/>
        <w:right w:val="none" w:sz="0" w:space="0" w:color="auto"/>
      </w:divBdr>
    </w:div>
    <w:div w:id="573587284">
      <w:bodyDiv w:val="1"/>
      <w:marLeft w:val="0"/>
      <w:marRight w:val="0"/>
      <w:marTop w:val="0"/>
      <w:marBottom w:val="0"/>
      <w:divBdr>
        <w:top w:val="none" w:sz="0" w:space="0" w:color="auto"/>
        <w:left w:val="none" w:sz="0" w:space="0" w:color="auto"/>
        <w:bottom w:val="none" w:sz="0" w:space="0" w:color="auto"/>
        <w:right w:val="none" w:sz="0" w:space="0" w:color="auto"/>
      </w:divBdr>
    </w:div>
    <w:div w:id="653223396">
      <w:bodyDiv w:val="1"/>
      <w:marLeft w:val="0"/>
      <w:marRight w:val="0"/>
      <w:marTop w:val="0"/>
      <w:marBottom w:val="0"/>
      <w:divBdr>
        <w:top w:val="none" w:sz="0" w:space="0" w:color="auto"/>
        <w:left w:val="none" w:sz="0" w:space="0" w:color="auto"/>
        <w:bottom w:val="none" w:sz="0" w:space="0" w:color="auto"/>
        <w:right w:val="none" w:sz="0" w:space="0" w:color="auto"/>
      </w:divBdr>
    </w:div>
    <w:div w:id="822161560">
      <w:bodyDiv w:val="1"/>
      <w:marLeft w:val="0"/>
      <w:marRight w:val="0"/>
      <w:marTop w:val="0"/>
      <w:marBottom w:val="0"/>
      <w:divBdr>
        <w:top w:val="none" w:sz="0" w:space="0" w:color="auto"/>
        <w:left w:val="none" w:sz="0" w:space="0" w:color="auto"/>
        <w:bottom w:val="none" w:sz="0" w:space="0" w:color="auto"/>
        <w:right w:val="none" w:sz="0" w:space="0" w:color="auto"/>
      </w:divBdr>
    </w:div>
    <w:div w:id="837234303">
      <w:bodyDiv w:val="1"/>
      <w:marLeft w:val="0"/>
      <w:marRight w:val="0"/>
      <w:marTop w:val="0"/>
      <w:marBottom w:val="0"/>
      <w:divBdr>
        <w:top w:val="none" w:sz="0" w:space="0" w:color="auto"/>
        <w:left w:val="none" w:sz="0" w:space="0" w:color="auto"/>
        <w:bottom w:val="none" w:sz="0" w:space="0" w:color="auto"/>
        <w:right w:val="none" w:sz="0" w:space="0" w:color="auto"/>
      </w:divBdr>
    </w:div>
    <w:div w:id="876233755">
      <w:bodyDiv w:val="1"/>
      <w:marLeft w:val="0"/>
      <w:marRight w:val="0"/>
      <w:marTop w:val="0"/>
      <w:marBottom w:val="0"/>
      <w:divBdr>
        <w:top w:val="none" w:sz="0" w:space="0" w:color="auto"/>
        <w:left w:val="none" w:sz="0" w:space="0" w:color="auto"/>
        <w:bottom w:val="none" w:sz="0" w:space="0" w:color="auto"/>
        <w:right w:val="none" w:sz="0" w:space="0" w:color="auto"/>
      </w:divBdr>
    </w:div>
    <w:div w:id="1166557078">
      <w:bodyDiv w:val="1"/>
      <w:marLeft w:val="0"/>
      <w:marRight w:val="0"/>
      <w:marTop w:val="0"/>
      <w:marBottom w:val="0"/>
      <w:divBdr>
        <w:top w:val="none" w:sz="0" w:space="0" w:color="auto"/>
        <w:left w:val="none" w:sz="0" w:space="0" w:color="auto"/>
        <w:bottom w:val="none" w:sz="0" w:space="0" w:color="auto"/>
        <w:right w:val="none" w:sz="0" w:space="0" w:color="auto"/>
      </w:divBdr>
    </w:div>
    <w:div w:id="1256018142">
      <w:bodyDiv w:val="1"/>
      <w:marLeft w:val="0"/>
      <w:marRight w:val="0"/>
      <w:marTop w:val="0"/>
      <w:marBottom w:val="0"/>
      <w:divBdr>
        <w:top w:val="none" w:sz="0" w:space="0" w:color="auto"/>
        <w:left w:val="none" w:sz="0" w:space="0" w:color="auto"/>
        <w:bottom w:val="none" w:sz="0" w:space="0" w:color="auto"/>
        <w:right w:val="none" w:sz="0" w:space="0" w:color="auto"/>
      </w:divBdr>
    </w:div>
    <w:div w:id="1331831122">
      <w:bodyDiv w:val="1"/>
      <w:marLeft w:val="0"/>
      <w:marRight w:val="0"/>
      <w:marTop w:val="0"/>
      <w:marBottom w:val="0"/>
      <w:divBdr>
        <w:top w:val="none" w:sz="0" w:space="0" w:color="auto"/>
        <w:left w:val="none" w:sz="0" w:space="0" w:color="auto"/>
        <w:bottom w:val="none" w:sz="0" w:space="0" w:color="auto"/>
        <w:right w:val="none" w:sz="0" w:space="0" w:color="auto"/>
      </w:divBdr>
    </w:div>
    <w:div w:id="1337344349">
      <w:bodyDiv w:val="1"/>
      <w:marLeft w:val="0"/>
      <w:marRight w:val="0"/>
      <w:marTop w:val="0"/>
      <w:marBottom w:val="0"/>
      <w:divBdr>
        <w:top w:val="none" w:sz="0" w:space="0" w:color="auto"/>
        <w:left w:val="none" w:sz="0" w:space="0" w:color="auto"/>
        <w:bottom w:val="none" w:sz="0" w:space="0" w:color="auto"/>
        <w:right w:val="none" w:sz="0" w:space="0" w:color="auto"/>
      </w:divBdr>
    </w:div>
    <w:div w:id="1381856807">
      <w:bodyDiv w:val="1"/>
      <w:marLeft w:val="0"/>
      <w:marRight w:val="0"/>
      <w:marTop w:val="0"/>
      <w:marBottom w:val="0"/>
      <w:divBdr>
        <w:top w:val="none" w:sz="0" w:space="0" w:color="auto"/>
        <w:left w:val="none" w:sz="0" w:space="0" w:color="auto"/>
        <w:bottom w:val="none" w:sz="0" w:space="0" w:color="auto"/>
        <w:right w:val="none" w:sz="0" w:space="0" w:color="auto"/>
      </w:divBdr>
    </w:div>
    <w:div w:id="1533690388">
      <w:bodyDiv w:val="1"/>
      <w:marLeft w:val="0"/>
      <w:marRight w:val="0"/>
      <w:marTop w:val="0"/>
      <w:marBottom w:val="0"/>
      <w:divBdr>
        <w:top w:val="none" w:sz="0" w:space="0" w:color="auto"/>
        <w:left w:val="none" w:sz="0" w:space="0" w:color="auto"/>
        <w:bottom w:val="none" w:sz="0" w:space="0" w:color="auto"/>
        <w:right w:val="none" w:sz="0" w:space="0" w:color="auto"/>
      </w:divBdr>
    </w:div>
    <w:div w:id="1573731148">
      <w:bodyDiv w:val="1"/>
      <w:marLeft w:val="0"/>
      <w:marRight w:val="0"/>
      <w:marTop w:val="0"/>
      <w:marBottom w:val="0"/>
      <w:divBdr>
        <w:top w:val="none" w:sz="0" w:space="0" w:color="auto"/>
        <w:left w:val="none" w:sz="0" w:space="0" w:color="auto"/>
        <w:bottom w:val="none" w:sz="0" w:space="0" w:color="auto"/>
        <w:right w:val="none" w:sz="0" w:space="0" w:color="auto"/>
      </w:divBdr>
    </w:div>
    <w:div w:id="1574315298">
      <w:bodyDiv w:val="1"/>
      <w:marLeft w:val="0"/>
      <w:marRight w:val="0"/>
      <w:marTop w:val="0"/>
      <w:marBottom w:val="0"/>
      <w:divBdr>
        <w:top w:val="none" w:sz="0" w:space="0" w:color="auto"/>
        <w:left w:val="none" w:sz="0" w:space="0" w:color="auto"/>
        <w:bottom w:val="none" w:sz="0" w:space="0" w:color="auto"/>
        <w:right w:val="none" w:sz="0" w:space="0" w:color="auto"/>
      </w:divBdr>
      <w:divsChild>
        <w:div w:id="271786564">
          <w:marLeft w:val="806"/>
          <w:marRight w:val="0"/>
          <w:marTop w:val="200"/>
          <w:marBottom w:val="0"/>
          <w:divBdr>
            <w:top w:val="none" w:sz="0" w:space="0" w:color="auto"/>
            <w:left w:val="none" w:sz="0" w:space="0" w:color="auto"/>
            <w:bottom w:val="none" w:sz="0" w:space="0" w:color="auto"/>
            <w:right w:val="none" w:sz="0" w:space="0" w:color="auto"/>
          </w:divBdr>
        </w:div>
        <w:div w:id="159275418">
          <w:marLeft w:val="806"/>
          <w:marRight w:val="0"/>
          <w:marTop w:val="200"/>
          <w:marBottom w:val="0"/>
          <w:divBdr>
            <w:top w:val="none" w:sz="0" w:space="0" w:color="auto"/>
            <w:left w:val="none" w:sz="0" w:space="0" w:color="auto"/>
            <w:bottom w:val="none" w:sz="0" w:space="0" w:color="auto"/>
            <w:right w:val="none" w:sz="0" w:space="0" w:color="auto"/>
          </w:divBdr>
        </w:div>
        <w:div w:id="507327329">
          <w:marLeft w:val="806"/>
          <w:marRight w:val="0"/>
          <w:marTop w:val="200"/>
          <w:marBottom w:val="0"/>
          <w:divBdr>
            <w:top w:val="none" w:sz="0" w:space="0" w:color="auto"/>
            <w:left w:val="none" w:sz="0" w:space="0" w:color="auto"/>
            <w:bottom w:val="none" w:sz="0" w:space="0" w:color="auto"/>
            <w:right w:val="none" w:sz="0" w:space="0" w:color="auto"/>
          </w:divBdr>
        </w:div>
        <w:div w:id="70349300">
          <w:marLeft w:val="806"/>
          <w:marRight w:val="0"/>
          <w:marTop w:val="200"/>
          <w:marBottom w:val="0"/>
          <w:divBdr>
            <w:top w:val="none" w:sz="0" w:space="0" w:color="auto"/>
            <w:left w:val="none" w:sz="0" w:space="0" w:color="auto"/>
            <w:bottom w:val="none" w:sz="0" w:space="0" w:color="auto"/>
            <w:right w:val="none" w:sz="0" w:space="0" w:color="auto"/>
          </w:divBdr>
        </w:div>
        <w:div w:id="1171220922">
          <w:marLeft w:val="806"/>
          <w:marRight w:val="0"/>
          <w:marTop w:val="200"/>
          <w:marBottom w:val="0"/>
          <w:divBdr>
            <w:top w:val="none" w:sz="0" w:space="0" w:color="auto"/>
            <w:left w:val="none" w:sz="0" w:space="0" w:color="auto"/>
            <w:bottom w:val="none" w:sz="0" w:space="0" w:color="auto"/>
            <w:right w:val="none" w:sz="0" w:space="0" w:color="auto"/>
          </w:divBdr>
        </w:div>
        <w:div w:id="979922037">
          <w:marLeft w:val="806"/>
          <w:marRight w:val="0"/>
          <w:marTop w:val="200"/>
          <w:marBottom w:val="0"/>
          <w:divBdr>
            <w:top w:val="none" w:sz="0" w:space="0" w:color="auto"/>
            <w:left w:val="none" w:sz="0" w:space="0" w:color="auto"/>
            <w:bottom w:val="none" w:sz="0" w:space="0" w:color="auto"/>
            <w:right w:val="none" w:sz="0" w:space="0" w:color="auto"/>
          </w:divBdr>
        </w:div>
      </w:divsChild>
    </w:div>
    <w:div w:id="1649283178">
      <w:bodyDiv w:val="1"/>
      <w:marLeft w:val="0"/>
      <w:marRight w:val="0"/>
      <w:marTop w:val="0"/>
      <w:marBottom w:val="0"/>
      <w:divBdr>
        <w:top w:val="none" w:sz="0" w:space="0" w:color="auto"/>
        <w:left w:val="none" w:sz="0" w:space="0" w:color="auto"/>
        <w:bottom w:val="none" w:sz="0" w:space="0" w:color="auto"/>
        <w:right w:val="none" w:sz="0" w:space="0" w:color="auto"/>
      </w:divBdr>
    </w:div>
    <w:div w:id="1738820225">
      <w:bodyDiv w:val="1"/>
      <w:marLeft w:val="0"/>
      <w:marRight w:val="0"/>
      <w:marTop w:val="0"/>
      <w:marBottom w:val="0"/>
      <w:divBdr>
        <w:top w:val="none" w:sz="0" w:space="0" w:color="auto"/>
        <w:left w:val="none" w:sz="0" w:space="0" w:color="auto"/>
        <w:bottom w:val="none" w:sz="0" w:space="0" w:color="auto"/>
        <w:right w:val="none" w:sz="0" w:space="0" w:color="auto"/>
      </w:divBdr>
    </w:div>
    <w:div w:id="1770270271">
      <w:bodyDiv w:val="1"/>
      <w:marLeft w:val="0"/>
      <w:marRight w:val="0"/>
      <w:marTop w:val="0"/>
      <w:marBottom w:val="0"/>
      <w:divBdr>
        <w:top w:val="none" w:sz="0" w:space="0" w:color="auto"/>
        <w:left w:val="none" w:sz="0" w:space="0" w:color="auto"/>
        <w:bottom w:val="none" w:sz="0" w:space="0" w:color="auto"/>
        <w:right w:val="none" w:sz="0" w:space="0" w:color="auto"/>
      </w:divBdr>
    </w:div>
    <w:div w:id="1912419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mv.boku.ac.at/refbase/files/mmv6_234_23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1500</TotalTime>
  <Pages>8</Pages>
  <Words>2865</Words>
  <Characters>16337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dc:creator>
  <cp:keywords/>
  <dc:description/>
  <cp:lastModifiedBy>Darcey</cp:lastModifiedBy>
  <cp:revision>435</cp:revision>
  <dcterms:created xsi:type="dcterms:W3CDTF">2023-05-12T17:08:00Z</dcterms:created>
  <dcterms:modified xsi:type="dcterms:W3CDTF">2023-05-15T02:15:00Z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c8517652ab22ea9480d0794aedcee3714e0ac522f4e9a5136a1a3ccc785b49b3</vt:lpwstr>
  </property>
</Properties>
</file>