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horzAnchor="margin" w:tblpY="924"/>
        <w:tblW w:w="0" w:type="auto"/>
        <w:tblLook w:val="04A0" w:firstRow="1" w:lastRow="0" w:firstColumn="1" w:lastColumn="0" w:noHBand="0" w:noVBand="1"/>
      </w:tblPr>
      <w:tblGrid>
        <w:gridCol w:w="4508"/>
        <w:gridCol w:w="4508"/>
      </w:tblGrid>
      <w:tr w:rsidR="00E63080" w:rsidRPr="00E973F5" w14:paraId="50E7A48F" w14:textId="77777777" w:rsidTr="009F6144">
        <w:trPr>
          <w:trHeight w:val="1408"/>
        </w:trPr>
        <w:tc>
          <w:tcPr>
            <w:tcW w:w="4508" w:type="dxa"/>
            <w:shd w:val="clear" w:color="auto" w:fill="F2F2F2" w:themeFill="background1" w:themeFillShade="F2"/>
          </w:tcPr>
          <w:p w14:paraId="2737104C" w14:textId="77777777" w:rsidR="00E63080" w:rsidRPr="00E973F5" w:rsidRDefault="00E63080" w:rsidP="00E973F5">
            <w:pPr>
              <w:spacing w:line="360" w:lineRule="auto"/>
              <w:rPr>
                <w:rFonts w:ascii="Arial" w:hAnsi="Arial" w:cs="Arial"/>
                <w:sz w:val="22"/>
                <w:szCs w:val="22"/>
                <w:lang w:val="en-GB"/>
              </w:rPr>
            </w:pPr>
          </w:p>
          <w:p w14:paraId="0678FADF" w14:textId="77777777" w:rsidR="00E63080" w:rsidRPr="00E973F5" w:rsidRDefault="00E63080" w:rsidP="00E973F5">
            <w:pPr>
              <w:spacing w:line="360" w:lineRule="auto"/>
              <w:rPr>
                <w:rFonts w:ascii="Arial" w:hAnsi="Arial" w:cs="Arial"/>
                <w:sz w:val="22"/>
                <w:szCs w:val="22"/>
                <w:lang w:val="en-GB"/>
              </w:rPr>
            </w:pPr>
            <w:r w:rsidRPr="00E973F5">
              <w:rPr>
                <w:rFonts w:ascii="Arial" w:hAnsi="Arial" w:cs="Arial"/>
                <w:sz w:val="22"/>
                <w:szCs w:val="22"/>
                <w:lang w:val="en-GB"/>
              </w:rPr>
              <w:t>Student name:</w:t>
            </w:r>
          </w:p>
        </w:tc>
        <w:tc>
          <w:tcPr>
            <w:tcW w:w="4508" w:type="dxa"/>
          </w:tcPr>
          <w:p w14:paraId="6A3CE685" w14:textId="77777777" w:rsidR="00E63080" w:rsidRPr="00E973F5" w:rsidRDefault="00E63080" w:rsidP="00E973F5">
            <w:pPr>
              <w:spacing w:line="360" w:lineRule="auto"/>
              <w:rPr>
                <w:rFonts w:ascii="Arial" w:hAnsi="Arial" w:cs="Arial"/>
                <w:sz w:val="22"/>
                <w:szCs w:val="22"/>
                <w:lang w:val="en-GB"/>
              </w:rPr>
            </w:pPr>
          </w:p>
          <w:p w14:paraId="3D646E48" w14:textId="77777777" w:rsidR="00E63080" w:rsidRPr="00E973F5" w:rsidRDefault="00E63080" w:rsidP="00E973F5">
            <w:pPr>
              <w:spacing w:line="360" w:lineRule="auto"/>
              <w:rPr>
                <w:rFonts w:ascii="Arial" w:hAnsi="Arial" w:cs="Arial"/>
                <w:sz w:val="22"/>
                <w:szCs w:val="22"/>
                <w:lang w:val="en-GB"/>
              </w:rPr>
            </w:pPr>
            <w:r w:rsidRPr="00E973F5">
              <w:rPr>
                <w:rFonts w:ascii="Arial" w:hAnsi="Arial" w:cs="Arial"/>
                <w:sz w:val="22"/>
                <w:szCs w:val="22"/>
                <w:lang w:val="en-GB"/>
              </w:rPr>
              <w:t>Stacy-Ann Watson</w:t>
            </w:r>
          </w:p>
        </w:tc>
      </w:tr>
      <w:tr w:rsidR="00E63080" w:rsidRPr="00E973F5" w14:paraId="238483C2" w14:textId="77777777" w:rsidTr="009F6144">
        <w:trPr>
          <w:trHeight w:val="1313"/>
        </w:trPr>
        <w:tc>
          <w:tcPr>
            <w:tcW w:w="4508" w:type="dxa"/>
            <w:shd w:val="clear" w:color="auto" w:fill="F2F2F2" w:themeFill="background1" w:themeFillShade="F2"/>
          </w:tcPr>
          <w:p w14:paraId="61A0EB12" w14:textId="77777777" w:rsidR="00E63080" w:rsidRPr="00E973F5" w:rsidRDefault="00E63080" w:rsidP="00E973F5">
            <w:pPr>
              <w:spacing w:line="360" w:lineRule="auto"/>
              <w:rPr>
                <w:rFonts w:ascii="Arial" w:hAnsi="Arial" w:cs="Arial"/>
                <w:sz w:val="22"/>
                <w:szCs w:val="22"/>
                <w:lang w:val="en-GB"/>
              </w:rPr>
            </w:pPr>
          </w:p>
          <w:p w14:paraId="75670BAB" w14:textId="77777777" w:rsidR="00E63080" w:rsidRPr="00E973F5" w:rsidRDefault="00E63080" w:rsidP="00E973F5">
            <w:pPr>
              <w:spacing w:line="360" w:lineRule="auto"/>
              <w:rPr>
                <w:rFonts w:ascii="Arial" w:hAnsi="Arial" w:cs="Arial"/>
                <w:sz w:val="22"/>
                <w:szCs w:val="22"/>
                <w:lang w:val="en-GB"/>
              </w:rPr>
            </w:pPr>
            <w:r w:rsidRPr="00E973F5">
              <w:rPr>
                <w:rFonts w:ascii="Arial" w:hAnsi="Arial" w:cs="Arial"/>
                <w:sz w:val="22"/>
                <w:szCs w:val="22"/>
                <w:lang w:val="en-GB"/>
              </w:rPr>
              <w:t>Student number:</w:t>
            </w:r>
          </w:p>
        </w:tc>
        <w:tc>
          <w:tcPr>
            <w:tcW w:w="4508" w:type="dxa"/>
          </w:tcPr>
          <w:p w14:paraId="0D37A22D" w14:textId="77777777" w:rsidR="00E63080" w:rsidRPr="00E973F5" w:rsidRDefault="00E63080" w:rsidP="00E973F5">
            <w:pPr>
              <w:spacing w:line="360" w:lineRule="auto"/>
              <w:rPr>
                <w:rFonts w:ascii="Arial" w:hAnsi="Arial" w:cs="Arial"/>
                <w:sz w:val="22"/>
                <w:szCs w:val="22"/>
                <w:lang w:val="en-GB"/>
              </w:rPr>
            </w:pPr>
          </w:p>
          <w:p w14:paraId="2A553FFD" w14:textId="09C0C37F" w:rsidR="00E63080" w:rsidRPr="00E973F5" w:rsidRDefault="00E63080" w:rsidP="00E973F5">
            <w:pPr>
              <w:spacing w:line="360" w:lineRule="auto"/>
              <w:rPr>
                <w:rFonts w:ascii="Arial" w:hAnsi="Arial" w:cs="Arial"/>
                <w:sz w:val="22"/>
                <w:szCs w:val="22"/>
                <w:lang w:val="en-GB"/>
              </w:rPr>
            </w:pPr>
            <w:r w:rsidRPr="00E973F5">
              <w:rPr>
                <w:rFonts w:ascii="Arial" w:hAnsi="Arial" w:cs="Arial"/>
                <w:sz w:val="22"/>
                <w:szCs w:val="22"/>
                <w:lang w:val="en-GB"/>
              </w:rPr>
              <w:t>223827</w:t>
            </w:r>
            <w:r w:rsidR="00832339">
              <w:rPr>
                <w:rFonts w:ascii="Arial" w:hAnsi="Arial" w:cs="Arial"/>
                <w:sz w:val="22"/>
                <w:szCs w:val="22"/>
                <w:lang w:val="en-GB"/>
              </w:rPr>
              <w:t>9</w:t>
            </w:r>
          </w:p>
        </w:tc>
      </w:tr>
      <w:tr w:rsidR="00E63080" w:rsidRPr="00E973F5" w14:paraId="2D934773" w14:textId="77777777" w:rsidTr="009F6144">
        <w:trPr>
          <w:trHeight w:val="1333"/>
        </w:trPr>
        <w:tc>
          <w:tcPr>
            <w:tcW w:w="4508" w:type="dxa"/>
            <w:shd w:val="clear" w:color="auto" w:fill="F2F2F2" w:themeFill="background1" w:themeFillShade="F2"/>
          </w:tcPr>
          <w:p w14:paraId="2DBF81D2" w14:textId="77777777" w:rsidR="00E63080" w:rsidRPr="00E973F5" w:rsidRDefault="00E63080" w:rsidP="00E973F5">
            <w:pPr>
              <w:spacing w:line="360" w:lineRule="auto"/>
              <w:rPr>
                <w:rFonts w:ascii="Arial" w:hAnsi="Arial" w:cs="Arial"/>
                <w:sz w:val="22"/>
                <w:szCs w:val="22"/>
                <w:lang w:val="en-GB"/>
              </w:rPr>
            </w:pPr>
          </w:p>
          <w:p w14:paraId="26E40EB0" w14:textId="635FCC26" w:rsidR="00E63080" w:rsidRPr="00E973F5" w:rsidRDefault="00E63080" w:rsidP="00E973F5">
            <w:pPr>
              <w:spacing w:line="360" w:lineRule="auto"/>
              <w:rPr>
                <w:rFonts w:ascii="Arial" w:hAnsi="Arial" w:cs="Arial"/>
                <w:sz w:val="22"/>
                <w:szCs w:val="22"/>
                <w:lang w:val="en-GB"/>
              </w:rPr>
            </w:pPr>
            <w:r w:rsidRPr="00E973F5">
              <w:rPr>
                <w:rFonts w:ascii="Arial" w:hAnsi="Arial" w:cs="Arial"/>
                <w:sz w:val="22"/>
                <w:szCs w:val="22"/>
                <w:lang w:val="en-GB"/>
              </w:rPr>
              <w:t xml:space="preserve">Module </w:t>
            </w:r>
            <w:r w:rsidR="00C27526" w:rsidRPr="00E973F5">
              <w:rPr>
                <w:rFonts w:ascii="Arial" w:hAnsi="Arial" w:cs="Arial"/>
                <w:sz w:val="22"/>
                <w:szCs w:val="22"/>
                <w:lang w:val="en-GB"/>
              </w:rPr>
              <w:t>Name</w:t>
            </w:r>
            <w:r w:rsidRPr="00E973F5">
              <w:rPr>
                <w:rFonts w:ascii="Arial" w:hAnsi="Arial" w:cs="Arial"/>
                <w:sz w:val="22"/>
                <w:szCs w:val="22"/>
                <w:lang w:val="en-GB"/>
              </w:rPr>
              <w:t>:</w:t>
            </w:r>
          </w:p>
        </w:tc>
        <w:tc>
          <w:tcPr>
            <w:tcW w:w="4508" w:type="dxa"/>
          </w:tcPr>
          <w:p w14:paraId="16142EA9" w14:textId="77777777" w:rsidR="00E63080" w:rsidRPr="00E973F5" w:rsidRDefault="00E63080" w:rsidP="00E973F5">
            <w:pPr>
              <w:spacing w:line="360" w:lineRule="auto"/>
              <w:rPr>
                <w:rFonts w:ascii="Arial" w:hAnsi="Arial" w:cs="Arial"/>
                <w:sz w:val="22"/>
                <w:szCs w:val="22"/>
                <w:lang w:val="en-GB"/>
              </w:rPr>
            </w:pPr>
          </w:p>
          <w:p w14:paraId="1F4ED021" w14:textId="3C91BB76" w:rsidR="00E63080" w:rsidRPr="00E973F5" w:rsidRDefault="00E724C3" w:rsidP="00E973F5">
            <w:pPr>
              <w:spacing w:line="360" w:lineRule="auto"/>
              <w:rPr>
                <w:rFonts w:ascii="Arial" w:hAnsi="Arial" w:cs="Arial"/>
                <w:sz w:val="22"/>
                <w:szCs w:val="22"/>
                <w:lang w:val="en-GB"/>
              </w:rPr>
            </w:pPr>
            <w:r w:rsidRPr="00E973F5">
              <w:rPr>
                <w:rFonts w:ascii="Arial" w:hAnsi="Arial" w:cs="Arial"/>
                <w:sz w:val="22"/>
                <w:szCs w:val="22"/>
              </w:rPr>
              <w:t>Digital Transformation in Health and Care Professions</w:t>
            </w:r>
          </w:p>
        </w:tc>
      </w:tr>
      <w:tr w:rsidR="00E63080" w:rsidRPr="00E973F5" w14:paraId="17A891CC" w14:textId="77777777" w:rsidTr="009F6144">
        <w:trPr>
          <w:trHeight w:val="1430"/>
        </w:trPr>
        <w:tc>
          <w:tcPr>
            <w:tcW w:w="4508" w:type="dxa"/>
            <w:shd w:val="clear" w:color="auto" w:fill="F2F2F2" w:themeFill="background1" w:themeFillShade="F2"/>
          </w:tcPr>
          <w:p w14:paraId="0628C8DE" w14:textId="77777777" w:rsidR="00E63080" w:rsidRPr="00E973F5" w:rsidRDefault="00E63080" w:rsidP="00E973F5">
            <w:pPr>
              <w:spacing w:line="360" w:lineRule="auto"/>
              <w:rPr>
                <w:rFonts w:ascii="Arial" w:hAnsi="Arial" w:cs="Arial"/>
                <w:sz w:val="22"/>
                <w:szCs w:val="22"/>
                <w:lang w:val="en-GB"/>
              </w:rPr>
            </w:pPr>
          </w:p>
          <w:p w14:paraId="65AEA811" w14:textId="77777777" w:rsidR="00E63080" w:rsidRPr="00E973F5" w:rsidRDefault="00E63080" w:rsidP="00E973F5">
            <w:pPr>
              <w:spacing w:line="360" w:lineRule="auto"/>
              <w:rPr>
                <w:rFonts w:ascii="Arial" w:hAnsi="Arial" w:cs="Arial"/>
                <w:sz w:val="22"/>
                <w:szCs w:val="22"/>
                <w:lang w:val="en-GB"/>
              </w:rPr>
            </w:pPr>
            <w:r w:rsidRPr="00E973F5">
              <w:rPr>
                <w:rFonts w:ascii="Arial" w:hAnsi="Arial" w:cs="Arial"/>
                <w:sz w:val="22"/>
                <w:szCs w:val="22"/>
                <w:lang w:val="en-GB"/>
              </w:rPr>
              <w:t>Module Code:</w:t>
            </w:r>
          </w:p>
        </w:tc>
        <w:tc>
          <w:tcPr>
            <w:tcW w:w="4508" w:type="dxa"/>
          </w:tcPr>
          <w:p w14:paraId="78726F96" w14:textId="77777777" w:rsidR="00E63080" w:rsidRPr="00E973F5" w:rsidRDefault="00E63080" w:rsidP="00E973F5">
            <w:pPr>
              <w:spacing w:line="360" w:lineRule="auto"/>
              <w:rPr>
                <w:rFonts w:ascii="Arial" w:hAnsi="Arial" w:cs="Arial"/>
                <w:sz w:val="22"/>
                <w:szCs w:val="22"/>
                <w:lang w:val="en-GB"/>
              </w:rPr>
            </w:pPr>
          </w:p>
          <w:p w14:paraId="592FBE68" w14:textId="225F2F8E" w:rsidR="00E63080" w:rsidRPr="00E973F5" w:rsidRDefault="00E724C3" w:rsidP="00E973F5">
            <w:pPr>
              <w:spacing w:line="360" w:lineRule="auto"/>
              <w:rPr>
                <w:rFonts w:ascii="Arial" w:hAnsi="Arial" w:cs="Arial"/>
                <w:sz w:val="22"/>
                <w:szCs w:val="22"/>
                <w:lang w:val="en-GB"/>
              </w:rPr>
            </w:pPr>
            <w:r w:rsidRPr="00E973F5">
              <w:rPr>
                <w:rFonts w:ascii="Arial" w:hAnsi="Arial" w:cs="Arial"/>
                <w:sz w:val="22"/>
                <w:szCs w:val="22"/>
              </w:rPr>
              <w:t>BMHP6026</w:t>
            </w:r>
          </w:p>
        </w:tc>
      </w:tr>
      <w:tr w:rsidR="00E63080" w:rsidRPr="00E973F5" w14:paraId="21F5E207" w14:textId="77777777" w:rsidTr="009F6144">
        <w:trPr>
          <w:trHeight w:val="1407"/>
        </w:trPr>
        <w:tc>
          <w:tcPr>
            <w:tcW w:w="4508" w:type="dxa"/>
            <w:shd w:val="clear" w:color="auto" w:fill="F2F2F2" w:themeFill="background1" w:themeFillShade="F2"/>
          </w:tcPr>
          <w:p w14:paraId="38EDF5CF" w14:textId="77777777" w:rsidR="00E63080" w:rsidRPr="00E973F5" w:rsidRDefault="00E63080" w:rsidP="00E973F5">
            <w:pPr>
              <w:spacing w:line="360" w:lineRule="auto"/>
              <w:rPr>
                <w:rFonts w:ascii="Arial" w:hAnsi="Arial" w:cs="Arial"/>
                <w:sz w:val="22"/>
                <w:szCs w:val="22"/>
                <w:lang w:val="en-GB"/>
              </w:rPr>
            </w:pPr>
          </w:p>
          <w:p w14:paraId="1BFBD09B" w14:textId="77777777" w:rsidR="00E63080" w:rsidRPr="00E973F5" w:rsidRDefault="00E63080" w:rsidP="00E973F5">
            <w:pPr>
              <w:spacing w:line="360" w:lineRule="auto"/>
              <w:rPr>
                <w:rFonts w:ascii="Arial" w:hAnsi="Arial" w:cs="Arial"/>
                <w:sz w:val="22"/>
                <w:szCs w:val="22"/>
                <w:lang w:val="en-GB"/>
              </w:rPr>
            </w:pPr>
            <w:r w:rsidRPr="00E973F5">
              <w:rPr>
                <w:rFonts w:ascii="Arial" w:hAnsi="Arial" w:cs="Arial"/>
                <w:sz w:val="22"/>
                <w:szCs w:val="22"/>
                <w:lang w:val="en-GB"/>
              </w:rPr>
              <w:t>Lecture name:</w:t>
            </w:r>
          </w:p>
        </w:tc>
        <w:tc>
          <w:tcPr>
            <w:tcW w:w="4508" w:type="dxa"/>
          </w:tcPr>
          <w:p w14:paraId="267E8BF3" w14:textId="77777777" w:rsidR="00E63080" w:rsidRPr="00E973F5" w:rsidRDefault="00E63080" w:rsidP="00E973F5">
            <w:pPr>
              <w:spacing w:line="360" w:lineRule="auto"/>
              <w:rPr>
                <w:rFonts w:ascii="Arial" w:hAnsi="Arial" w:cs="Arial"/>
                <w:sz w:val="22"/>
                <w:szCs w:val="22"/>
                <w:lang w:val="en-GB"/>
              </w:rPr>
            </w:pPr>
          </w:p>
          <w:p w14:paraId="5FCBA13F" w14:textId="5B6900F4" w:rsidR="00E63080" w:rsidRPr="00E973F5" w:rsidRDefault="00C27526" w:rsidP="00E973F5">
            <w:pPr>
              <w:spacing w:line="360" w:lineRule="auto"/>
              <w:rPr>
                <w:rFonts w:ascii="Arial" w:hAnsi="Arial" w:cs="Arial"/>
                <w:sz w:val="22"/>
                <w:szCs w:val="22"/>
                <w:lang w:val="en-GB"/>
              </w:rPr>
            </w:pPr>
            <w:r w:rsidRPr="00E973F5">
              <w:rPr>
                <w:rFonts w:ascii="Arial" w:hAnsi="Arial" w:cs="Arial"/>
                <w:sz w:val="22"/>
                <w:szCs w:val="22"/>
              </w:rPr>
              <w:t>Martin Svejda</w:t>
            </w:r>
          </w:p>
        </w:tc>
      </w:tr>
    </w:tbl>
    <w:p w14:paraId="7D64F74A" w14:textId="03BE3610" w:rsidR="0097582E" w:rsidRPr="00E973F5" w:rsidRDefault="0097582E" w:rsidP="00E973F5">
      <w:pPr>
        <w:spacing w:line="360" w:lineRule="auto"/>
        <w:rPr>
          <w:b/>
          <w:bCs/>
          <w:lang w:val="en-GB"/>
        </w:rPr>
      </w:pPr>
    </w:p>
    <w:p w14:paraId="615985D5" w14:textId="05E142CB" w:rsidR="008962C2" w:rsidRPr="00E973F5" w:rsidRDefault="008962C2" w:rsidP="00E973F5">
      <w:pPr>
        <w:spacing w:line="360" w:lineRule="auto"/>
        <w:rPr>
          <w:lang w:val="en-GB"/>
        </w:rPr>
      </w:pPr>
      <w:r w:rsidRPr="00E973F5">
        <w:rPr>
          <w:rFonts w:eastAsia="Times New Roman"/>
          <w:b/>
          <w:lang w:val="en-GB"/>
        </w:rPr>
        <w:br w:type="page"/>
      </w:r>
    </w:p>
    <w:p w14:paraId="77E18ED7" w14:textId="2CD0CD1C" w:rsidR="00313AAF" w:rsidRPr="00E973F5" w:rsidRDefault="00525889" w:rsidP="00E973F5">
      <w:pPr>
        <w:pStyle w:val="Heading1"/>
        <w:rPr>
          <w:sz w:val="22"/>
          <w:szCs w:val="22"/>
          <w:lang w:val="en-GB"/>
        </w:rPr>
      </w:pPr>
      <w:bookmarkStart w:id="0" w:name="_Toc210640107"/>
      <w:r w:rsidRPr="00E973F5">
        <w:rPr>
          <w:sz w:val="22"/>
          <w:szCs w:val="22"/>
          <w:lang w:val="en-GB"/>
        </w:rPr>
        <w:lastRenderedPageBreak/>
        <w:t>1. Introduction</w:t>
      </w:r>
      <w:bookmarkEnd w:id="0"/>
    </w:p>
    <w:p w14:paraId="77E18ED8" w14:textId="77777777" w:rsidR="00313AAF" w:rsidRPr="00E973F5" w:rsidRDefault="00525889" w:rsidP="00E973F5">
      <w:pPr>
        <w:spacing w:line="360" w:lineRule="auto"/>
        <w:jc w:val="both"/>
        <w:rPr>
          <w:rFonts w:eastAsia="Times New Roman"/>
          <w:lang w:val="en-GB"/>
        </w:rPr>
      </w:pPr>
      <w:r w:rsidRPr="00E973F5">
        <w:rPr>
          <w:rFonts w:eastAsia="Times New Roman"/>
          <w:lang w:val="en-GB"/>
        </w:rPr>
        <w:t xml:space="preserve">In England, the </w:t>
      </w:r>
      <w:r w:rsidRPr="00E973F5">
        <w:rPr>
          <w:rFonts w:eastAsia="Times New Roman"/>
          <w:b/>
          <w:i/>
          <w:lang w:val="en-GB"/>
        </w:rPr>
        <w:t>NHS App was launched in 2018</w:t>
      </w:r>
      <w:r w:rsidRPr="00E973F5">
        <w:rPr>
          <w:rFonts w:eastAsia="Times New Roman"/>
          <w:lang w:val="en-GB"/>
        </w:rPr>
        <w:t xml:space="preserve">, marking a breakthrough in the digital transformation of the UK's health system, and it aims to deliver personalised and secure access to healthcare services. The app, created by NHS Digital and NHS England, will enable users to make appointments, place repeat prescriptions, view their medical records, and utilise NHS 111 online services. It is important because it enhances accessibility, facilitates self-management and minimises administrative burdens within health and social care systems. With the increasing level of service pressure, staff shortages, and the transition to integrated care models, the NHS App is especially important in promoting the concept of digital-first service delivery. This report will undertake a critical assessment of the app implementation in the UK healthcare setting. It will review how it impacts the </w:t>
      </w:r>
      <w:r w:rsidRPr="00E973F5">
        <w:rPr>
          <w:rFonts w:eastAsia="Times New Roman"/>
          <w:b/>
          <w:i/>
          <w:color w:val="000000" w:themeColor="text1"/>
          <w:lang w:val="en-GB"/>
        </w:rPr>
        <w:t>workforce, service delivery, patient experiences and community health</w:t>
      </w:r>
      <w:r w:rsidRPr="00E973F5">
        <w:rPr>
          <w:rFonts w:eastAsia="Times New Roman"/>
          <w:color w:val="000000" w:themeColor="text1"/>
          <w:lang w:val="en-GB"/>
        </w:rPr>
        <w:t xml:space="preserve"> </w:t>
      </w:r>
      <w:r w:rsidRPr="00E973F5">
        <w:rPr>
          <w:rFonts w:eastAsia="Times New Roman"/>
          <w:lang w:val="en-GB"/>
        </w:rPr>
        <w:t>outcomes in general. Moreover, it will evaluate advantages and obstacles to make evidence-based suggestions for digital inclusion, workforce preparedness, and sustainable healthcare innovation.</w:t>
      </w:r>
    </w:p>
    <w:p w14:paraId="77E18ED9" w14:textId="77777777" w:rsidR="00313AAF" w:rsidRPr="00E973F5" w:rsidRDefault="00525889" w:rsidP="00E973F5">
      <w:pPr>
        <w:spacing w:line="360" w:lineRule="auto"/>
        <w:jc w:val="both"/>
        <w:rPr>
          <w:rFonts w:eastAsia="Times New Roman"/>
          <w:color w:val="000000" w:themeColor="text1"/>
          <w:lang w:val="en-GB"/>
        </w:rPr>
      </w:pPr>
      <w:r w:rsidRPr="00E973F5">
        <w:rPr>
          <w:rFonts w:eastAsia="Times New Roman"/>
          <w:noProof/>
          <w:color w:val="000000" w:themeColor="text1"/>
          <w:lang w:val="en-IN" w:eastAsia="en-IN"/>
        </w:rPr>
        <w:drawing>
          <wp:inline distT="114300" distB="114300" distL="114300" distR="114300" wp14:anchorId="77E18F17" wp14:editId="77E18F18">
            <wp:extent cx="5943600" cy="40894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0"/>
                    <a:stretch>
                      <a:fillRect/>
                    </a:stretch>
                  </pic:blipFill>
                  <pic:spPr>
                    <a:xfrm>
                      <a:off x="0" y="0"/>
                      <a:ext cx="5943600" cy="4089400"/>
                    </a:xfrm>
                    <a:prstGeom prst="rect">
                      <a:avLst/>
                    </a:prstGeom>
                  </pic:spPr>
                </pic:pic>
              </a:graphicData>
            </a:graphic>
          </wp:inline>
        </w:drawing>
      </w:r>
    </w:p>
    <w:p w14:paraId="77E18EDB" w14:textId="1442A947" w:rsidR="00313AAF" w:rsidRPr="00E973F5" w:rsidRDefault="00525889" w:rsidP="00E973F5">
      <w:pPr>
        <w:spacing w:line="360" w:lineRule="auto"/>
        <w:jc w:val="center"/>
        <w:rPr>
          <w:rFonts w:eastAsia="Times New Roman"/>
          <w:color w:val="000000" w:themeColor="text1"/>
          <w:lang w:val="en-GB"/>
        </w:rPr>
      </w:pPr>
      <w:r w:rsidRPr="00E973F5">
        <w:rPr>
          <w:rFonts w:eastAsia="Times New Roman"/>
          <w:b/>
          <w:color w:val="000000" w:themeColor="text1"/>
          <w:lang w:val="en-GB"/>
        </w:rPr>
        <w:t>Figure</w:t>
      </w:r>
      <w:r w:rsidR="008F3386" w:rsidRPr="00E973F5">
        <w:rPr>
          <w:rFonts w:eastAsia="Times New Roman"/>
          <w:b/>
          <w:color w:val="000000" w:themeColor="text1"/>
          <w:lang w:val="en-GB"/>
        </w:rPr>
        <w:t xml:space="preserve"> 1</w:t>
      </w:r>
      <w:r w:rsidRPr="00E973F5">
        <w:rPr>
          <w:rFonts w:eastAsia="Times New Roman"/>
          <w:b/>
          <w:color w:val="000000" w:themeColor="text1"/>
          <w:lang w:val="en-GB"/>
        </w:rPr>
        <w:t>: Discovering the NHS App</w:t>
      </w:r>
      <w:r w:rsidR="00495906" w:rsidRPr="00E973F5">
        <w:rPr>
          <w:rFonts w:eastAsia="Times New Roman"/>
          <w:b/>
          <w:color w:val="000000" w:themeColor="text1"/>
          <w:lang w:val="en-GB"/>
        </w:rPr>
        <w:t xml:space="preserve"> </w:t>
      </w:r>
      <w:r w:rsidRPr="00E973F5">
        <w:rPr>
          <w:rFonts w:eastAsia="Times New Roman"/>
          <w:b/>
          <w:bCs/>
          <w:color w:val="000000" w:themeColor="text1"/>
          <w:lang w:val="en-GB"/>
        </w:rPr>
        <w:t>(drkarimandjames-authe.nhs.uk. 2024)</w:t>
      </w:r>
    </w:p>
    <w:p w14:paraId="77E18EDC" w14:textId="77777777" w:rsidR="00313AAF" w:rsidRPr="00E973F5" w:rsidRDefault="00525889" w:rsidP="00E973F5">
      <w:pPr>
        <w:pStyle w:val="Heading1"/>
        <w:rPr>
          <w:sz w:val="22"/>
          <w:szCs w:val="22"/>
          <w:lang w:val="en-GB"/>
        </w:rPr>
      </w:pPr>
      <w:bookmarkStart w:id="1" w:name="_Toc210640108"/>
      <w:r w:rsidRPr="00E973F5">
        <w:rPr>
          <w:sz w:val="22"/>
          <w:szCs w:val="22"/>
          <w:lang w:val="en-GB"/>
        </w:rPr>
        <w:lastRenderedPageBreak/>
        <w:t>2. Workforce</w:t>
      </w:r>
      <w:bookmarkEnd w:id="1"/>
    </w:p>
    <w:p w14:paraId="77E18EDD" w14:textId="77777777" w:rsidR="00313AAF" w:rsidRPr="00E973F5" w:rsidRDefault="00525889" w:rsidP="00E973F5">
      <w:pPr>
        <w:pStyle w:val="Heading2"/>
        <w:rPr>
          <w:sz w:val="22"/>
          <w:szCs w:val="22"/>
          <w:highlight w:val="white"/>
          <w:lang w:val="en-GB"/>
        </w:rPr>
      </w:pPr>
      <w:bookmarkStart w:id="2" w:name="_Toc210640109"/>
      <w:r w:rsidRPr="00E973F5">
        <w:rPr>
          <w:sz w:val="22"/>
          <w:szCs w:val="22"/>
          <w:highlight w:val="white"/>
          <w:lang w:val="en-GB"/>
        </w:rPr>
        <w:t>2.1 Changes to roles and skills</w:t>
      </w:r>
      <w:bookmarkEnd w:id="2"/>
    </w:p>
    <w:p w14:paraId="77E18EDE" w14:textId="77777777" w:rsidR="00313AAF" w:rsidRPr="00E973F5" w:rsidRDefault="00525889" w:rsidP="00E973F5">
      <w:pPr>
        <w:spacing w:line="360" w:lineRule="auto"/>
        <w:jc w:val="both"/>
        <w:rPr>
          <w:rFonts w:eastAsia="Times New Roman"/>
          <w:highlight w:val="white"/>
          <w:lang w:val="en-GB"/>
        </w:rPr>
      </w:pPr>
      <w:r w:rsidRPr="00E973F5">
        <w:rPr>
          <w:rFonts w:eastAsia="Times New Roman"/>
          <w:highlight w:val="white"/>
          <w:lang w:val="en-GB"/>
        </w:rPr>
        <w:t xml:space="preserve">The rapid adoption of the NHS App has reshaped routine workloads in administrations and led to the emergence of new digital-facing duties in primary care, like practice staff undertaking more identity verification and responding to requests made by apps, along with becoming local digital champions and assisting patients with getting the app installed (Mijal </w:t>
      </w:r>
      <w:r w:rsidRPr="00E973F5">
        <w:rPr>
          <w:rFonts w:eastAsia="Times New Roman"/>
          <w:i/>
          <w:highlight w:val="white"/>
          <w:lang w:val="en-GB"/>
        </w:rPr>
        <w:t>et al</w:t>
      </w:r>
      <w:r w:rsidRPr="00E973F5">
        <w:rPr>
          <w:rFonts w:eastAsia="Times New Roman"/>
          <w:highlight w:val="white"/>
          <w:lang w:val="en-GB"/>
        </w:rPr>
        <w:t>., 2023). The latest updates in training needs are focusing on how to use the apps, the information management that should guide the access to patient records, and the application analytics that can be used to track demand. NHS Digital offers dedicated NHS App resources and training resources to practices to establish test patients and follow up on local adoption. Such changes have necessitated practices to re-skill reception and clinical-adjacent staff instead of merely reducing the number of them, and many organisations have created dedicated time to digital education.</w:t>
      </w:r>
    </w:p>
    <w:p w14:paraId="77E18EDF" w14:textId="77777777" w:rsidR="00313AAF" w:rsidRPr="00E973F5" w:rsidRDefault="00525889" w:rsidP="00E973F5">
      <w:pPr>
        <w:pStyle w:val="Heading2"/>
        <w:rPr>
          <w:sz w:val="22"/>
          <w:szCs w:val="22"/>
          <w:highlight w:val="white"/>
          <w:lang w:val="en-GB"/>
        </w:rPr>
      </w:pPr>
      <w:bookmarkStart w:id="3" w:name="_Toc210640110"/>
      <w:r w:rsidRPr="00E973F5">
        <w:rPr>
          <w:sz w:val="22"/>
          <w:szCs w:val="22"/>
          <w:highlight w:val="white"/>
          <w:lang w:val="en-GB"/>
        </w:rPr>
        <w:t>2.2 Benefits: efficiency and safety</w:t>
      </w:r>
      <w:bookmarkEnd w:id="3"/>
    </w:p>
    <w:p w14:paraId="77E18EE0" w14:textId="77777777" w:rsidR="00313AAF" w:rsidRPr="00E973F5" w:rsidRDefault="00525889" w:rsidP="00E973F5">
      <w:pPr>
        <w:spacing w:line="360" w:lineRule="auto"/>
        <w:jc w:val="both"/>
        <w:rPr>
          <w:rFonts w:eastAsia="Times New Roman"/>
          <w:highlight w:val="white"/>
          <w:lang w:val="en-GB"/>
        </w:rPr>
      </w:pPr>
      <w:r w:rsidRPr="00E973F5">
        <w:rPr>
          <w:rFonts w:eastAsia="Times New Roman"/>
          <w:highlight w:val="white"/>
          <w:lang w:val="en-GB"/>
        </w:rPr>
        <w:t>The workforce has also benefited operationally, such as the ability to process high numbers of repetitive prescriptions and messages digitally, which has decreased the number of repetitive transactions and administrative duplication over the phone. As an illustration, 11.6 million repeat prescriptions occurred between March and May of 2024 with the help of the app, and national reporting refers to app messaging to patient communication cost saving (Konopik and Blunck, 2023). Clinicians testify to faster access to patient records with the help of the app, helping to prevent unsafe prescribing and save time on the search for basic information and devote clinical time to complicated cases. Qualitative assessments also explain streamlining of specific workflows that were added to the practice in case of pandemic-induced scale-up, which is still experienced in regular practice.</w:t>
      </w:r>
    </w:p>
    <w:p w14:paraId="77E18EE1" w14:textId="77777777" w:rsidR="00313AAF" w:rsidRPr="00E973F5" w:rsidRDefault="00525889" w:rsidP="00E973F5">
      <w:pPr>
        <w:pStyle w:val="Heading2"/>
        <w:rPr>
          <w:sz w:val="22"/>
          <w:szCs w:val="22"/>
          <w:highlight w:val="white"/>
          <w:lang w:val="en-GB"/>
        </w:rPr>
      </w:pPr>
      <w:bookmarkStart w:id="4" w:name="_Toc210640111"/>
      <w:r w:rsidRPr="00E973F5">
        <w:rPr>
          <w:sz w:val="22"/>
          <w:szCs w:val="22"/>
          <w:highlight w:val="white"/>
          <w:lang w:val="en-GB"/>
        </w:rPr>
        <w:t>2.3 Challenges: resistance, workload and equity</w:t>
      </w:r>
      <w:bookmarkEnd w:id="4"/>
    </w:p>
    <w:p w14:paraId="77E18EE2" w14:textId="77777777" w:rsidR="00313AAF" w:rsidRPr="00E973F5" w:rsidRDefault="00525889" w:rsidP="00E973F5">
      <w:pPr>
        <w:spacing w:line="360" w:lineRule="auto"/>
        <w:jc w:val="both"/>
        <w:rPr>
          <w:rFonts w:eastAsia="Times New Roman"/>
          <w:highlight w:val="white"/>
          <w:lang w:val="en-GB"/>
        </w:rPr>
      </w:pPr>
      <w:r w:rsidRPr="00E973F5">
        <w:rPr>
          <w:rFonts w:eastAsia="Times New Roman"/>
          <w:highlight w:val="white"/>
          <w:lang w:val="en-GB"/>
        </w:rPr>
        <w:t xml:space="preserve">Notwithstanding these advantages, there are also workforce challenges. Limited evidence exists to suggest that workload in primary care is lower when treated through digital-first interactions. Remote consultation and contact through digital means may create new sources of work, which need to be triaged and processed by administration, which may or may not reduce the overall staff load unless workflows are restructured (Kraus </w:t>
      </w:r>
      <w:r w:rsidRPr="00E973F5">
        <w:rPr>
          <w:rFonts w:eastAsia="Times New Roman"/>
          <w:i/>
          <w:highlight w:val="white"/>
          <w:lang w:val="en-GB"/>
        </w:rPr>
        <w:t>et al</w:t>
      </w:r>
      <w:r w:rsidRPr="00E973F5">
        <w:rPr>
          <w:rFonts w:eastAsia="Times New Roman"/>
          <w:highlight w:val="white"/>
          <w:lang w:val="en-GB"/>
        </w:rPr>
        <w:t xml:space="preserve">., 2021). The resistance to change arises in the form of staff resistance in case of insufficient training or role modification, in addition to the </w:t>
      </w:r>
      <w:r w:rsidRPr="00E973F5">
        <w:rPr>
          <w:rFonts w:eastAsia="Times New Roman"/>
          <w:highlight w:val="white"/>
          <w:lang w:val="en-GB"/>
        </w:rPr>
        <w:lastRenderedPageBreak/>
        <w:t xml:space="preserve">introduction of digital tasks. Importantly, even with 11 million people who lack the knowledge to use the internet effectively, and with 5 million people who never visit the internet, digital exclusion is still pronounced, resulting in the further stress to staff to offer non-digital options and focused approaches to access, justifying the long-term investment in training, workforce planning and equitable access strategies. </w:t>
      </w:r>
    </w:p>
    <w:p w14:paraId="77E18EE3" w14:textId="77777777" w:rsidR="00313AAF" w:rsidRPr="00E973F5" w:rsidRDefault="00525889" w:rsidP="00E973F5">
      <w:pPr>
        <w:pStyle w:val="Heading1"/>
        <w:rPr>
          <w:sz w:val="22"/>
          <w:szCs w:val="22"/>
          <w:lang w:val="en-GB"/>
        </w:rPr>
      </w:pPr>
      <w:bookmarkStart w:id="5" w:name="_Toc210640112"/>
      <w:r w:rsidRPr="00E973F5">
        <w:rPr>
          <w:sz w:val="22"/>
          <w:szCs w:val="22"/>
          <w:lang w:val="en-GB"/>
        </w:rPr>
        <w:t>3. Service Delivery</w:t>
      </w:r>
      <w:bookmarkEnd w:id="5"/>
    </w:p>
    <w:p w14:paraId="77E18EE4" w14:textId="77777777" w:rsidR="00313AAF" w:rsidRPr="00E973F5" w:rsidRDefault="00525889" w:rsidP="00E973F5">
      <w:pPr>
        <w:pStyle w:val="Heading2"/>
        <w:rPr>
          <w:sz w:val="22"/>
          <w:szCs w:val="22"/>
          <w:highlight w:val="white"/>
          <w:lang w:val="en-GB"/>
        </w:rPr>
      </w:pPr>
      <w:bookmarkStart w:id="6" w:name="_Toc210640113"/>
      <w:r w:rsidRPr="00E973F5">
        <w:rPr>
          <w:sz w:val="22"/>
          <w:szCs w:val="22"/>
          <w:highlight w:val="white"/>
          <w:lang w:val="en-GB"/>
        </w:rPr>
        <w:t>3.1 Daily practice has been affected by Workflow, Communication and Integration</w:t>
      </w:r>
      <w:bookmarkEnd w:id="6"/>
    </w:p>
    <w:p w14:paraId="77E18EE5" w14:textId="77777777" w:rsidR="00313AAF" w:rsidRPr="00E973F5" w:rsidRDefault="00525889" w:rsidP="00E973F5">
      <w:pPr>
        <w:spacing w:line="360" w:lineRule="auto"/>
        <w:jc w:val="both"/>
        <w:rPr>
          <w:rFonts w:eastAsia="Times New Roman"/>
          <w:highlight w:val="white"/>
          <w:lang w:val="en-GB"/>
        </w:rPr>
      </w:pPr>
      <w:r w:rsidRPr="00E973F5">
        <w:rPr>
          <w:rFonts w:eastAsia="Times New Roman"/>
          <w:highlight w:val="white"/>
          <w:lang w:val="en-GB"/>
        </w:rPr>
        <w:t>The NHS App has changed the workflows of day-to-day primary care by moving routine transactional work, repeat prescriptions, appointment requests and access to test results to an online platform that connects with the core GP systems. This has established direct connections between patient action in the app and clinical systems, enhancing automated prescription ordering and view of results, and the most recent national statistics indicate tens of millions of interactions (</w:t>
      </w:r>
      <w:r w:rsidRPr="00E973F5">
        <w:rPr>
          <w:rFonts w:eastAsia="Times New Roman"/>
          <w:i/>
          <w:highlight w:val="white"/>
          <w:lang w:val="en-GB"/>
        </w:rPr>
        <w:t>over 61 million repeat prescriptions ordered over the past 12 months and 37.4 million registered users</w:t>
      </w:r>
      <w:r w:rsidRPr="00E973F5">
        <w:rPr>
          <w:rFonts w:eastAsia="Times New Roman"/>
          <w:highlight w:val="white"/>
          <w:lang w:val="en-GB"/>
        </w:rPr>
        <w:t xml:space="preserve">), indicating scale and system access (Sheikh </w:t>
      </w:r>
      <w:r w:rsidRPr="00E973F5">
        <w:rPr>
          <w:rFonts w:eastAsia="Times New Roman"/>
          <w:i/>
          <w:highlight w:val="white"/>
          <w:lang w:val="en-GB"/>
        </w:rPr>
        <w:t>et al</w:t>
      </w:r>
      <w:r w:rsidRPr="00E973F5">
        <w:rPr>
          <w:rFonts w:eastAsia="Times New Roman"/>
          <w:highlight w:val="white"/>
          <w:lang w:val="en-GB"/>
        </w:rPr>
        <w:t>., 2021). Local practice workflows, in their turn, have now been regularly extended to include triage of app-originated contacts and reconciliation of app notifications in existing appointment and prescribing workflows.</w:t>
      </w:r>
    </w:p>
    <w:p w14:paraId="77E18EE6" w14:textId="77777777" w:rsidR="00313AAF" w:rsidRPr="00E973F5" w:rsidRDefault="00525889" w:rsidP="00E973F5">
      <w:pPr>
        <w:pStyle w:val="Heading2"/>
        <w:rPr>
          <w:sz w:val="22"/>
          <w:szCs w:val="22"/>
          <w:highlight w:val="white"/>
          <w:lang w:val="en-GB"/>
        </w:rPr>
      </w:pPr>
      <w:bookmarkStart w:id="7" w:name="_Toc210640114"/>
      <w:r w:rsidRPr="00E973F5">
        <w:rPr>
          <w:sz w:val="22"/>
          <w:szCs w:val="22"/>
          <w:highlight w:val="white"/>
          <w:lang w:val="en-GB"/>
        </w:rPr>
        <w:t>3.2 Benefits: faster services and improved coordination</w:t>
      </w:r>
      <w:bookmarkEnd w:id="7"/>
    </w:p>
    <w:p w14:paraId="77E18EE7" w14:textId="77777777" w:rsidR="00313AAF" w:rsidRPr="00E973F5" w:rsidRDefault="00525889" w:rsidP="00E973F5">
      <w:pPr>
        <w:spacing w:line="360" w:lineRule="auto"/>
        <w:jc w:val="both"/>
        <w:rPr>
          <w:rFonts w:eastAsia="Times New Roman"/>
          <w:highlight w:val="white"/>
          <w:lang w:val="en-GB"/>
        </w:rPr>
      </w:pPr>
      <w:r w:rsidRPr="00E973F5">
        <w:rPr>
          <w:rFonts w:eastAsia="Times New Roman"/>
          <w:highlight w:val="white"/>
          <w:lang w:val="en-GB"/>
        </w:rPr>
        <w:t xml:space="preserve">Many administrative tasks have become faster than before, such as patients being able to order medicine and see results without contact, and release reception lines and reduce prescription turnaround times (Schiuma </w:t>
      </w:r>
      <w:r w:rsidRPr="00E973F5">
        <w:rPr>
          <w:rFonts w:eastAsia="Times New Roman"/>
          <w:i/>
          <w:highlight w:val="white"/>
          <w:lang w:val="en-GB"/>
        </w:rPr>
        <w:t>et al</w:t>
      </w:r>
      <w:r w:rsidRPr="00E973F5">
        <w:rPr>
          <w:rFonts w:eastAsia="Times New Roman"/>
          <w:highlight w:val="white"/>
          <w:lang w:val="en-GB"/>
        </w:rPr>
        <w:t>., 2022). The app also provides a unified, authenticated view of records, which can be used to support safer and more coordinated decision-making across primary and secondary care interfaces. The high percentage of rapid increase in both the number of logins and feature utilisation is a pointer that the app has become a support backbone of patient-facing digital services. Asynchronous digital care evaluations have revealed that it is safe enough to enhance convenience and timely access to workflows and governance, provided there is a strong, robust control.</w:t>
      </w:r>
    </w:p>
    <w:p w14:paraId="77E18EE8" w14:textId="77777777" w:rsidR="00313AAF" w:rsidRPr="00E973F5" w:rsidRDefault="00525889" w:rsidP="00E973F5">
      <w:pPr>
        <w:pStyle w:val="Heading2"/>
        <w:rPr>
          <w:sz w:val="22"/>
          <w:szCs w:val="22"/>
          <w:highlight w:val="white"/>
          <w:lang w:val="en-GB"/>
        </w:rPr>
      </w:pPr>
      <w:bookmarkStart w:id="8" w:name="_Toc210640115"/>
      <w:r w:rsidRPr="00E973F5">
        <w:rPr>
          <w:sz w:val="22"/>
          <w:szCs w:val="22"/>
          <w:highlight w:val="white"/>
          <w:lang w:val="en-GB"/>
        </w:rPr>
        <w:t>3.3 Challenges: costs, technical problems and workload effects</w:t>
      </w:r>
      <w:bookmarkEnd w:id="8"/>
    </w:p>
    <w:p w14:paraId="77E18EE9" w14:textId="77777777" w:rsidR="00313AAF" w:rsidRPr="00E973F5" w:rsidRDefault="00525889" w:rsidP="00E973F5">
      <w:pPr>
        <w:spacing w:line="360" w:lineRule="auto"/>
        <w:jc w:val="both"/>
        <w:rPr>
          <w:rFonts w:eastAsia="Times New Roman"/>
          <w:highlight w:val="white"/>
          <w:lang w:val="en-GB"/>
        </w:rPr>
      </w:pPr>
      <w:r w:rsidRPr="00E973F5">
        <w:rPr>
          <w:rFonts w:eastAsia="Times New Roman"/>
          <w:highlight w:val="white"/>
          <w:lang w:val="en-GB"/>
        </w:rPr>
        <w:t xml:space="preserve">Non-trivial investment in integration, identity-checking processes and maintenance has been needed to be implemented. Interoperability gaps and user support have resulted in technical </w:t>
      </w:r>
      <w:r w:rsidRPr="00E973F5">
        <w:rPr>
          <w:rFonts w:eastAsia="Times New Roman"/>
          <w:highlight w:val="white"/>
          <w:lang w:val="en-GB"/>
        </w:rPr>
        <w:lastRenderedPageBreak/>
        <w:t xml:space="preserve">failures and local differences in the maturity of services </w:t>
      </w:r>
      <w:r w:rsidRPr="00E973F5">
        <w:rPr>
          <w:rFonts w:eastAsia="Times New Roman"/>
          <w:lang w:val="en-GB"/>
        </w:rPr>
        <w:t xml:space="preserve">(Pascucci </w:t>
      </w:r>
      <w:r w:rsidRPr="00E973F5">
        <w:rPr>
          <w:rFonts w:eastAsia="Times New Roman"/>
          <w:i/>
          <w:lang w:val="en-GB"/>
        </w:rPr>
        <w:t>et al</w:t>
      </w:r>
      <w:r w:rsidRPr="00E973F5">
        <w:rPr>
          <w:rFonts w:eastAsia="Times New Roman"/>
          <w:lang w:val="en-GB"/>
        </w:rPr>
        <w:t>., 2023)</w:t>
      </w:r>
      <w:r w:rsidRPr="00E973F5">
        <w:rPr>
          <w:rFonts w:eastAsia="Times New Roman"/>
          <w:highlight w:val="white"/>
          <w:lang w:val="en-GB"/>
        </w:rPr>
        <w:t xml:space="preserve">. Systematic reviews and primary-care research have shown that eHealth tools, in most practices, may create new work streams (including triage, follow-ups and administrative services) and, in some cases, may add to the overall workload of GPs unless workflow changes are made (Aldoseri </w:t>
      </w:r>
      <w:r w:rsidRPr="00E973F5">
        <w:rPr>
          <w:rFonts w:eastAsia="Times New Roman"/>
          <w:i/>
          <w:highlight w:val="white"/>
          <w:lang w:val="en-GB"/>
        </w:rPr>
        <w:t>et al</w:t>
      </w:r>
      <w:r w:rsidRPr="00E973F5">
        <w:rPr>
          <w:rFonts w:eastAsia="Times New Roman"/>
          <w:highlight w:val="white"/>
          <w:lang w:val="en-GB"/>
        </w:rPr>
        <w:t>., 2024). Safety review audits have also cautioned that asynchronous digital routes may be associated with patient safety incidents in case of capacity, reporting and alternative access routes are not obtained.</w:t>
      </w:r>
    </w:p>
    <w:p w14:paraId="77E18EEA" w14:textId="77777777" w:rsidR="00313AAF" w:rsidRPr="00E973F5" w:rsidRDefault="00525889" w:rsidP="00E973F5">
      <w:pPr>
        <w:pStyle w:val="Heading2"/>
        <w:rPr>
          <w:sz w:val="22"/>
          <w:szCs w:val="22"/>
          <w:highlight w:val="white"/>
          <w:lang w:val="en-GB"/>
        </w:rPr>
      </w:pPr>
      <w:bookmarkStart w:id="9" w:name="_Toc210640116"/>
      <w:r w:rsidRPr="00E973F5">
        <w:rPr>
          <w:sz w:val="22"/>
          <w:szCs w:val="22"/>
          <w:highlight w:val="white"/>
          <w:lang w:val="en-GB"/>
        </w:rPr>
        <w:t>3.4 UK case examples and implementation learning</w:t>
      </w:r>
      <w:bookmarkEnd w:id="9"/>
    </w:p>
    <w:p w14:paraId="77E18EEB" w14:textId="77777777" w:rsidR="00313AAF" w:rsidRPr="00E973F5" w:rsidRDefault="00525889" w:rsidP="00E973F5">
      <w:pPr>
        <w:spacing w:line="360" w:lineRule="auto"/>
        <w:jc w:val="both"/>
        <w:rPr>
          <w:rFonts w:eastAsia="Times New Roman"/>
          <w:highlight w:val="white"/>
          <w:lang w:val="en-GB"/>
        </w:rPr>
      </w:pPr>
      <w:r w:rsidRPr="00E973F5">
        <w:rPr>
          <w:rFonts w:eastAsia="Times New Roman"/>
          <w:highlight w:val="white"/>
          <w:lang w:val="en-GB"/>
        </w:rPr>
        <w:t xml:space="preserve">Lessons on practical implementation have been learned through specific pilots and spread programmes like NHS/HEE digital-champion programmes, and library outreach have been utilised to improve the adoption of the new technology within older and digitally excluded populations (Yao </w:t>
      </w:r>
      <w:r w:rsidRPr="00E973F5">
        <w:rPr>
          <w:rFonts w:eastAsia="Times New Roman"/>
          <w:i/>
          <w:highlight w:val="white"/>
          <w:lang w:val="en-GB"/>
        </w:rPr>
        <w:t>et al</w:t>
      </w:r>
      <w:r w:rsidRPr="00E973F5">
        <w:rPr>
          <w:rFonts w:eastAsia="Times New Roman"/>
          <w:highlight w:val="white"/>
          <w:lang w:val="en-GB"/>
        </w:rPr>
        <w:t xml:space="preserve">., 2022). NIHR/academic evaluations on multi-practice case studies have demonstrated that local workflow redesign, staff training and well-defined escalation policies are essential to realise the benefits and minimise the harms (Trenerry </w:t>
      </w:r>
      <w:r w:rsidRPr="00E973F5">
        <w:rPr>
          <w:rFonts w:eastAsia="Times New Roman"/>
          <w:i/>
          <w:highlight w:val="white"/>
          <w:lang w:val="en-GB"/>
        </w:rPr>
        <w:t>et al</w:t>
      </w:r>
      <w:r w:rsidRPr="00E973F5">
        <w:rPr>
          <w:rFonts w:eastAsia="Times New Roman"/>
          <w:highlight w:val="white"/>
          <w:lang w:val="en-GB"/>
        </w:rPr>
        <w:t xml:space="preserve">., 2021). These case studies indicate that investment in integration, workforce skills and inclusive access strategies is associated with service gains. </w:t>
      </w:r>
    </w:p>
    <w:p w14:paraId="77E18EEC" w14:textId="77777777" w:rsidR="00313AAF" w:rsidRPr="00E973F5" w:rsidRDefault="00525889" w:rsidP="00E973F5">
      <w:pPr>
        <w:pStyle w:val="Heading1"/>
        <w:rPr>
          <w:sz w:val="22"/>
          <w:szCs w:val="22"/>
          <w:lang w:val="en-GB"/>
        </w:rPr>
      </w:pPr>
      <w:bookmarkStart w:id="10" w:name="_Toc210640117"/>
      <w:r w:rsidRPr="00E973F5">
        <w:rPr>
          <w:sz w:val="22"/>
          <w:szCs w:val="22"/>
          <w:lang w:val="en-GB"/>
        </w:rPr>
        <w:t>4. Patient/Service User</w:t>
      </w:r>
      <w:bookmarkEnd w:id="10"/>
    </w:p>
    <w:p w14:paraId="77E18EED" w14:textId="77777777" w:rsidR="00313AAF" w:rsidRPr="00E973F5" w:rsidRDefault="00525889" w:rsidP="00E973F5">
      <w:pPr>
        <w:pStyle w:val="Heading2"/>
        <w:rPr>
          <w:sz w:val="22"/>
          <w:szCs w:val="22"/>
          <w:lang w:val="en-GB"/>
        </w:rPr>
      </w:pPr>
      <w:bookmarkStart w:id="11" w:name="_Toc210640118"/>
      <w:r w:rsidRPr="00E973F5">
        <w:rPr>
          <w:sz w:val="22"/>
          <w:szCs w:val="22"/>
          <w:lang w:val="en-GB"/>
        </w:rPr>
        <w:t>4.1 Access, convenience and empowerment</w:t>
      </w:r>
      <w:bookmarkEnd w:id="11"/>
    </w:p>
    <w:p w14:paraId="77E18EEE" w14:textId="14042DFD" w:rsidR="00313AAF" w:rsidRPr="00E973F5" w:rsidRDefault="00525889" w:rsidP="00E973F5">
      <w:pPr>
        <w:spacing w:line="360" w:lineRule="auto"/>
        <w:jc w:val="both"/>
        <w:rPr>
          <w:rFonts w:eastAsia="Times New Roman"/>
          <w:lang w:val="en-GB"/>
        </w:rPr>
      </w:pPr>
      <w:r w:rsidRPr="00E973F5">
        <w:rPr>
          <w:rFonts w:eastAsia="Times New Roman"/>
          <w:lang w:val="en-GB"/>
        </w:rPr>
        <w:t xml:space="preserve">NHS App has led to a considerable increase in access to routine care among service users: 37.4 million people are registered users of the App by August 2025, 11.4 million people used the App on average every month, 61.5 million repeat prescriptions were ordered in the last 12 months alone, 87.4 million test result views have been a considerable market shift of transactional business to a patient-oriented digital service (Wessel </w:t>
      </w:r>
      <w:r w:rsidRPr="00E973F5">
        <w:rPr>
          <w:rFonts w:eastAsia="Times New Roman"/>
          <w:i/>
          <w:lang w:val="en-GB"/>
        </w:rPr>
        <w:t>et al</w:t>
      </w:r>
      <w:r w:rsidRPr="00E973F5">
        <w:rPr>
          <w:rFonts w:eastAsia="Times New Roman"/>
          <w:lang w:val="en-GB"/>
        </w:rPr>
        <w:t>., 2021). Efficiency estimates reported have shown that each online repeat-prescription order saves practices approximately three minutes and patients approximately 18 minutes, showing that time savings and convenience are measurable by both groups.</w:t>
      </w:r>
      <w:r w:rsidR="0010672A" w:rsidRPr="00E973F5">
        <w:rPr>
          <w:rFonts w:eastAsia="Times New Roman"/>
          <w:lang w:val="en-GB"/>
        </w:rPr>
        <w:t xml:space="preserve"> The qualitative assessment shows that patients appreciate the speed, convenience and control of the app, but also report frustration with the onboarding process or experience, privacy concerns and inconsistencies in the quality of local practice support (Benis </w:t>
      </w:r>
      <w:r w:rsidR="0010672A" w:rsidRPr="00E973F5">
        <w:rPr>
          <w:rFonts w:eastAsia="Times New Roman"/>
          <w:i/>
          <w:lang w:val="en-GB"/>
        </w:rPr>
        <w:t>et al</w:t>
      </w:r>
      <w:r w:rsidR="0010672A" w:rsidRPr="00E973F5">
        <w:rPr>
          <w:rFonts w:eastAsia="Times New Roman"/>
          <w:lang w:val="en-GB"/>
        </w:rPr>
        <w:t>., 2021). The analyses underline the fact that data collection of patient experience should be enhanced to reflect the nuances and inform the iterative design.</w:t>
      </w:r>
    </w:p>
    <w:p w14:paraId="77E18EEF" w14:textId="77777777" w:rsidR="00313AAF" w:rsidRPr="00E973F5" w:rsidRDefault="00525889" w:rsidP="00E973F5">
      <w:pPr>
        <w:pStyle w:val="Heading2"/>
        <w:rPr>
          <w:sz w:val="22"/>
          <w:szCs w:val="22"/>
          <w:highlight w:val="white"/>
          <w:lang w:val="en-GB"/>
        </w:rPr>
      </w:pPr>
      <w:bookmarkStart w:id="12" w:name="_Toc210640119"/>
      <w:r w:rsidRPr="00E973F5">
        <w:rPr>
          <w:sz w:val="22"/>
          <w:szCs w:val="22"/>
          <w:highlight w:val="white"/>
          <w:lang w:val="en-GB"/>
        </w:rPr>
        <w:lastRenderedPageBreak/>
        <w:t>4.2 Privacy and clinical safety</w:t>
      </w:r>
      <w:bookmarkEnd w:id="12"/>
    </w:p>
    <w:p w14:paraId="77E18EF0" w14:textId="77777777" w:rsidR="00313AAF" w:rsidRPr="00E973F5" w:rsidRDefault="00525889" w:rsidP="00E973F5">
      <w:pPr>
        <w:spacing w:line="360" w:lineRule="auto"/>
        <w:jc w:val="both"/>
        <w:rPr>
          <w:rFonts w:eastAsia="Times New Roman"/>
          <w:highlight w:val="white"/>
          <w:lang w:val="en-GB"/>
        </w:rPr>
      </w:pPr>
      <w:r w:rsidRPr="00E973F5">
        <w:rPr>
          <w:rFonts w:eastAsia="Times New Roman"/>
          <w:highlight w:val="white"/>
          <w:lang w:val="en-GB"/>
        </w:rPr>
        <w:t xml:space="preserve">The increase in access to records and test results through the app has enhanced transparency and involvement of patients, yet empirical studies have noted unintentional consequences: recent studies evaluating the use of online access to clinical note documents have found both positive and negative impacts on aspects of quality, where positive effects include patient understanding, and negative effects include confusion or harms when the notes are misunderstood, and weak alerting/triage pathways (Kotcher </w:t>
      </w:r>
      <w:r w:rsidRPr="00E973F5">
        <w:rPr>
          <w:rFonts w:eastAsia="Times New Roman"/>
          <w:i/>
          <w:highlight w:val="white"/>
          <w:lang w:val="en-GB"/>
        </w:rPr>
        <w:t>et al</w:t>
      </w:r>
      <w:r w:rsidRPr="00E973F5">
        <w:rPr>
          <w:rFonts w:eastAsia="Times New Roman"/>
          <w:highlight w:val="white"/>
          <w:lang w:val="en-GB"/>
        </w:rPr>
        <w:t>., 2021). Safe use, consequently, requires strong identity assurance, effective explanations of clinical content, and efficient escalation pathways in cases where abnormalities are perceived by the patients.</w:t>
      </w:r>
    </w:p>
    <w:p w14:paraId="77E18EF1" w14:textId="77777777" w:rsidR="00313AAF" w:rsidRPr="00E973F5" w:rsidRDefault="00525889" w:rsidP="00E973F5">
      <w:pPr>
        <w:pStyle w:val="Heading2"/>
        <w:rPr>
          <w:sz w:val="22"/>
          <w:szCs w:val="22"/>
          <w:highlight w:val="white"/>
          <w:lang w:val="en-GB"/>
        </w:rPr>
      </w:pPr>
      <w:bookmarkStart w:id="13" w:name="_Toc210640120"/>
      <w:r w:rsidRPr="00E973F5">
        <w:rPr>
          <w:sz w:val="22"/>
          <w:szCs w:val="22"/>
          <w:highlight w:val="white"/>
          <w:lang w:val="en-GB"/>
        </w:rPr>
        <w:t>4.3 Digital literacy and fairness of access</w:t>
      </w:r>
      <w:bookmarkEnd w:id="13"/>
    </w:p>
    <w:p w14:paraId="77E18EF3" w14:textId="1B6DF8C9" w:rsidR="00313AAF" w:rsidRPr="00E973F5" w:rsidRDefault="00525889" w:rsidP="00E973F5">
      <w:pPr>
        <w:spacing w:line="360" w:lineRule="auto"/>
        <w:jc w:val="both"/>
        <w:rPr>
          <w:rFonts w:eastAsia="Times New Roman"/>
          <w:highlight w:val="white"/>
          <w:lang w:val="en-GB"/>
        </w:rPr>
      </w:pPr>
      <w:r w:rsidRPr="00E973F5">
        <w:rPr>
          <w:rFonts w:eastAsia="Times New Roman"/>
          <w:highlight w:val="white"/>
          <w:lang w:val="en-GB"/>
        </w:rPr>
        <w:t xml:space="preserve">Universalism hides the enduring inequalities, such as parliamentary scrutiny and industry research find that approximately half of all adults lack even the ability to accomplish a single simple online action, with substantial groups of people completely digitally excluded, so that the benefits of the NHS App are disproportionately shared and put additional burdens on staff who should find non-digital workarounds and specific assistance (Kickbusch </w:t>
      </w:r>
      <w:r w:rsidRPr="00E973F5">
        <w:rPr>
          <w:rFonts w:eastAsia="Times New Roman"/>
          <w:i/>
          <w:highlight w:val="white"/>
          <w:lang w:val="en-GB"/>
        </w:rPr>
        <w:t>et al</w:t>
      </w:r>
      <w:r w:rsidRPr="00E973F5">
        <w:rPr>
          <w:rFonts w:eastAsia="Times New Roman"/>
          <w:highlight w:val="white"/>
          <w:lang w:val="en-GB"/>
        </w:rPr>
        <w:t>., 2021). These gaps are starting to be filled through national strategies of digital inclusion, but the magnitude of exclusion is a structural impediment to fair be</w:t>
      </w:r>
      <w:r w:rsidR="0010672A" w:rsidRPr="00E973F5">
        <w:rPr>
          <w:rFonts w:eastAsia="Times New Roman"/>
          <w:highlight w:val="white"/>
          <w:lang w:val="en-GB"/>
        </w:rPr>
        <w:t>nefit.</w:t>
      </w:r>
    </w:p>
    <w:p w14:paraId="77E18EF5" w14:textId="77777777" w:rsidR="00313AAF" w:rsidRPr="00E973F5" w:rsidRDefault="00525889" w:rsidP="00E973F5">
      <w:pPr>
        <w:pStyle w:val="Heading1"/>
        <w:rPr>
          <w:sz w:val="22"/>
          <w:szCs w:val="22"/>
          <w:lang w:val="en-GB"/>
        </w:rPr>
      </w:pPr>
      <w:bookmarkStart w:id="14" w:name="_Toc210640122"/>
      <w:r w:rsidRPr="00E973F5">
        <w:rPr>
          <w:sz w:val="22"/>
          <w:szCs w:val="22"/>
          <w:lang w:val="en-GB"/>
        </w:rPr>
        <w:t>5. Community</w:t>
      </w:r>
      <w:bookmarkEnd w:id="14"/>
    </w:p>
    <w:p w14:paraId="77E18EF6" w14:textId="77777777" w:rsidR="00313AAF" w:rsidRPr="00E973F5" w:rsidRDefault="00525889" w:rsidP="00E973F5">
      <w:pPr>
        <w:pStyle w:val="Heading2"/>
        <w:rPr>
          <w:sz w:val="22"/>
          <w:szCs w:val="22"/>
          <w:highlight w:val="white"/>
          <w:lang w:val="en-GB"/>
        </w:rPr>
      </w:pPr>
      <w:bookmarkStart w:id="15" w:name="_Toc210640123"/>
      <w:r w:rsidRPr="00E973F5">
        <w:rPr>
          <w:sz w:val="22"/>
          <w:szCs w:val="22"/>
          <w:highlight w:val="white"/>
          <w:lang w:val="en-GB"/>
        </w:rPr>
        <w:t>5.1 Impact on rural and underserved communities</w:t>
      </w:r>
      <w:bookmarkEnd w:id="15"/>
    </w:p>
    <w:p w14:paraId="77E18EF7" w14:textId="77777777" w:rsidR="00313AAF" w:rsidRPr="00E973F5" w:rsidRDefault="00525889" w:rsidP="00E973F5">
      <w:pPr>
        <w:spacing w:line="360" w:lineRule="auto"/>
        <w:jc w:val="both"/>
        <w:rPr>
          <w:rFonts w:eastAsia="Times New Roman"/>
          <w:highlight w:val="white"/>
          <w:lang w:val="en-GB"/>
        </w:rPr>
      </w:pPr>
      <w:r w:rsidRPr="00E973F5">
        <w:rPr>
          <w:rFonts w:eastAsia="Times New Roman"/>
          <w:highlight w:val="white"/>
          <w:lang w:val="en-GB"/>
        </w:rPr>
        <w:t xml:space="preserve">The NHS App has the potential to address this issue by making access more convenient to patients who travel long distances to GP practices by cutting down the travelling cost and by allowing them to manage their routine needs remotely. Although the infrastructure disparities in most rural territories limit the implementation of these advantages (Van Kessel </w:t>
      </w:r>
      <w:r w:rsidRPr="00E973F5">
        <w:rPr>
          <w:rFonts w:eastAsia="Times New Roman"/>
          <w:i/>
          <w:highlight w:val="white"/>
          <w:lang w:val="en-GB"/>
        </w:rPr>
        <w:t>et al</w:t>
      </w:r>
      <w:r w:rsidRPr="00E973F5">
        <w:rPr>
          <w:rFonts w:eastAsia="Times New Roman"/>
          <w:highlight w:val="white"/>
          <w:lang w:val="en-GB"/>
        </w:rPr>
        <w:t xml:space="preserve">., 2022). Recent studies point to the fact that full-fibre access is significantly lower in rural regions than in urban ones, which inhibits stable connectivity to support digital health. As a result, adoption and use of the App within certain underserved communities is unequal and depends on local broadband and mobile access </w:t>
      </w:r>
      <w:r w:rsidRPr="00E973F5">
        <w:rPr>
          <w:rFonts w:eastAsia="Times New Roman"/>
          <w:lang w:val="en-GB"/>
        </w:rPr>
        <w:t>(Cetindamar Kozanoglu and Abedin, 2021)</w:t>
      </w:r>
      <w:r w:rsidRPr="00E973F5">
        <w:rPr>
          <w:rFonts w:eastAsia="Times New Roman"/>
          <w:highlight w:val="white"/>
          <w:lang w:val="en-GB"/>
        </w:rPr>
        <w:t>.</w:t>
      </w:r>
    </w:p>
    <w:p w14:paraId="77E18EF8" w14:textId="77777777" w:rsidR="00313AAF" w:rsidRPr="00E973F5" w:rsidRDefault="00525889" w:rsidP="00E973F5">
      <w:pPr>
        <w:pStyle w:val="Heading2"/>
        <w:rPr>
          <w:sz w:val="22"/>
          <w:szCs w:val="22"/>
          <w:highlight w:val="white"/>
          <w:lang w:val="en-GB"/>
        </w:rPr>
      </w:pPr>
      <w:bookmarkStart w:id="16" w:name="_Toc210640124"/>
      <w:r w:rsidRPr="00E973F5">
        <w:rPr>
          <w:sz w:val="22"/>
          <w:szCs w:val="22"/>
          <w:highlight w:val="white"/>
          <w:lang w:val="en-GB"/>
        </w:rPr>
        <w:lastRenderedPageBreak/>
        <w:t>5.2 Effects on families, carers and public health</w:t>
      </w:r>
      <w:bookmarkEnd w:id="16"/>
    </w:p>
    <w:p w14:paraId="77E18EF9" w14:textId="77777777" w:rsidR="00313AAF" w:rsidRPr="00E973F5" w:rsidRDefault="00525889" w:rsidP="00E973F5">
      <w:pPr>
        <w:spacing w:line="360" w:lineRule="auto"/>
        <w:jc w:val="both"/>
        <w:rPr>
          <w:rFonts w:eastAsia="Times New Roman"/>
          <w:highlight w:val="white"/>
          <w:lang w:val="en-GB"/>
        </w:rPr>
      </w:pPr>
      <w:r w:rsidRPr="00E973F5">
        <w:rPr>
          <w:rFonts w:eastAsia="Times New Roman"/>
          <w:highlight w:val="white"/>
          <w:lang w:val="en-GB"/>
        </w:rPr>
        <w:t xml:space="preserve">In areas with connectivity and digital skills, the App facilitates the carers and family members to manage medication and appointments and access test results, facilitating the daily caregiving process and positively affecting the timely response to clinical changes (Farsi, 2021). Practical experience in NHS case-studies demonstrates that family-facing functionality and local marketing via primary-care networks lessen the administrative friction and can facilitate time-prompted public-health communications, such as that of vaccination reminders (Mbunge </w:t>
      </w:r>
      <w:r w:rsidRPr="00E973F5">
        <w:rPr>
          <w:rFonts w:eastAsia="Times New Roman"/>
          <w:i/>
          <w:highlight w:val="white"/>
          <w:lang w:val="en-GB"/>
        </w:rPr>
        <w:t>et al</w:t>
      </w:r>
      <w:r w:rsidRPr="00E973F5">
        <w:rPr>
          <w:rFonts w:eastAsia="Times New Roman"/>
          <w:highlight w:val="white"/>
          <w:lang w:val="en-GB"/>
        </w:rPr>
        <w:t>., 2021). Nevertheless, more technical support and permission processes frequently entail new requirements for primary-care teams.</w:t>
      </w:r>
    </w:p>
    <w:p w14:paraId="77E18EFA" w14:textId="77777777" w:rsidR="00313AAF" w:rsidRPr="00E973F5" w:rsidRDefault="00525889" w:rsidP="00E973F5">
      <w:pPr>
        <w:pStyle w:val="Heading2"/>
        <w:rPr>
          <w:sz w:val="22"/>
          <w:szCs w:val="22"/>
          <w:highlight w:val="white"/>
          <w:lang w:val="en-GB"/>
        </w:rPr>
      </w:pPr>
      <w:bookmarkStart w:id="17" w:name="_Toc210640125"/>
      <w:r w:rsidRPr="00E973F5">
        <w:rPr>
          <w:sz w:val="22"/>
          <w:szCs w:val="22"/>
          <w:highlight w:val="white"/>
          <w:lang w:val="en-GB"/>
        </w:rPr>
        <w:t>5.3 Evidence of co-production and local initiative</w:t>
      </w:r>
      <w:bookmarkEnd w:id="17"/>
    </w:p>
    <w:p w14:paraId="77E18EFB" w14:textId="34A3108A" w:rsidR="00313AAF" w:rsidRPr="00E973F5" w:rsidRDefault="00525889" w:rsidP="00E973F5">
      <w:pPr>
        <w:spacing w:line="360" w:lineRule="auto"/>
        <w:jc w:val="both"/>
        <w:rPr>
          <w:rFonts w:eastAsia="Times New Roman"/>
          <w:highlight w:val="white"/>
          <w:lang w:val="en-GB"/>
        </w:rPr>
      </w:pPr>
      <w:r w:rsidRPr="00E973F5">
        <w:rPr>
          <w:rFonts w:eastAsia="Times New Roman"/>
          <w:highlight w:val="white"/>
          <w:lang w:val="en-GB"/>
        </w:rPr>
        <w:t xml:space="preserve">Implementation learning has proven useful in co-production, like the Digital Champions programmes supported by </w:t>
      </w:r>
      <w:r w:rsidRPr="00E973F5">
        <w:rPr>
          <w:rFonts w:eastAsia="Times New Roman"/>
          <w:b/>
          <w:i/>
          <w:highlight w:val="white"/>
          <w:lang w:val="en-GB"/>
        </w:rPr>
        <w:t>NHS England and Health Education England</w:t>
      </w:r>
      <w:r w:rsidRPr="00E973F5">
        <w:rPr>
          <w:rFonts w:eastAsia="Times New Roman"/>
          <w:highlight w:val="white"/>
          <w:lang w:val="en-GB"/>
        </w:rPr>
        <w:t xml:space="preserve">, and local library outreach sessions have invested in co-designing support pathways, enhancing the experience of onboarding older and digitally excluded groups (Dąbrowska </w:t>
      </w:r>
      <w:r w:rsidRPr="00E973F5">
        <w:rPr>
          <w:rFonts w:eastAsia="Times New Roman"/>
          <w:i/>
          <w:highlight w:val="white"/>
          <w:lang w:val="en-GB"/>
        </w:rPr>
        <w:t>et al</w:t>
      </w:r>
      <w:r w:rsidRPr="00E973F5">
        <w:rPr>
          <w:rFonts w:eastAsia="Times New Roman"/>
          <w:highlight w:val="white"/>
          <w:lang w:val="en-GB"/>
        </w:rPr>
        <w:t>., 2022). Scholarly and assessment literature suggest that the co-design and community partner projects have better sustained uptake and lower dependence on the staff-mediated access.</w:t>
      </w:r>
      <w:r w:rsidR="00186940" w:rsidRPr="00E973F5">
        <w:rPr>
          <w:rFonts w:eastAsia="Times New Roman"/>
          <w:highlight w:val="white"/>
          <w:lang w:val="en-GB"/>
        </w:rPr>
        <w:t xml:space="preserve"> </w:t>
      </w:r>
    </w:p>
    <w:p w14:paraId="77E18EFC" w14:textId="77777777" w:rsidR="00313AAF" w:rsidRPr="00E973F5" w:rsidRDefault="00525889" w:rsidP="00E973F5">
      <w:pPr>
        <w:pStyle w:val="Heading2"/>
        <w:rPr>
          <w:sz w:val="22"/>
          <w:szCs w:val="22"/>
          <w:highlight w:val="white"/>
          <w:lang w:val="en-GB"/>
        </w:rPr>
      </w:pPr>
      <w:bookmarkStart w:id="18" w:name="_Toc210640126"/>
      <w:r w:rsidRPr="00E973F5">
        <w:rPr>
          <w:sz w:val="22"/>
          <w:szCs w:val="22"/>
          <w:highlight w:val="white"/>
          <w:lang w:val="en-GB"/>
        </w:rPr>
        <w:t>5.4 Inequalities and limitations</w:t>
      </w:r>
      <w:bookmarkEnd w:id="18"/>
    </w:p>
    <w:p w14:paraId="77E18EFD" w14:textId="77777777" w:rsidR="00313AAF" w:rsidRPr="00E973F5" w:rsidRDefault="00525889" w:rsidP="00E973F5">
      <w:pPr>
        <w:spacing w:line="360" w:lineRule="auto"/>
        <w:jc w:val="both"/>
        <w:rPr>
          <w:rFonts w:eastAsia="Times New Roman"/>
          <w:highlight w:val="white"/>
          <w:lang w:val="en-GB"/>
        </w:rPr>
      </w:pPr>
      <w:r w:rsidRPr="00E973F5">
        <w:rPr>
          <w:rFonts w:eastAsia="Times New Roman"/>
          <w:highlight w:val="white"/>
          <w:lang w:val="en-GB"/>
        </w:rPr>
        <w:t xml:space="preserve">According to national research and reviews of the charity sector, there are large cohorts of individuals with no foundational digital skills, device access, or affordable connectivity, and this implies that the benefits of the App would help increase health inequalities (Abdulquadri </w:t>
      </w:r>
      <w:r w:rsidRPr="00E973F5">
        <w:rPr>
          <w:rFonts w:eastAsia="Times New Roman"/>
          <w:i/>
          <w:highlight w:val="white"/>
          <w:lang w:val="en-GB"/>
        </w:rPr>
        <w:t>et al</w:t>
      </w:r>
      <w:r w:rsidRPr="00E973F5">
        <w:rPr>
          <w:rFonts w:eastAsia="Times New Roman"/>
          <w:highlight w:val="white"/>
          <w:lang w:val="en-GB"/>
        </w:rPr>
        <w:t>., 2021). One of the biggest constraints is structural inequalities unless it is accompanied by long-term investment in digital inclusion, multilingual support, and non-digital access pathways. These gaps are now being addressed by policy responses such as an NHS inclusive-digital-healthcare framework, and national digital-inclusion funds, and the evidence on evaluation indicates that it will take long-term and locally-specific action and regular monitoring of equity impacts.</w:t>
      </w:r>
    </w:p>
    <w:p w14:paraId="77E18EFE" w14:textId="77777777" w:rsidR="00313AAF" w:rsidRPr="00E973F5" w:rsidRDefault="00525889" w:rsidP="00E973F5">
      <w:pPr>
        <w:pStyle w:val="Heading1"/>
        <w:rPr>
          <w:sz w:val="22"/>
          <w:szCs w:val="22"/>
          <w:lang w:val="en-GB"/>
        </w:rPr>
      </w:pPr>
      <w:bookmarkStart w:id="19" w:name="_Toc210640127"/>
      <w:r w:rsidRPr="00E973F5">
        <w:rPr>
          <w:sz w:val="22"/>
          <w:szCs w:val="22"/>
          <w:lang w:val="en-GB"/>
        </w:rPr>
        <w:t>6. Conclusion and Recommendations</w:t>
      </w:r>
      <w:bookmarkEnd w:id="19"/>
    </w:p>
    <w:p w14:paraId="77E18EFF" w14:textId="77777777" w:rsidR="00313AAF" w:rsidRPr="00E973F5" w:rsidRDefault="00525889" w:rsidP="00E973F5">
      <w:pPr>
        <w:spacing w:line="360" w:lineRule="auto"/>
        <w:jc w:val="both"/>
        <w:rPr>
          <w:rFonts w:eastAsia="Times New Roman"/>
          <w:lang w:val="en-GB"/>
        </w:rPr>
      </w:pPr>
      <w:r w:rsidRPr="00E973F5">
        <w:rPr>
          <w:rFonts w:eastAsia="Times New Roman"/>
          <w:lang w:val="en-GB"/>
        </w:rPr>
        <w:t xml:space="preserve">It is to be concluded that a great example of a disruptive digital innovation in the UK health and social care system is the NHS App, which was launched in 2018. It has transformed the workforce practices of its vast implementation, simplified service provision, and enabled patients to have more control in their care. The efficiencies in terms of automation of prescriptions and </w:t>
      </w:r>
      <w:r w:rsidRPr="00E973F5">
        <w:rPr>
          <w:rFonts w:eastAsia="Times New Roman"/>
          <w:lang w:val="en-GB"/>
        </w:rPr>
        <w:lastRenderedPageBreak/>
        <w:t>appointment additions, improved transparency due to the availability of records, and improved communication of public health have been proven. Nevertheless, there are still issues, such as workload redistribution, the imbalance of digital literacy, and the infrastructure inequalities that restrict the access of all people, especially the rural and deprived communities, to equitable access. In the last decade, the choice of an innovation will ensure that the assessment is based on modern digital policy priorities and evidence on its implementation. The development of the workforce should be carried out continuously in order to benefit the most and reduce risks linked to the digital transformation. Constant professional development must concentrate on becoming digitally literate, data governance, and workflow redesign to make clinical and administrative functions consistent with emerging technologies.</w:t>
      </w:r>
    </w:p>
    <w:p w14:paraId="3AC4E714" w14:textId="3B1A42E3" w:rsidR="006B68CD" w:rsidRPr="00E973F5" w:rsidRDefault="00525889" w:rsidP="00E973F5">
      <w:pPr>
        <w:spacing w:line="360" w:lineRule="auto"/>
        <w:jc w:val="both"/>
        <w:rPr>
          <w:rFonts w:eastAsia="Times New Roman"/>
          <w:color w:val="000000" w:themeColor="text1"/>
          <w:lang w:val="en-GB"/>
        </w:rPr>
      </w:pPr>
      <w:r w:rsidRPr="00E973F5">
        <w:rPr>
          <w:rFonts w:eastAsia="Times New Roman"/>
          <w:lang w:val="en-GB"/>
        </w:rPr>
        <w:t xml:space="preserve">The policies should focus on interoperability, patient safety and inclusive design. Digital inclusion </w:t>
      </w:r>
      <w:r w:rsidR="00D86FFC" w:rsidRPr="00E973F5">
        <w:rPr>
          <w:rFonts w:eastAsia="Times New Roman"/>
          <w:lang w:val="en-GB"/>
        </w:rPr>
        <w:t>must</w:t>
      </w:r>
      <w:r w:rsidRPr="00E973F5">
        <w:rPr>
          <w:rFonts w:eastAsia="Times New Roman"/>
          <w:lang w:val="en-GB"/>
        </w:rPr>
        <w:t xml:space="preserve"> be a fundamental health equity objective built into national strategies through increased access to affordable connectivity, outreach, and multilingual support. It is also recommended that stronger evaluation models with a focus on user experience, workforce impact, and health inequalities should be in place to ensure that th</w:t>
      </w:r>
      <w:r w:rsidRPr="00E973F5">
        <w:rPr>
          <w:rFonts w:eastAsia="Times New Roman"/>
          <w:color w:val="000000" w:themeColor="text1"/>
          <w:lang w:val="en-GB"/>
        </w:rPr>
        <w:t>e future improvement of the NHS App may provide safe, accessible, and equita</w:t>
      </w:r>
      <w:r w:rsidR="0010672A" w:rsidRPr="00E973F5">
        <w:rPr>
          <w:rFonts w:eastAsia="Times New Roman"/>
          <w:color w:val="000000" w:themeColor="text1"/>
          <w:lang w:val="en-GB"/>
        </w:rPr>
        <w:t>ble care to everyone in society.</w:t>
      </w:r>
      <w:r w:rsidR="006B68CD" w:rsidRPr="00E973F5">
        <w:rPr>
          <w:rFonts w:eastAsia="Times New Roman"/>
          <w:color w:val="000000" w:themeColor="text1"/>
          <w:lang w:val="en-GB"/>
        </w:rPr>
        <w:t xml:space="preserve"> </w:t>
      </w:r>
    </w:p>
    <w:p w14:paraId="03F3CCFD" w14:textId="21537A95" w:rsidR="00DB530A" w:rsidRPr="00E973F5" w:rsidRDefault="006B68CD" w:rsidP="00E973F5">
      <w:pPr>
        <w:spacing w:line="360" w:lineRule="auto"/>
        <w:jc w:val="both"/>
        <w:rPr>
          <w:rFonts w:eastAsia="Times New Roman"/>
          <w:lang w:val="en-GB"/>
        </w:rPr>
      </w:pPr>
      <w:r w:rsidRPr="00E973F5">
        <w:rPr>
          <w:color w:val="000000" w:themeColor="text1"/>
          <w:shd w:val="clear" w:color="auto" w:fill="FFFFFF"/>
        </w:rPr>
        <w:t xml:space="preserve">The value </w:t>
      </w:r>
      <w:r w:rsidR="00E973F5" w:rsidRPr="00E973F5">
        <w:rPr>
          <w:color w:val="000000" w:themeColor="text1"/>
          <w:shd w:val="clear" w:color="auto" w:fill="FFFFFF"/>
        </w:rPr>
        <w:t>of</w:t>
      </w:r>
      <w:r w:rsidRPr="00E973F5">
        <w:rPr>
          <w:color w:val="000000" w:themeColor="text1"/>
          <w:shd w:val="clear" w:color="auto" w:fill="FFFFFF"/>
        </w:rPr>
        <w:t xml:space="preserve"> the research is worth the investment because it provides an exhaustive and evidence-based evaluation of the impact of the NHS App on </w:t>
      </w:r>
      <w:r w:rsidR="00D86FFC" w:rsidRPr="00E973F5">
        <w:rPr>
          <w:color w:val="000000" w:themeColor="text1"/>
          <w:shd w:val="clear" w:color="auto" w:fill="FFFFFF"/>
        </w:rPr>
        <w:t>the workforce</w:t>
      </w:r>
      <w:r w:rsidRPr="00E973F5">
        <w:rPr>
          <w:color w:val="000000" w:themeColor="text1"/>
          <w:shd w:val="clear" w:color="auto" w:fill="FFFFFF"/>
        </w:rPr>
        <w:t xml:space="preserve"> productivity, delivery of the service, patient experience, and public health. It highlights both the revolutionary benefits and systemic constraints of the delivery of healthcare through digital means and reveals critical information for policymakers, healthcare providers, and technology engineers. By examining the problems of digital exclusion, staff adaptation, and inequalities in the digital infrastructure, the research allows developing the evidence-based strategies to inclusive and sustainable digital health innovation with the ultimate outcome of increased accessibility, efficiency, and equity in the provision of health services in the UK.</w:t>
      </w:r>
    </w:p>
    <w:p w14:paraId="77E18F00" w14:textId="3B0BC693" w:rsidR="00313AAF" w:rsidRPr="00E973F5" w:rsidRDefault="00313AAF" w:rsidP="00E973F5">
      <w:pPr>
        <w:spacing w:line="360" w:lineRule="auto"/>
        <w:jc w:val="both"/>
        <w:rPr>
          <w:rFonts w:eastAsia="Times New Roman"/>
          <w:lang w:val="en-GB"/>
        </w:rPr>
      </w:pPr>
    </w:p>
    <w:p w14:paraId="77E18F01" w14:textId="77777777" w:rsidR="00313AAF" w:rsidRPr="00E973F5" w:rsidRDefault="00525889" w:rsidP="00E973F5">
      <w:pPr>
        <w:spacing w:line="360" w:lineRule="auto"/>
        <w:jc w:val="both"/>
        <w:rPr>
          <w:rFonts w:eastAsia="Times New Roman"/>
          <w:b/>
          <w:lang w:val="en-GB"/>
        </w:rPr>
      </w:pPr>
      <w:r w:rsidRPr="00E973F5">
        <w:rPr>
          <w:lang w:val="en-GB"/>
        </w:rPr>
        <w:br w:type="page"/>
      </w:r>
    </w:p>
    <w:p w14:paraId="77E18F02" w14:textId="77777777" w:rsidR="00313AAF" w:rsidRPr="00E973F5" w:rsidRDefault="00525889" w:rsidP="00E973F5">
      <w:pPr>
        <w:pStyle w:val="Heading1"/>
        <w:rPr>
          <w:sz w:val="22"/>
          <w:szCs w:val="22"/>
          <w:lang w:val="en-GB"/>
        </w:rPr>
      </w:pPr>
      <w:bookmarkStart w:id="20" w:name="_Toc210640128"/>
      <w:r w:rsidRPr="00E973F5">
        <w:rPr>
          <w:sz w:val="22"/>
          <w:szCs w:val="22"/>
          <w:lang w:val="en-GB"/>
        </w:rPr>
        <w:lastRenderedPageBreak/>
        <w:t>Reference List</w:t>
      </w:r>
      <w:bookmarkEnd w:id="20"/>
    </w:p>
    <w:p w14:paraId="62102587" w14:textId="2CF375B6" w:rsidR="00525889" w:rsidRPr="00E973F5" w:rsidRDefault="00525889" w:rsidP="00E973F5">
      <w:pPr>
        <w:spacing w:before="240" w:after="240" w:line="360" w:lineRule="auto"/>
        <w:jc w:val="both"/>
        <w:rPr>
          <w:rFonts w:eastAsia="Times New Roman"/>
          <w:lang w:val="en-GB"/>
        </w:rPr>
      </w:pPr>
      <w:r w:rsidRPr="00E973F5">
        <w:rPr>
          <w:rFonts w:eastAsia="Times New Roman"/>
          <w:lang w:val="en-GB"/>
        </w:rPr>
        <w:t xml:space="preserve">Abdulquadri, A., Mogaji, E., Kieu, T.A. and Nguyen, N.P. (2021). Digital transformation in financial services provision: A Nigerian perspective on the adoption of chatbots. </w:t>
      </w:r>
      <w:r w:rsidRPr="00E973F5">
        <w:rPr>
          <w:rFonts w:eastAsia="Times New Roman"/>
          <w:i/>
          <w:lang w:val="en-GB"/>
        </w:rPr>
        <w:t>Journal of Enterprising Communities: People and Places in the Global Economy</w:t>
      </w:r>
      <w:r w:rsidRPr="00E973F5">
        <w:rPr>
          <w:rFonts w:eastAsia="Times New Roman"/>
          <w:lang w:val="en-GB"/>
        </w:rPr>
        <w:t xml:space="preserve">, </w:t>
      </w:r>
      <w:r w:rsidRPr="00E973F5">
        <w:rPr>
          <w:rFonts w:eastAsia="Times New Roman"/>
          <w:i/>
          <w:lang w:val="en-GB"/>
        </w:rPr>
        <w:t>15</w:t>
      </w:r>
      <w:r w:rsidRPr="00E973F5">
        <w:rPr>
          <w:rFonts w:eastAsia="Times New Roman"/>
          <w:lang w:val="en-GB"/>
        </w:rPr>
        <w:t xml:space="preserve">(2), pp.258-281.  Available at: </w:t>
      </w:r>
      <w:hyperlink r:id="rId11" w:history="1">
        <w:r w:rsidR="00B458D9" w:rsidRPr="00E973F5">
          <w:rPr>
            <w:rStyle w:val="Hyperlink"/>
            <w:rFonts w:eastAsia="Times New Roman"/>
            <w:lang w:val="en-GB"/>
          </w:rPr>
          <w:t>https://www.emerald.com/insight/content/doi/10.1108/jec-06-2020-0126/full/html</w:t>
        </w:r>
      </w:hyperlink>
      <w:r w:rsidR="00B458D9" w:rsidRPr="00E973F5">
        <w:rPr>
          <w:rFonts w:eastAsia="Times New Roman"/>
          <w:lang w:val="en-GB"/>
        </w:rPr>
        <w:t>. (</w:t>
      </w:r>
      <w:r w:rsidRPr="00E973F5">
        <w:rPr>
          <w:rFonts w:eastAsia="Times New Roman"/>
          <w:lang w:val="en-GB"/>
        </w:rPr>
        <w:t xml:space="preserve">Accessed on: </w:t>
      </w:r>
      <w:r w:rsidR="0002365B" w:rsidRPr="00E973F5">
        <w:rPr>
          <w:rFonts w:eastAsia="Times New Roman"/>
          <w:lang w:val="en-GB"/>
        </w:rPr>
        <w:t>28</w:t>
      </w:r>
      <w:r w:rsidR="000B0660" w:rsidRPr="00E973F5">
        <w:rPr>
          <w:rFonts w:eastAsia="Times New Roman"/>
          <w:vertAlign w:val="superscript"/>
          <w:lang w:val="en-GB"/>
        </w:rPr>
        <w:t xml:space="preserve"> </w:t>
      </w:r>
      <w:r w:rsidR="00574636" w:rsidRPr="00E973F5">
        <w:rPr>
          <w:rFonts w:eastAsia="Times New Roman"/>
          <w:lang w:val="en-GB"/>
        </w:rPr>
        <w:t xml:space="preserve">September </w:t>
      </w:r>
      <w:r w:rsidR="00D56757" w:rsidRPr="00E973F5">
        <w:rPr>
          <w:rFonts w:eastAsia="Times New Roman"/>
          <w:lang w:val="en-GB"/>
        </w:rPr>
        <w:t>2</w:t>
      </w:r>
      <w:r w:rsidRPr="00E973F5">
        <w:rPr>
          <w:rFonts w:eastAsia="Times New Roman"/>
          <w:lang w:val="en-GB"/>
        </w:rPr>
        <w:t>025</w:t>
      </w:r>
      <w:r w:rsidR="00D56757" w:rsidRPr="00E973F5">
        <w:rPr>
          <w:rFonts w:eastAsia="Times New Roman"/>
          <w:lang w:val="en-GB"/>
        </w:rPr>
        <w:t>).</w:t>
      </w:r>
    </w:p>
    <w:p w14:paraId="64E0F87F" w14:textId="4A9CA8DF" w:rsidR="00525889" w:rsidRPr="00E973F5" w:rsidRDefault="00525889" w:rsidP="00E973F5">
      <w:pPr>
        <w:spacing w:before="240" w:after="240" w:line="360" w:lineRule="auto"/>
        <w:jc w:val="both"/>
        <w:rPr>
          <w:rFonts w:eastAsia="Times New Roman"/>
          <w:lang w:val="en-GB"/>
        </w:rPr>
      </w:pPr>
      <w:r w:rsidRPr="00E973F5">
        <w:rPr>
          <w:rFonts w:eastAsia="Times New Roman"/>
          <w:lang w:val="en-GB"/>
        </w:rPr>
        <w:t xml:space="preserve">Aldoseri, A., Al-Khalifa, K.N. and Hamouda, A.M. (2024). AI-powered innovation in digital transformation: Key pillars and industry impact. </w:t>
      </w:r>
      <w:r w:rsidRPr="00E973F5">
        <w:rPr>
          <w:rFonts w:eastAsia="Times New Roman"/>
          <w:i/>
          <w:lang w:val="en-GB"/>
        </w:rPr>
        <w:t>Sustainability</w:t>
      </w:r>
      <w:r w:rsidRPr="00E973F5">
        <w:rPr>
          <w:rFonts w:eastAsia="Times New Roman"/>
          <w:lang w:val="en-GB"/>
        </w:rPr>
        <w:t xml:space="preserve">, </w:t>
      </w:r>
      <w:r w:rsidRPr="00E973F5">
        <w:rPr>
          <w:rFonts w:eastAsia="Times New Roman"/>
          <w:i/>
          <w:lang w:val="en-GB"/>
        </w:rPr>
        <w:t>16</w:t>
      </w:r>
      <w:r w:rsidRPr="00E973F5">
        <w:rPr>
          <w:rFonts w:eastAsia="Times New Roman"/>
          <w:lang w:val="en-GB"/>
        </w:rPr>
        <w:t xml:space="preserve">(5), pp.17-90.  Available at: </w:t>
      </w:r>
      <w:hyperlink r:id="rId12" w:history="1">
        <w:r w:rsidR="00D56757" w:rsidRPr="00E973F5">
          <w:rPr>
            <w:rStyle w:val="Hyperlink"/>
            <w:rFonts w:eastAsia="Times New Roman"/>
            <w:lang w:val="en-GB"/>
          </w:rPr>
          <w:t>https://www.mdpi.com/2071-1050/16/5/1790</w:t>
        </w:r>
      </w:hyperlink>
      <w:r w:rsidR="00D56757" w:rsidRPr="00E973F5">
        <w:rPr>
          <w:rFonts w:eastAsia="Times New Roman"/>
          <w:lang w:val="en-GB"/>
        </w:rPr>
        <w:t>. (</w:t>
      </w:r>
      <w:r w:rsidRPr="00E973F5">
        <w:rPr>
          <w:rFonts w:eastAsia="Times New Roman"/>
          <w:lang w:val="en-GB"/>
        </w:rPr>
        <w:t xml:space="preserve">Accessed on: </w:t>
      </w:r>
      <w:r w:rsidR="000B0660" w:rsidRPr="00E973F5">
        <w:rPr>
          <w:rFonts w:eastAsia="Times New Roman"/>
          <w:lang w:val="en-GB"/>
        </w:rPr>
        <w:t>28</w:t>
      </w:r>
      <w:r w:rsidR="004A5C86" w:rsidRPr="00E973F5">
        <w:rPr>
          <w:rFonts w:eastAsia="Times New Roman"/>
          <w:lang w:val="en-GB"/>
        </w:rPr>
        <w:t xml:space="preserve"> September 2025).</w:t>
      </w:r>
      <w:r w:rsidR="00574636" w:rsidRPr="00E973F5">
        <w:rPr>
          <w:rFonts w:eastAsia="Times New Roman"/>
          <w:lang w:val="en-GB"/>
        </w:rPr>
        <w:t xml:space="preserve"> </w:t>
      </w:r>
      <w:r w:rsidRPr="00E973F5">
        <w:rPr>
          <w:rFonts w:eastAsia="Times New Roman"/>
          <w:lang w:val="en-GB"/>
        </w:rPr>
        <w:t xml:space="preserve">Benis, A., Tamburis, O., Chronaki, C. and Moen, A. (2021). One digital health: a unified framework for future health ecosystems. </w:t>
      </w:r>
      <w:r w:rsidRPr="00E973F5">
        <w:rPr>
          <w:rFonts w:eastAsia="Times New Roman"/>
          <w:i/>
          <w:lang w:val="en-GB"/>
        </w:rPr>
        <w:t>Journal of Medical Internet Research</w:t>
      </w:r>
      <w:r w:rsidRPr="00E973F5">
        <w:rPr>
          <w:rFonts w:eastAsia="Times New Roman"/>
          <w:lang w:val="en-GB"/>
        </w:rPr>
        <w:t xml:space="preserve">, </w:t>
      </w:r>
      <w:r w:rsidRPr="00E973F5">
        <w:rPr>
          <w:rFonts w:eastAsia="Times New Roman"/>
          <w:i/>
          <w:lang w:val="en-GB"/>
        </w:rPr>
        <w:t>23</w:t>
      </w:r>
      <w:r w:rsidRPr="00E973F5">
        <w:rPr>
          <w:rFonts w:eastAsia="Times New Roman"/>
          <w:lang w:val="en-GB"/>
        </w:rPr>
        <w:t xml:space="preserve">(2), p.e22189.  Available at: </w:t>
      </w:r>
      <w:hyperlink r:id="rId13" w:history="1">
        <w:r w:rsidR="005638AB" w:rsidRPr="00E973F5">
          <w:rPr>
            <w:rStyle w:val="Hyperlink"/>
            <w:rFonts w:eastAsia="Times New Roman"/>
            <w:lang w:val="en-GB"/>
          </w:rPr>
          <w:t>https://www.jmir.org/2021/2/e22189/</w:t>
        </w:r>
      </w:hyperlink>
      <w:r w:rsidR="00117B18" w:rsidRPr="00E973F5">
        <w:rPr>
          <w:rFonts w:eastAsia="Times New Roman"/>
          <w:lang w:val="en-GB"/>
        </w:rPr>
        <w:t>.</w:t>
      </w:r>
      <w:r w:rsidR="005638AB" w:rsidRPr="00E973F5">
        <w:rPr>
          <w:rFonts w:eastAsia="Times New Roman"/>
          <w:lang w:val="en-GB"/>
        </w:rPr>
        <w:t xml:space="preserve"> (</w:t>
      </w:r>
      <w:r w:rsidRPr="00E973F5">
        <w:rPr>
          <w:rFonts w:eastAsia="Times New Roman"/>
          <w:lang w:val="en-GB"/>
        </w:rPr>
        <w:t xml:space="preserve">Accessed on: </w:t>
      </w:r>
      <w:r w:rsidR="00BE67F0" w:rsidRPr="00E973F5">
        <w:rPr>
          <w:rFonts w:eastAsia="Times New Roman"/>
          <w:lang w:val="en-GB"/>
        </w:rPr>
        <w:t xml:space="preserve">30 September </w:t>
      </w:r>
      <w:r w:rsidRPr="00E973F5">
        <w:rPr>
          <w:rFonts w:eastAsia="Times New Roman"/>
          <w:lang w:val="en-GB"/>
        </w:rPr>
        <w:t>2025</w:t>
      </w:r>
      <w:r w:rsidR="00BE67F0" w:rsidRPr="00E973F5">
        <w:rPr>
          <w:rFonts w:eastAsia="Times New Roman"/>
          <w:lang w:val="en-GB"/>
        </w:rPr>
        <w:t>).</w:t>
      </w:r>
    </w:p>
    <w:p w14:paraId="25A9FE53" w14:textId="1914EC9D" w:rsidR="00525889" w:rsidRPr="00E973F5" w:rsidRDefault="00525889" w:rsidP="00E973F5">
      <w:pPr>
        <w:spacing w:before="240" w:after="240" w:line="360" w:lineRule="auto"/>
        <w:jc w:val="both"/>
        <w:rPr>
          <w:rFonts w:eastAsia="Times New Roman"/>
          <w:lang w:val="en-GB"/>
        </w:rPr>
      </w:pPr>
      <w:r w:rsidRPr="00E973F5">
        <w:rPr>
          <w:rFonts w:eastAsia="Times New Roman"/>
          <w:lang w:val="en-GB"/>
        </w:rPr>
        <w:t xml:space="preserve">Cetindamar Kozanoglu, D. and Abedin, B. (2021). Understanding the role of employees in digital transformation: conceptualisation of digital literacy of employees as a multi-dimensional organisational affordance. </w:t>
      </w:r>
      <w:r w:rsidRPr="00E973F5">
        <w:rPr>
          <w:rFonts w:eastAsia="Times New Roman"/>
          <w:i/>
          <w:lang w:val="en-GB"/>
        </w:rPr>
        <w:t>Journal of Enterprise Information Management</w:t>
      </w:r>
      <w:r w:rsidRPr="00E973F5">
        <w:rPr>
          <w:rFonts w:eastAsia="Times New Roman"/>
          <w:lang w:val="en-GB"/>
        </w:rPr>
        <w:t xml:space="preserve">, </w:t>
      </w:r>
      <w:r w:rsidRPr="00E973F5">
        <w:rPr>
          <w:rFonts w:eastAsia="Times New Roman"/>
          <w:i/>
          <w:lang w:val="en-GB"/>
        </w:rPr>
        <w:t>34</w:t>
      </w:r>
      <w:r w:rsidRPr="00E973F5">
        <w:rPr>
          <w:rFonts w:eastAsia="Times New Roman"/>
          <w:lang w:val="en-GB"/>
        </w:rPr>
        <w:t xml:space="preserve">(6), pp.1649-1672.  Available at: </w:t>
      </w:r>
      <w:hyperlink r:id="rId14" w:history="1">
        <w:r w:rsidR="00E81BBF" w:rsidRPr="00E973F5">
          <w:rPr>
            <w:rStyle w:val="Hyperlink"/>
            <w:rFonts w:eastAsia="Times New Roman"/>
            <w:lang w:val="en-GB"/>
          </w:rPr>
          <w:t>https://www.emerald.com/insight/content/doi/10.1108/JEIM-01-2020-0010/full/html</w:t>
        </w:r>
      </w:hyperlink>
      <w:r w:rsidR="00E81BBF" w:rsidRPr="00E973F5">
        <w:rPr>
          <w:rFonts w:eastAsia="Times New Roman"/>
          <w:lang w:val="en-GB"/>
        </w:rPr>
        <w:t>. (A</w:t>
      </w:r>
      <w:r w:rsidRPr="00E973F5">
        <w:rPr>
          <w:rFonts w:eastAsia="Times New Roman"/>
          <w:lang w:val="en-GB"/>
        </w:rPr>
        <w:t xml:space="preserve">ccessed on: </w:t>
      </w:r>
      <w:r w:rsidR="003D62F6" w:rsidRPr="00E973F5">
        <w:rPr>
          <w:rFonts w:eastAsia="Times New Roman"/>
          <w:lang w:val="en-GB"/>
        </w:rPr>
        <w:t xml:space="preserve">01 </w:t>
      </w:r>
      <w:r w:rsidR="00151090" w:rsidRPr="00E973F5">
        <w:rPr>
          <w:rFonts w:eastAsia="Times New Roman"/>
          <w:lang w:val="en-GB"/>
        </w:rPr>
        <w:t>October</w:t>
      </w:r>
      <w:r w:rsidRPr="00E973F5">
        <w:rPr>
          <w:rFonts w:eastAsia="Times New Roman"/>
          <w:lang w:val="en-GB"/>
        </w:rPr>
        <w:t xml:space="preserve"> 2025</w:t>
      </w:r>
      <w:r w:rsidR="00C143D9" w:rsidRPr="00E973F5">
        <w:rPr>
          <w:rFonts w:eastAsia="Times New Roman"/>
          <w:lang w:val="en-GB"/>
        </w:rPr>
        <w:t>).</w:t>
      </w:r>
    </w:p>
    <w:p w14:paraId="058E75FF" w14:textId="3D837D07" w:rsidR="00525889" w:rsidRPr="00E973F5" w:rsidRDefault="00525889" w:rsidP="00E973F5">
      <w:pPr>
        <w:spacing w:before="240" w:after="240" w:line="360" w:lineRule="auto"/>
        <w:jc w:val="both"/>
        <w:rPr>
          <w:rFonts w:eastAsia="Times New Roman"/>
          <w:lang w:val="en-GB"/>
        </w:rPr>
      </w:pPr>
      <w:r w:rsidRPr="00E973F5">
        <w:rPr>
          <w:rFonts w:eastAsia="Times New Roman"/>
          <w:lang w:val="en-GB"/>
        </w:rPr>
        <w:t>Dąbrowska, J., Almpanopoulou, A., Brem, A., Chesbrough, H., Cucino, V., Di Minin, A., Giones, F., Hakala, H., Marullo, C., Mention, A.L. and Mortara, L. (2022). Digital transformation, for better or worse: a critical multi</w:t>
      </w:r>
      <w:r w:rsidRPr="00E973F5">
        <w:rPr>
          <w:rFonts w:ascii="Cambria Math" w:eastAsia="Times New Roman" w:hAnsi="Cambria Math" w:cs="Cambria Math"/>
          <w:lang w:val="en-GB"/>
        </w:rPr>
        <w:t>‐</w:t>
      </w:r>
      <w:r w:rsidRPr="00E973F5">
        <w:rPr>
          <w:rFonts w:eastAsia="Times New Roman"/>
          <w:lang w:val="en-GB"/>
        </w:rPr>
        <w:t xml:space="preserve">level research agenda. </w:t>
      </w:r>
      <w:r w:rsidRPr="00E973F5">
        <w:rPr>
          <w:rFonts w:eastAsia="Times New Roman"/>
          <w:i/>
          <w:lang w:val="en-GB"/>
        </w:rPr>
        <w:t>R&amp;D Management</w:t>
      </w:r>
      <w:r w:rsidRPr="00E973F5">
        <w:rPr>
          <w:rFonts w:eastAsia="Times New Roman"/>
          <w:lang w:val="en-GB"/>
        </w:rPr>
        <w:t xml:space="preserve">, </w:t>
      </w:r>
      <w:r w:rsidRPr="00E973F5">
        <w:rPr>
          <w:rFonts w:eastAsia="Times New Roman"/>
          <w:i/>
          <w:lang w:val="en-GB"/>
        </w:rPr>
        <w:t>52</w:t>
      </w:r>
      <w:r w:rsidRPr="00E973F5">
        <w:rPr>
          <w:rFonts w:eastAsia="Times New Roman"/>
          <w:lang w:val="en-GB"/>
        </w:rPr>
        <w:t xml:space="preserve">(5), pp.930-954.  Available at: </w:t>
      </w:r>
      <w:hyperlink r:id="rId15" w:history="1">
        <w:r w:rsidR="00B3315D" w:rsidRPr="00E973F5">
          <w:rPr>
            <w:rStyle w:val="Hyperlink"/>
            <w:rFonts w:eastAsia="Times New Roman"/>
            <w:lang w:val="en-GB"/>
          </w:rPr>
          <w:t>https://onlinelibrary.wiley.com/doi/abs/10.1111/radm.12531</w:t>
        </w:r>
      </w:hyperlink>
      <w:r w:rsidR="00B3315D" w:rsidRPr="00E973F5">
        <w:rPr>
          <w:rFonts w:eastAsia="Times New Roman"/>
          <w:lang w:val="en-GB"/>
        </w:rPr>
        <w:t>. (</w:t>
      </w:r>
      <w:r w:rsidRPr="00E973F5">
        <w:rPr>
          <w:rFonts w:eastAsia="Times New Roman"/>
          <w:lang w:val="en-GB"/>
        </w:rPr>
        <w:t xml:space="preserve">Accessed on: </w:t>
      </w:r>
      <w:r w:rsidR="0082331D" w:rsidRPr="00E973F5">
        <w:rPr>
          <w:rFonts w:eastAsia="Times New Roman"/>
          <w:lang w:val="en-GB"/>
        </w:rPr>
        <w:t xml:space="preserve">04 October </w:t>
      </w:r>
      <w:r w:rsidRPr="00E973F5">
        <w:rPr>
          <w:rFonts w:eastAsia="Times New Roman"/>
          <w:lang w:val="en-GB"/>
        </w:rPr>
        <w:t>2025</w:t>
      </w:r>
      <w:r w:rsidR="0082331D" w:rsidRPr="00E973F5">
        <w:rPr>
          <w:rFonts w:eastAsia="Times New Roman"/>
          <w:lang w:val="en-GB"/>
        </w:rPr>
        <w:t>).</w:t>
      </w:r>
    </w:p>
    <w:p w14:paraId="455161D2" w14:textId="61C734B3" w:rsidR="00525889" w:rsidRPr="00E973F5" w:rsidRDefault="00525889" w:rsidP="00E973F5">
      <w:pPr>
        <w:spacing w:after="240" w:line="360" w:lineRule="auto"/>
        <w:jc w:val="both"/>
        <w:rPr>
          <w:rFonts w:eastAsia="Times New Roman"/>
          <w:lang w:val="en-GB"/>
        </w:rPr>
      </w:pPr>
      <w:r w:rsidRPr="00E973F5">
        <w:rPr>
          <w:rFonts w:eastAsia="Times New Roman"/>
          <w:lang w:val="en-GB"/>
        </w:rPr>
        <w:t xml:space="preserve">drkarimandjames-authe.nhs.uk. (2024). </w:t>
      </w:r>
      <w:r w:rsidRPr="00E973F5">
        <w:rPr>
          <w:rFonts w:eastAsia="Times New Roman"/>
          <w:i/>
          <w:lang w:val="en-GB"/>
        </w:rPr>
        <w:t>Discover The Power Of The NHS App: - Wyresdale Road Surgery and Halliwell Road Surgery</w:t>
      </w:r>
      <w:r w:rsidRPr="00E973F5">
        <w:rPr>
          <w:rFonts w:eastAsia="Times New Roman"/>
          <w:lang w:val="en-GB"/>
        </w:rPr>
        <w:t xml:space="preserve">. [online] Available at: </w:t>
      </w:r>
      <w:hyperlink r:id="rId16" w:history="1">
        <w:r w:rsidR="001E4033" w:rsidRPr="00E973F5">
          <w:rPr>
            <w:rStyle w:val="Hyperlink"/>
            <w:rFonts w:eastAsia="Times New Roman"/>
            <w:lang w:val="en-GB"/>
          </w:rPr>
          <w:t>https://www.drkarimandjames-authe.nhs.uk/2024/08/01/discover-the-power-of-the-nhs-app/</w:t>
        </w:r>
      </w:hyperlink>
      <w:r w:rsidRPr="00E973F5">
        <w:rPr>
          <w:rFonts w:eastAsia="Times New Roman"/>
          <w:lang w:val="en-GB"/>
        </w:rPr>
        <w:t>.</w:t>
      </w:r>
      <w:r w:rsidR="001E4033" w:rsidRPr="00E973F5">
        <w:rPr>
          <w:rFonts w:eastAsia="Times New Roman"/>
          <w:lang w:val="en-GB"/>
        </w:rPr>
        <w:t xml:space="preserve"> (</w:t>
      </w:r>
      <w:r w:rsidRPr="00E973F5">
        <w:rPr>
          <w:rFonts w:eastAsia="Times New Roman"/>
          <w:lang w:val="en-GB"/>
        </w:rPr>
        <w:t xml:space="preserve">Accessed on: </w:t>
      </w:r>
      <w:r w:rsidR="001E4033" w:rsidRPr="00E973F5">
        <w:rPr>
          <w:rFonts w:eastAsia="Times New Roman"/>
          <w:lang w:val="en-GB"/>
        </w:rPr>
        <w:t xml:space="preserve">04 </w:t>
      </w:r>
      <w:r w:rsidR="00B3315D" w:rsidRPr="00E973F5">
        <w:rPr>
          <w:rFonts w:eastAsia="Times New Roman"/>
          <w:lang w:val="en-GB"/>
        </w:rPr>
        <w:t xml:space="preserve">October </w:t>
      </w:r>
      <w:r w:rsidRPr="00E973F5">
        <w:rPr>
          <w:rFonts w:eastAsia="Times New Roman"/>
          <w:lang w:val="en-GB"/>
        </w:rPr>
        <w:t>2025</w:t>
      </w:r>
      <w:r w:rsidR="00B3315D" w:rsidRPr="00E973F5">
        <w:rPr>
          <w:rFonts w:eastAsia="Times New Roman"/>
          <w:lang w:val="en-GB"/>
        </w:rPr>
        <w:t>).</w:t>
      </w:r>
    </w:p>
    <w:p w14:paraId="5E22993E" w14:textId="0792429B" w:rsidR="00525889" w:rsidRPr="00E973F5" w:rsidRDefault="00525889" w:rsidP="00E973F5">
      <w:pPr>
        <w:spacing w:before="240" w:after="240" w:line="360" w:lineRule="auto"/>
        <w:jc w:val="both"/>
        <w:rPr>
          <w:rFonts w:eastAsia="Times New Roman"/>
          <w:lang w:val="en-GB"/>
        </w:rPr>
      </w:pPr>
      <w:r w:rsidRPr="00E973F5">
        <w:rPr>
          <w:rFonts w:eastAsia="Times New Roman"/>
          <w:lang w:val="en-GB"/>
        </w:rPr>
        <w:t xml:space="preserve">Farsi, D. (2021). Social media and health care, part I: literature review of social media use by health care providers. </w:t>
      </w:r>
      <w:r w:rsidRPr="00E973F5">
        <w:rPr>
          <w:rFonts w:eastAsia="Times New Roman"/>
          <w:i/>
          <w:lang w:val="en-GB"/>
        </w:rPr>
        <w:t>Journal of Medical Internet Research</w:t>
      </w:r>
      <w:r w:rsidRPr="00E973F5">
        <w:rPr>
          <w:rFonts w:eastAsia="Times New Roman"/>
          <w:lang w:val="en-GB"/>
        </w:rPr>
        <w:t xml:space="preserve">, </w:t>
      </w:r>
      <w:r w:rsidRPr="00E973F5">
        <w:rPr>
          <w:rFonts w:eastAsia="Times New Roman"/>
          <w:i/>
          <w:lang w:val="en-GB"/>
        </w:rPr>
        <w:t>23</w:t>
      </w:r>
      <w:r w:rsidRPr="00E973F5">
        <w:rPr>
          <w:rFonts w:eastAsia="Times New Roman"/>
          <w:lang w:val="en-GB"/>
        </w:rPr>
        <w:t xml:space="preserve">(4), pp.23-205.  Available at: </w:t>
      </w:r>
      <w:hyperlink r:id="rId17" w:history="1">
        <w:r w:rsidR="00304DA1" w:rsidRPr="00E973F5">
          <w:rPr>
            <w:rStyle w:val="Hyperlink"/>
            <w:rFonts w:eastAsia="Times New Roman"/>
            <w:lang w:val="en-GB"/>
          </w:rPr>
          <w:t>https://www.jmir.org/2021/4/e23205/</w:t>
        </w:r>
      </w:hyperlink>
      <w:r w:rsidR="00304DA1" w:rsidRPr="00E973F5">
        <w:rPr>
          <w:rFonts w:eastAsia="Times New Roman"/>
          <w:lang w:val="en-GB"/>
        </w:rPr>
        <w:t>. (</w:t>
      </w:r>
      <w:r w:rsidRPr="00E973F5">
        <w:rPr>
          <w:rFonts w:eastAsia="Times New Roman"/>
          <w:lang w:val="en-GB"/>
        </w:rPr>
        <w:t xml:space="preserve">Accessed on: </w:t>
      </w:r>
      <w:r w:rsidR="00304DA1" w:rsidRPr="00E973F5">
        <w:rPr>
          <w:rFonts w:eastAsia="Times New Roman"/>
          <w:lang w:val="en-GB"/>
        </w:rPr>
        <w:t>0</w:t>
      </w:r>
      <w:r w:rsidR="00401A14" w:rsidRPr="00E973F5">
        <w:rPr>
          <w:rFonts w:eastAsia="Times New Roman"/>
          <w:lang w:val="en-GB"/>
        </w:rPr>
        <w:t xml:space="preserve">4 </w:t>
      </w:r>
      <w:r w:rsidRPr="00E973F5">
        <w:rPr>
          <w:rFonts w:eastAsia="Times New Roman"/>
          <w:lang w:val="en-GB"/>
        </w:rPr>
        <w:t>Oct</w:t>
      </w:r>
      <w:r w:rsidR="00AB4DEE" w:rsidRPr="00E973F5">
        <w:rPr>
          <w:rFonts w:eastAsia="Times New Roman"/>
          <w:lang w:val="en-GB"/>
        </w:rPr>
        <w:t xml:space="preserve">ober </w:t>
      </w:r>
      <w:r w:rsidRPr="00E973F5">
        <w:rPr>
          <w:rFonts w:eastAsia="Times New Roman"/>
          <w:lang w:val="en-GB"/>
        </w:rPr>
        <w:t>2025</w:t>
      </w:r>
      <w:r w:rsidR="00AB4DEE" w:rsidRPr="00E973F5">
        <w:rPr>
          <w:rFonts w:eastAsia="Times New Roman"/>
          <w:lang w:val="en-GB"/>
        </w:rPr>
        <w:t>).</w:t>
      </w:r>
    </w:p>
    <w:p w14:paraId="705DC533" w14:textId="6A89A13C" w:rsidR="00525889" w:rsidRPr="00E973F5" w:rsidRDefault="00525889" w:rsidP="00E973F5">
      <w:pPr>
        <w:spacing w:before="240" w:after="240" w:line="360" w:lineRule="auto"/>
        <w:jc w:val="both"/>
        <w:rPr>
          <w:rFonts w:eastAsia="Times New Roman"/>
          <w:lang w:val="en-GB"/>
        </w:rPr>
      </w:pPr>
      <w:r w:rsidRPr="00E973F5">
        <w:rPr>
          <w:rFonts w:eastAsia="Times New Roman"/>
          <w:lang w:val="en-GB"/>
        </w:rPr>
        <w:t xml:space="preserve">Kickbusch, I., Piselli, D., Agrawal, A., Balicer, R., Banner, O., Adelhardt, M., Capobianco, E., Fabian, C., Gill, A.S., Lupton, D. and Medhora, R.P. (2021). The Lancet and Financial Times Commission on governing health futures 2030: growing up in a digital world. </w:t>
      </w:r>
      <w:r w:rsidRPr="00E973F5">
        <w:rPr>
          <w:rFonts w:eastAsia="Times New Roman"/>
          <w:i/>
          <w:lang w:val="en-GB"/>
        </w:rPr>
        <w:t>The Lancet</w:t>
      </w:r>
      <w:r w:rsidRPr="00E973F5">
        <w:rPr>
          <w:rFonts w:eastAsia="Times New Roman"/>
          <w:lang w:val="en-GB"/>
        </w:rPr>
        <w:t xml:space="preserve">, </w:t>
      </w:r>
      <w:r w:rsidRPr="00E973F5">
        <w:rPr>
          <w:rFonts w:eastAsia="Times New Roman"/>
          <w:i/>
          <w:lang w:val="en-GB"/>
        </w:rPr>
        <w:lastRenderedPageBreak/>
        <w:t>398</w:t>
      </w:r>
      <w:r w:rsidRPr="00E973F5">
        <w:rPr>
          <w:rFonts w:eastAsia="Times New Roman"/>
          <w:lang w:val="en-GB"/>
        </w:rPr>
        <w:t>(10312), pp.1727-1776.  Avail</w:t>
      </w:r>
      <w:r w:rsidR="004C2294" w:rsidRPr="00E973F5">
        <w:rPr>
          <w:rFonts w:eastAsia="Times New Roman"/>
          <w:lang w:val="en-GB"/>
        </w:rPr>
        <w:t>a</w:t>
      </w:r>
      <w:r w:rsidRPr="00E973F5">
        <w:rPr>
          <w:rFonts w:eastAsia="Times New Roman"/>
          <w:lang w:val="en-GB"/>
        </w:rPr>
        <w:t xml:space="preserve">ble at: </w:t>
      </w:r>
      <w:hyperlink r:id="rId18" w:history="1">
        <w:r w:rsidR="00236B20" w:rsidRPr="00E973F5">
          <w:rPr>
            <w:rStyle w:val="Hyperlink"/>
            <w:rFonts w:eastAsia="Times New Roman"/>
            <w:lang w:val="en-GB"/>
          </w:rPr>
          <w:t>https://www.thelancet.com/article/S0140-6736(21)01824-9/abstract</w:t>
        </w:r>
      </w:hyperlink>
      <w:r w:rsidR="00236B20" w:rsidRPr="00E973F5">
        <w:rPr>
          <w:rFonts w:eastAsia="Times New Roman"/>
          <w:lang w:val="en-GB"/>
        </w:rPr>
        <w:t>. (</w:t>
      </w:r>
      <w:r w:rsidRPr="00E973F5">
        <w:rPr>
          <w:rFonts w:eastAsia="Times New Roman"/>
          <w:lang w:val="en-GB"/>
        </w:rPr>
        <w:t xml:space="preserve">Accessed on: </w:t>
      </w:r>
      <w:r w:rsidR="004C2294" w:rsidRPr="00E973F5">
        <w:rPr>
          <w:rFonts w:eastAsia="Times New Roman"/>
          <w:lang w:val="en-GB"/>
        </w:rPr>
        <w:t>0</w:t>
      </w:r>
      <w:r w:rsidR="004D7A08" w:rsidRPr="00E973F5">
        <w:rPr>
          <w:rFonts w:eastAsia="Times New Roman"/>
          <w:lang w:val="en-GB"/>
        </w:rPr>
        <w:t>5</w:t>
      </w:r>
      <w:r w:rsidRPr="00E973F5">
        <w:rPr>
          <w:rFonts w:eastAsia="Times New Roman"/>
          <w:lang w:val="en-GB"/>
        </w:rPr>
        <w:t xml:space="preserve"> </w:t>
      </w:r>
      <w:r w:rsidR="00931B14" w:rsidRPr="00E973F5">
        <w:rPr>
          <w:rFonts w:eastAsia="Times New Roman"/>
          <w:lang w:val="en-GB"/>
        </w:rPr>
        <w:t>October</w:t>
      </w:r>
      <w:r w:rsidR="00436952" w:rsidRPr="00E973F5">
        <w:rPr>
          <w:rFonts w:eastAsia="Times New Roman"/>
          <w:lang w:val="en-GB"/>
        </w:rPr>
        <w:t xml:space="preserve"> </w:t>
      </w:r>
      <w:r w:rsidR="00547106" w:rsidRPr="00E973F5">
        <w:rPr>
          <w:rFonts w:eastAsia="Times New Roman"/>
          <w:lang w:val="en-GB"/>
        </w:rPr>
        <w:t>2025).</w:t>
      </w:r>
    </w:p>
    <w:p w14:paraId="58632206" w14:textId="7BFCCCB3" w:rsidR="00525889" w:rsidRPr="00E973F5" w:rsidRDefault="00525889" w:rsidP="00E973F5">
      <w:pPr>
        <w:spacing w:before="240" w:after="240" w:line="360" w:lineRule="auto"/>
        <w:jc w:val="both"/>
        <w:rPr>
          <w:rFonts w:eastAsia="Times New Roman"/>
          <w:lang w:val="en-GB"/>
        </w:rPr>
      </w:pPr>
      <w:r w:rsidRPr="00E973F5">
        <w:rPr>
          <w:rFonts w:eastAsia="Times New Roman"/>
          <w:lang w:val="en-GB"/>
        </w:rPr>
        <w:t xml:space="preserve">Konopik, J. and Blunck, D. (2023). Development of an evidence-based conceptual model of the health care sector under digital transformation: integrative review. </w:t>
      </w:r>
      <w:r w:rsidRPr="00E973F5">
        <w:rPr>
          <w:rFonts w:eastAsia="Times New Roman"/>
          <w:i/>
          <w:lang w:val="en-GB"/>
        </w:rPr>
        <w:t>Journal of Medical Internet Research</w:t>
      </w:r>
      <w:r w:rsidRPr="00E973F5">
        <w:rPr>
          <w:rFonts w:eastAsia="Times New Roman"/>
          <w:lang w:val="en-GB"/>
        </w:rPr>
        <w:t xml:space="preserve">, </w:t>
      </w:r>
      <w:r w:rsidRPr="00E973F5">
        <w:rPr>
          <w:rFonts w:eastAsia="Times New Roman"/>
          <w:i/>
          <w:lang w:val="en-GB"/>
        </w:rPr>
        <w:t>25</w:t>
      </w:r>
      <w:r w:rsidRPr="00E973F5">
        <w:rPr>
          <w:rFonts w:eastAsia="Times New Roman"/>
          <w:lang w:val="en-GB"/>
        </w:rPr>
        <w:t xml:space="preserve">, pp.41-512.  Available at: </w:t>
      </w:r>
      <w:hyperlink r:id="rId19" w:history="1">
        <w:r w:rsidR="00C27CD0" w:rsidRPr="00E973F5">
          <w:rPr>
            <w:rStyle w:val="Hyperlink"/>
            <w:rFonts w:eastAsia="Times New Roman"/>
            <w:lang w:val="en-GB"/>
          </w:rPr>
          <w:t>https://www.jmir.org/2023/1/e41512/</w:t>
        </w:r>
      </w:hyperlink>
      <w:r w:rsidR="00573CF8" w:rsidRPr="00E973F5">
        <w:rPr>
          <w:rFonts w:eastAsia="Times New Roman"/>
          <w:lang w:val="en-GB"/>
        </w:rPr>
        <w:t>.</w:t>
      </w:r>
      <w:r w:rsidR="00C27CD0" w:rsidRPr="00E973F5">
        <w:rPr>
          <w:rFonts w:eastAsia="Times New Roman"/>
          <w:lang w:val="en-GB"/>
        </w:rPr>
        <w:t xml:space="preserve"> (</w:t>
      </w:r>
      <w:r w:rsidRPr="00E973F5">
        <w:rPr>
          <w:rFonts w:eastAsia="Times New Roman"/>
          <w:lang w:val="en-GB"/>
        </w:rPr>
        <w:t xml:space="preserve">Accessed on: </w:t>
      </w:r>
      <w:r w:rsidR="00C27CD0" w:rsidRPr="00E973F5">
        <w:rPr>
          <w:rFonts w:eastAsia="Times New Roman"/>
          <w:lang w:val="en-GB"/>
        </w:rPr>
        <w:t>0</w:t>
      </w:r>
      <w:r w:rsidR="004D7A08" w:rsidRPr="00E973F5">
        <w:rPr>
          <w:rFonts w:eastAsia="Times New Roman"/>
          <w:lang w:val="en-GB"/>
        </w:rPr>
        <w:t xml:space="preserve">5 </w:t>
      </w:r>
      <w:r w:rsidR="00BB403B" w:rsidRPr="00E973F5">
        <w:rPr>
          <w:rFonts w:eastAsia="Times New Roman"/>
          <w:lang w:val="en-GB"/>
        </w:rPr>
        <w:t xml:space="preserve">October </w:t>
      </w:r>
      <w:r w:rsidRPr="00E973F5">
        <w:rPr>
          <w:rFonts w:eastAsia="Times New Roman"/>
          <w:lang w:val="en-GB"/>
        </w:rPr>
        <w:t>2025</w:t>
      </w:r>
      <w:r w:rsidR="00BB403B" w:rsidRPr="00E973F5">
        <w:rPr>
          <w:rFonts w:eastAsia="Times New Roman"/>
          <w:lang w:val="en-GB"/>
        </w:rPr>
        <w:t>).</w:t>
      </w:r>
    </w:p>
    <w:p w14:paraId="6E1D1A9E" w14:textId="64799A75" w:rsidR="00525889" w:rsidRPr="00E973F5" w:rsidRDefault="00525889" w:rsidP="00E973F5">
      <w:pPr>
        <w:spacing w:before="240" w:after="240" w:line="360" w:lineRule="auto"/>
        <w:jc w:val="both"/>
        <w:rPr>
          <w:rFonts w:eastAsia="Times New Roman"/>
          <w:lang w:val="en-GB"/>
        </w:rPr>
      </w:pPr>
      <w:r w:rsidRPr="00E973F5">
        <w:rPr>
          <w:rFonts w:eastAsia="Times New Roman"/>
          <w:lang w:val="en-GB"/>
        </w:rPr>
        <w:t xml:space="preserve">Kotcher, J., Maibach, E., Miller, J., Campbell, E., Alqodmani, L., Maiero, M. and Wyns, A. (2021). Views of health professionals on climate change and health: a multinational survey study. </w:t>
      </w:r>
      <w:r w:rsidRPr="00E973F5">
        <w:rPr>
          <w:rFonts w:eastAsia="Times New Roman"/>
          <w:i/>
          <w:lang w:val="en-GB"/>
        </w:rPr>
        <w:t>The Lancet Planetary Health</w:t>
      </w:r>
      <w:r w:rsidRPr="00E973F5">
        <w:rPr>
          <w:rFonts w:eastAsia="Times New Roman"/>
          <w:lang w:val="en-GB"/>
        </w:rPr>
        <w:t xml:space="preserve">, </w:t>
      </w:r>
      <w:r w:rsidRPr="00E973F5">
        <w:rPr>
          <w:rFonts w:eastAsia="Times New Roman"/>
          <w:i/>
          <w:lang w:val="en-GB"/>
        </w:rPr>
        <w:t>5</w:t>
      </w:r>
      <w:r w:rsidRPr="00E973F5">
        <w:rPr>
          <w:rFonts w:eastAsia="Times New Roman"/>
          <w:lang w:val="en-GB"/>
        </w:rPr>
        <w:t xml:space="preserve">(5), pp.316-323.  Available at: </w:t>
      </w:r>
      <w:hyperlink r:id="rId20" w:history="1">
        <w:r w:rsidR="00BB403B" w:rsidRPr="00E973F5">
          <w:rPr>
            <w:rStyle w:val="Hyperlink"/>
            <w:rFonts w:eastAsia="Times New Roman"/>
            <w:lang w:val="en-GB"/>
          </w:rPr>
          <w:t>https://www.thelancet.com/journals/lanplh/article/PIIS2542-5196(21)00053-X/fulltext</w:t>
        </w:r>
      </w:hyperlink>
      <w:r w:rsidR="00BB403B" w:rsidRPr="00E973F5">
        <w:rPr>
          <w:rFonts w:eastAsia="Times New Roman"/>
          <w:lang w:val="en-GB"/>
        </w:rPr>
        <w:t>.</w:t>
      </w:r>
      <w:r w:rsidR="009E5F9F" w:rsidRPr="00E973F5">
        <w:rPr>
          <w:rFonts w:eastAsia="Times New Roman"/>
          <w:lang w:val="en-GB"/>
        </w:rPr>
        <w:t xml:space="preserve"> (A</w:t>
      </w:r>
      <w:r w:rsidRPr="00E973F5">
        <w:rPr>
          <w:rFonts w:eastAsia="Times New Roman"/>
          <w:lang w:val="en-GB"/>
        </w:rPr>
        <w:t xml:space="preserve">ccessed on: </w:t>
      </w:r>
      <w:r w:rsidR="00B60083" w:rsidRPr="00E973F5">
        <w:rPr>
          <w:rFonts w:eastAsia="Times New Roman"/>
          <w:lang w:val="en-GB"/>
        </w:rPr>
        <w:t xml:space="preserve">07 </w:t>
      </w:r>
      <w:r w:rsidR="00DA7923" w:rsidRPr="00E973F5">
        <w:rPr>
          <w:rFonts w:eastAsia="Times New Roman"/>
          <w:lang w:val="en-GB"/>
        </w:rPr>
        <w:t>October 2025</w:t>
      </w:r>
      <w:r w:rsidR="00B60083" w:rsidRPr="00E973F5">
        <w:rPr>
          <w:rFonts w:eastAsia="Times New Roman"/>
          <w:lang w:val="en-GB"/>
        </w:rPr>
        <w:t>)</w:t>
      </w:r>
      <w:r w:rsidR="00DA7923" w:rsidRPr="00E973F5">
        <w:rPr>
          <w:rFonts w:eastAsia="Times New Roman"/>
          <w:lang w:val="en-GB"/>
        </w:rPr>
        <w:t>.</w:t>
      </w:r>
    </w:p>
    <w:p w14:paraId="6D930274" w14:textId="18FFB8BF" w:rsidR="00525889" w:rsidRPr="00E973F5" w:rsidRDefault="00525889" w:rsidP="00E973F5">
      <w:pPr>
        <w:spacing w:before="240" w:after="240" w:line="360" w:lineRule="auto"/>
        <w:jc w:val="both"/>
        <w:rPr>
          <w:rFonts w:eastAsia="Times New Roman"/>
          <w:lang w:val="en-GB"/>
        </w:rPr>
      </w:pPr>
      <w:r w:rsidRPr="00E973F5">
        <w:rPr>
          <w:rFonts w:eastAsia="Times New Roman"/>
          <w:lang w:val="en-GB"/>
        </w:rPr>
        <w:t xml:space="preserve">Kraus, S., Schiavone, F., Pluzhnikova, A. and Invernizzi, A.C. (2021). Digital transformation in healthcare: Analysing the current state-of-research. </w:t>
      </w:r>
      <w:r w:rsidRPr="00E973F5">
        <w:rPr>
          <w:rFonts w:eastAsia="Times New Roman"/>
          <w:i/>
          <w:lang w:val="en-GB"/>
        </w:rPr>
        <w:t>Journal of Business Research</w:t>
      </w:r>
      <w:r w:rsidRPr="00E973F5">
        <w:rPr>
          <w:rFonts w:eastAsia="Times New Roman"/>
          <w:lang w:val="en-GB"/>
        </w:rPr>
        <w:t xml:space="preserve">, </w:t>
      </w:r>
      <w:r w:rsidRPr="00E973F5">
        <w:rPr>
          <w:rFonts w:eastAsia="Times New Roman"/>
          <w:i/>
          <w:lang w:val="en-GB"/>
        </w:rPr>
        <w:t>123</w:t>
      </w:r>
      <w:r w:rsidRPr="00E973F5">
        <w:rPr>
          <w:rFonts w:eastAsia="Times New Roman"/>
          <w:lang w:val="en-GB"/>
        </w:rPr>
        <w:t xml:space="preserve">, pp.557-567.  Available at: </w:t>
      </w:r>
      <w:hyperlink r:id="rId21" w:history="1">
        <w:r w:rsidR="0048470B" w:rsidRPr="00E973F5">
          <w:rPr>
            <w:rStyle w:val="Hyperlink"/>
            <w:rFonts w:eastAsia="Times New Roman"/>
            <w:lang w:val="en-GB"/>
          </w:rPr>
          <w:t>https://www.sciencedirect.com/science/article/pii/S0148296320306913</w:t>
        </w:r>
      </w:hyperlink>
      <w:r w:rsidR="0048470B" w:rsidRPr="00E973F5">
        <w:rPr>
          <w:rFonts w:eastAsia="Times New Roman"/>
          <w:lang w:val="en-GB"/>
        </w:rPr>
        <w:t xml:space="preserve">. </w:t>
      </w:r>
      <w:r w:rsidRPr="00E973F5">
        <w:rPr>
          <w:rFonts w:eastAsia="Times New Roman"/>
          <w:lang w:val="en-GB"/>
        </w:rPr>
        <w:t xml:space="preserve"> </w:t>
      </w:r>
      <w:r w:rsidR="00401A14" w:rsidRPr="00E973F5">
        <w:rPr>
          <w:rFonts w:eastAsia="Times New Roman"/>
          <w:lang w:val="en-GB"/>
        </w:rPr>
        <w:t>(</w:t>
      </w:r>
      <w:r w:rsidRPr="00E973F5">
        <w:rPr>
          <w:rFonts w:eastAsia="Times New Roman"/>
          <w:lang w:val="en-GB"/>
        </w:rPr>
        <w:t xml:space="preserve">Accessed on: </w:t>
      </w:r>
      <w:r w:rsidR="006E3330" w:rsidRPr="00E973F5">
        <w:rPr>
          <w:rFonts w:eastAsia="Times New Roman"/>
          <w:lang w:val="en-GB"/>
        </w:rPr>
        <w:t xml:space="preserve">07 </w:t>
      </w:r>
      <w:r w:rsidR="0048470B" w:rsidRPr="00E973F5">
        <w:rPr>
          <w:rFonts w:eastAsia="Times New Roman"/>
          <w:lang w:val="en-GB"/>
        </w:rPr>
        <w:t xml:space="preserve">October </w:t>
      </w:r>
      <w:r w:rsidRPr="00E973F5">
        <w:rPr>
          <w:rFonts w:eastAsia="Times New Roman"/>
          <w:lang w:val="en-GB"/>
        </w:rPr>
        <w:t>2025</w:t>
      </w:r>
      <w:r w:rsidR="0048470B" w:rsidRPr="00E973F5">
        <w:rPr>
          <w:rFonts w:eastAsia="Times New Roman"/>
          <w:lang w:val="en-GB"/>
        </w:rPr>
        <w:t>).</w:t>
      </w:r>
    </w:p>
    <w:p w14:paraId="3BD1FB13" w14:textId="1D43E91C" w:rsidR="00525889" w:rsidRPr="00E973F5" w:rsidRDefault="00525889" w:rsidP="00E973F5">
      <w:pPr>
        <w:spacing w:before="240" w:after="240" w:line="360" w:lineRule="auto"/>
        <w:jc w:val="both"/>
        <w:rPr>
          <w:rFonts w:eastAsia="Times New Roman"/>
          <w:lang w:val="en-GB"/>
        </w:rPr>
      </w:pPr>
      <w:r w:rsidRPr="00E973F5">
        <w:rPr>
          <w:rFonts w:eastAsia="Times New Roman"/>
          <w:lang w:val="en-GB"/>
        </w:rPr>
        <w:t xml:space="preserve">Mbunge, E., Muchemwa, B., Jiyane, S.E. and Batani, J. (2021). Sensors and healthcare 5.0: transformative shift in virtual care through emerging digital health technologies. </w:t>
      </w:r>
      <w:r w:rsidRPr="00E973F5">
        <w:rPr>
          <w:rFonts w:eastAsia="Times New Roman"/>
          <w:i/>
          <w:lang w:val="en-GB"/>
        </w:rPr>
        <w:t>Global Health Journal</w:t>
      </w:r>
      <w:r w:rsidRPr="00E973F5">
        <w:rPr>
          <w:rFonts w:eastAsia="Times New Roman"/>
          <w:lang w:val="en-GB"/>
        </w:rPr>
        <w:t xml:space="preserve">, </w:t>
      </w:r>
      <w:r w:rsidRPr="00E973F5">
        <w:rPr>
          <w:rFonts w:eastAsia="Times New Roman"/>
          <w:i/>
          <w:lang w:val="en-GB"/>
        </w:rPr>
        <w:t>5</w:t>
      </w:r>
      <w:r w:rsidRPr="00E973F5">
        <w:rPr>
          <w:rFonts w:eastAsia="Times New Roman"/>
          <w:lang w:val="en-GB"/>
        </w:rPr>
        <w:t xml:space="preserve">(4), pp.169-177.  Available at: </w:t>
      </w:r>
      <w:hyperlink r:id="rId22" w:history="1">
        <w:r w:rsidR="00F33E64" w:rsidRPr="00E973F5">
          <w:rPr>
            <w:rStyle w:val="Hyperlink"/>
            <w:rFonts w:eastAsia="Times New Roman"/>
            <w:lang w:val="en-GB"/>
          </w:rPr>
          <w:t>https://www.sciencedirect.com/science/article/pii/S2414644721000932</w:t>
        </w:r>
      </w:hyperlink>
      <w:r w:rsidR="00F33E64" w:rsidRPr="00E973F5">
        <w:rPr>
          <w:rFonts w:eastAsia="Times New Roman"/>
          <w:lang w:val="en-GB"/>
        </w:rPr>
        <w:t>. (</w:t>
      </w:r>
      <w:r w:rsidRPr="00E973F5">
        <w:rPr>
          <w:rFonts w:eastAsia="Times New Roman"/>
          <w:lang w:val="en-GB"/>
        </w:rPr>
        <w:t xml:space="preserve">Accessed on: </w:t>
      </w:r>
      <w:r w:rsidR="008E0C73" w:rsidRPr="00E973F5">
        <w:rPr>
          <w:rFonts w:eastAsia="Times New Roman"/>
          <w:lang w:val="en-GB"/>
        </w:rPr>
        <w:t xml:space="preserve">07 </w:t>
      </w:r>
      <w:r w:rsidR="00057C10" w:rsidRPr="00E973F5">
        <w:rPr>
          <w:rFonts w:eastAsia="Times New Roman"/>
          <w:lang w:val="en-GB"/>
        </w:rPr>
        <w:t>October</w:t>
      </w:r>
      <w:r w:rsidRPr="00E973F5">
        <w:rPr>
          <w:rFonts w:eastAsia="Times New Roman"/>
          <w:lang w:val="en-GB"/>
        </w:rPr>
        <w:t xml:space="preserve"> 2025</w:t>
      </w:r>
      <w:r w:rsidR="00057C10" w:rsidRPr="00E973F5">
        <w:rPr>
          <w:rFonts w:eastAsia="Times New Roman"/>
          <w:lang w:val="en-GB"/>
        </w:rPr>
        <w:t>).</w:t>
      </w:r>
    </w:p>
    <w:p w14:paraId="0199E724" w14:textId="335C2805" w:rsidR="00525889" w:rsidRPr="00E973F5" w:rsidRDefault="00525889" w:rsidP="00E973F5">
      <w:pPr>
        <w:spacing w:before="240" w:after="240" w:line="360" w:lineRule="auto"/>
        <w:jc w:val="both"/>
        <w:rPr>
          <w:rFonts w:eastAsia="Times New Roman"/>
          <w:lang w:val="en-GB"/>
        </w:rPr>
      </w:pPr>
      <w:r w:rsidRPr="00E973F5">
        <w:rPr>
          <w:rFonts w:eastAsia="Times New Roman"/>
          <w:lang w:val="en-GB"/>
        </w:rPr>
        <w:t xml:space="preserve">Mijal, M., Marczewska, M., Kostrzewski, M., Banka, M. and Kamiński, A. (2023). Digital transformation of healthcare and job roles. </w:t>
      </w:r>
      <w:r w:rsidRPr="00E973F5">
        <w:rPr>
          <w:rFonts w:eastAsia="Times New Roman"/>
          <w:i/>
          <w:lang w:val="en-GB"/>
        </w:rPr>
        <w:t>Procedia Computer Science</w:t>
      </w:r>
      <w:r w:rsidRPr="00E973F5">
        <w:rPr>
          <w:rFonts w:eastAsia="Times New Roman"/>
          <w:lang w:val="en-GB"/>
        </w:rPr>
        <w:t xml:space="preserve">, </w:t>
      </w:r>
      <w:r w:rsidRPr="00E973F5">
        <w:rPr>
          <w:rFonts w:eastAsia="Times New Roman"/>
          <w:i/>
          <w:lang w:val="en-GB"/>
        </w:rPr>
        <w:t>225</w:t>
      </w:r>
      <w:r w:rsidRPr="00E973F5">
        <w:rPr>
          <w:rFonts w:eastAsia="Times New Roman"/>
          <w:lang w:val="en-GB"/>
        </w:rPr>
        <w:t xml:space="preserve">, pp.1957-1963.  Available at: </w:t>
      </w:r>
      <w:hyperlink r:id="rId23" w:history="1">
        <w:r w:rsidR="00BA7E40" w:rsidRPr="00E973F5">
          <w:rPr>
            <w:rStyle w:val="Hyperlink"/>
            <w:rFonts w:eastAsia="Times New Roman"/>
            <w:lang w:val="en-GB"/>
          </w:rPr>
          <w:t>https://www.sciencedirect.com/science/article/pii/S1877050923013443</w:t>
        </w:r>
      </w:hyperlink>
      <w:r w:rsidR="00BA7E40" w:rsidRPr="00E973F5">
        <w:rPr>
          <w:rFonts w:eastAsia="Times New Roman"/>
          <w:lang w:val="en-GB"/>
        </w:rPr>
        <w:t>. (</w:t>
      </w:r>
      <w:r w:rsidRPr="00E973F5">
        <w:rPr>
          <w:rFonts w:eastAsia="Times New Roman"/>
          <w:lang w:val="en-GB"/>
        </w:rPr>
        <w:t xml:space="preserve">Accessed on: </w:t>
      </w:r>
      <w:r w:rsidR="00A43E45" w:rsidRPr="00E973F5">
        <w:rPr>
          <w:rFonts w:eastAsia="Times New Roman"/>
          <w:lang w:val="en-GB"/>
        </w:rPr>
        <w:t xml:space="preserve">07 </w:t>
      </w:r>
      <w:r w:rsidR="001168B7" w:rsidRPr="00E973F5">
        <w:rPr>
          <w:rFonts w:eastAsia="Times New Roman"/>
          <w:lang w:val="en-GB"/>
        </w:rPr>
        <w:t>October</w:t>
      </w:r>
      <w:r w:rsidRPr="00E973F5">
        <w:rPr>
          <w:rFonts w:eastAsia="Times New Roman"/>
          <w:lang w:val="en-GB"/>
        </w:rPr>
        <w:t xml:space="preserve"> 2025</w:t>
      </w:r>
      <w:r w:rsidR="001168B7" w:rsidRPr="00E973F5">
        <w:rPr>
          <w:rFonts w:eastAsia="Times New Roman"/>
          <w:lang w:val="en-GB"/>
        </w:rPr>
        <w:t>).</w:t>
      </w:r>
    </w:p>
    <w:p w14:paraId="0844FE63" w14:textId="6180414E" w:rsidR="00525889" w:rsidRPr="00E973F5" w:rsidRDefault="00525889" w:rsidP="00E973F5">
      <w:pPr>
        <w:spacing w:before="240" w:after="240" w:line="360" w:lineRule="auto"/>
        <w:jc w:val="both"/>
        <w:rPr>
          <w:rFonts w:eastAsia="Times New Roman"/>
          <w:lang w:val="en-GB"/>
        </w:rPr>
      </w:pPr>
      <w:r w:rsidRPr="00E973F5">
        <w:rPr>
          <w:rFonts w:eastAsia="Times New Roman"/>
          <w:lang w:val="en-GB"/>
        </w:rPr>
        <w:t xml:space="preserve">Pascucci, F., Savelli, E. and Gistri, G. (2023). How digital technologies reshape marketing: evidence from a qualitative investigation. </w:t>
      </w:r>
      <w:r w:rsidRPr="00E973F5">
        <w:rPr>
          <w:rFonts w:eastAsia="Times New Roman"/>
          <w:i/>
          <w:lang w:val="en-GB"/>
        </w:rPr>
        <w:t>Italian Journal of Marketing</w:t>
      </w:r>
      <w:r w:rsidRPr="00E973F5">
        <w:rPr>
          <w:rFonts w:eastAsia="Times New Roman"/>
          <w:lang w:val="en-GB"/>
        </w:rPr>
        <w:t xml:space="preserve">, </w:t>
      </w:r>
      <w:r w:rsidRPr="00E973F5">
        <w:rPr>
          <w:rFonts w:eastAsia="Times New Roman"/>
          <w:i/>
          <w:lang w:val="en-GB"/>
        </w:rPr>
        <w:t>2023</w:t>
      </w:r>
      <w:r w:rsidRPr="00E973F5">
        <w:rPr>
          <w:rFonts w:eastAsia="Times New Roman"/>
          <w:lang w:val="en-GB"/>
        </w:rPr>
        <w:t xml:space="preserve">(1), pp.27-58.  Available at: </w:t>
      </w:r>
      <w:hyperlink r:id="rId24" w:history="1">
        <w:r w:rsidR="001168B7" w:rsidRPr="00E973F5">
          <w:rPr>
            <w:rStyle w:val="Hyperlink"/>
            <w:rFonts w:eastAsia="Times New Roman"/>
            <w:lang w:val="en-GB"/>
          </w:rPr>
          <w:t>https://link.springer.com/article/10.1007/s43039-023-00063-6</w:t>
        </w:r>
      </w:hyperlink>
      <w:r w:rsidR="001168B7" w:rsidRPr="00E973F5">
        <w:rPr>
          <w:rFonts w:eastAsia="Times New Roman"/>
          <w:lang w:val="en-GB"/>
        </w:rPr>
        <w:t>. (</w:t>
      </w:r>
      <w:r w:rsidRPr="00E973F5">
        <w:rPr>
          <w:rFonts w:eastAsia="Times New Roman"/>
          <w:lang w:val="en-GB"/>
        </w:rPr>
        <w:t xml:space="preserve">Accessed on: </w:t>
      </w:r>
      <w:r w:rsidR="005D3361" w:rsidRPr="00E973F5">
        <w:rPr>
          <w:rFonts w:eastAsia="Times New Roman"/>
          <w:lang w:val="en-GB"/>
        </w:rPr>
        <w:t>0</w:t>
      </w:r>
      <w:r w:rsidR="00A43E45" w:rsidRPr="00E973F5">
        <w:rPr>
          <w:rFonts w:eastAsia="Times New Roman"/>
          <w:lang w:val="en-GB"/>
        </w:rPr>
        <w:t xml:space="preserve">8 </w:t>
      </w:r>
      <w:r w:rsidR="001168B7" w:rsidRPr="00E973F5">
        <w:rPr>
          <w:rFonts w:eastAsia="Times New Roman"/>
          <w:lang w:val="en-GB"/>
        </w:rPr>
        <w:t>October</w:t>
      </w:r>
      <w:r w:rsidRPr="00E973F5">
        <w:rPr>
          <w:rFonts w:eastAsia="Times New Roman"/>
          <w:lang w:val="en-GB"/>
        </w:rPr>
        <w:t xml:space="preserve"> 2025</w:t>
      </w:r>
      <w:r w:rsidR="001168B7" w:rsidRPr="00E973F5">
        <w:rPr>
          <w:rFonts w:eastAsia="Times New Roman"/>
          <w:lang w:val="en-GB"/>
        </w:rPr>
        <w:t>).</w:t>
      </w:r>
    </w:p>
    <w:p w14:paraId="59DFD92E" w14:textId="7630ADD3" w:rsidR="00525889" w:rsidRPr="00E973F5" w:rsidRDefault="00525889" w:rsidP="00E973F5">
      <w:pPr>
        <w:spacing w:before="240" w:after="240" w:line="360" w:lineRule="auto"/>
        <w:jc w:val="both"/>
        <w:rPr>
          <w:rFonts w:eastAsia="Times New Roman"/>
          <w:lang w:val="en-GB"/>
        </w:rPr>
      </w:pPr>
      <w:r w:rsidRPr="00E973F5">
        <w:rPr>
          <w:rFonts w:eastAsia="Times New Roman"/>
          <w:lang w:val="en-GB"/>
        </w:rPr>
        <w:t xml:space="preserve">Schiuma, G., Schettini, E., Santarsiero, F. and Carlucci, D. (2022). The transformative leadership compass: six competencies for digital transformation entrepreneurship. </w:t>
      </w:r>
      <w:r w:rsidRPr="00E973F5">
        <w:rPr>
          <w:rFonts w:eastAsia="Times New Roman"/>
          <w:i/>
          <w:lang w:val="en-GB"/>
        </w:rPr>
        <w:t xml:space="preserve">International Journal of </w:t>
      </w:r>
      <w:r w:rsidRPr="00E973F5">
        <w:rPr>
          <w:rFonts w:eastAsia="Times New Roman"/>
          <w:i/>
          <w:lang w:val="en-GB"/>
        </w:rPr>
        <w:lastRenderedPageBreak/>
        <w:t>Entrepreneurial Behaviour &amp; Research</w:t>
      </w:r>
      <w:r w:rsidRPr="00E973F5">
        <w:rPr>
          <w:rFonts w:eastAsia="Times New Roman"/>
          <w:lang w:val="en-GB"/>
        </w:rPr>
        <w:t xml:space="preserve">, </w:t>
      </w:r>
      <w:r w:rsidRPr="00E973F5">
        <w:rPr>
          <w:rFonts w:eastAsia="Times New Roman"/>
          <w:i/>
          <w:lang w:val="en-GB"/>
        </w:rPr>
        <w:t>28</w:t>
      </w:r>
      <w:r w:rsidRPr="00E973F5">
        <w:rPr>
          <w:rFonts w:eastAsia="Times New Roman"/>
          <w:lang w:val="en-GB"/>
        </w:rPr>
        <w:t xml:space="preserve">(5), pp.1273-1291.  Available at: </w:t>
      </w:r>
      <w:hyperlink r:id="rId25" w:history="1">
        <w:r w:rsidR="00554948" w:rsidRPr="00E973F5">
          <w:rPr>
            <w:rStyle w:val="Hyperlink"/>
            <w:rFonts w:eastAsia="Times New Roman"/>
            <w:lang w:val="en-GB"/>
          </w:rPr>
          <w:t>https://www.emerald.com/insight/content/doi/10.1108/IJEBR-01-2021-0087/full/html</w:t>
        </w:r>
      </w:hyperlink>
      <w:r w:rsidR="00E863CD" w:rsidRPr="00E973F5">
        <w:rPr>
          <w:rFonts w:eastAsia="Times New Roman"/>
          <w:lang w:val="en-GB"/>
        </w:rPr>
        <w:t>.</w:t>
      </w:r>
      <w:r w:rsidR="00554948" w:rsidRPr="00E973F5">
        <w:rPr>
          <w:rFonts w:eastAsia="Times New Roman"/>
          <w:lang w:val="en-GB"/>
        </w:rPr>
        <w:t xml:space="preserve"> (A</w:t>
      </w:r>
      <w:r w:rsidRPr="00E973F5">
        <w:rPr>
          <w:rFonts w:eastAsia="Times New Roman"/>
          <w:lang w:val="en-GB"/>
        </w:rPr>
        <w:t xml:space="preserve">ccessed on: </w:t>
      </w:r>
      <w:r w:rsidR="00554948" w:rsidRPr="00E973F5">
        <w:rPr>
          <w:rFonts w:eastAsia="Times New Roman"/>
          <w:lang w:val="en-GB"/>
        </w:rPr>
        <w:t>08 October</w:t>
      </w:r>
      <w:r w:rsidRPr="00E973F5">
        <w:rPr>
          <w:rFonts w:eastAsia="Times New Roman"/>
          <w:lang w:val="en-GB"/>
        </w:rPr>
        <w:t xml:space="preserve"> 2025</w:t>
      </w:r>
      <w:r w:rsidR="00554948" w:rsidRPr="00E973F5">
        <w:rPr>
          <w:rFonts w:eastAsia="Times New Roman"/>
          <w:lang w:val="en-GB"/>
        </w:rPr>
        <w:t>).</w:t>
      </w:r>
    </w:p>
    <w:p w14:paraId="7B9BAE69" w14:textId="432D5E65" w:rsidR="00525889" w:rsidRPr="00E973F5" w:rsidRDefault="00525889" w:rsidP="00E973F5">
      <w:pPr>
        <w:spacing w:before="240" w:after="240" w:line="360" w:lineRule="auto"/>
        <w:jc w:val="both"/>
        <w:rPr>
          <w:rFonts w:eastAsia="Times New Roman"/>
          <w:lang w:val="en-GB"/>
        </w:rPr>
      </w:pPr>
      <w:r w:rsidRPr="00E973F5">
        <w:rPr>
          <w:rFonts w:eastAsia="Times New Roman"/>
          <w:lang w:val="en-GB"/>
        </w:rPr>
        <w:t xml:space="preserve">Sheikh, A., Anderson, M., Albala, S., Casadei, B., Franklin, B.D., Richards, M., Taylor, D., Tibble, H. and Mossialos, E. (2021). Health information technology and digital innovation for national learning health and care systems. </w:t>
      </w:r>
      <w:r w:rsidRPr="00E973F5">
        <w:rPr>
          <w:rFonts w:eastAsia="Times New Roman"/>
          <w:i/>
          <w:lang w:val="en-GB"/>
        </w:rPr>
        <w:t>The Lancet Digital Health</w:t>
      </w:r>
      <w:r w:rsidRPr="00E973F5">
        <w:rPr>
          <w:rFonts w:eastAsia="Times New Roman"/>
          <w:lang w:val="en-GB"/>
        </w:rPr>
        <w:t xml:space="preserve">, </w:t>
      </w:r>
      <w:r w:rsidRPr="00E973F5">
        <w:rPr>
          <w:rFonts w:eastAsia="Times New Roman"/>
          <w:i/>
          <w:lang w:val="en-GB"/>
        </w:rPr>
        <w:t>3</w:t>
      </w:r>
      <w:r w:rsidRPr="00E973F5">
        <w:rPr>
          <w:rFonts w:eastAsia="Times New Roman"/>
          <w:lang w:val="en-GB"/>
        </w:rPr>
        <w:t xml:space="preserve">(6), pp.383-396.  Available at: </w:t>
      </w:r>
      <w:hyperlink r:id="rId26" w:history="1">
        <w:r w:rsidR="0008404D" w:rsidRPr="00E973F5">
          <w:rPr>
            <w:rStyle w:val="Hyperlink"/>
            <w:rFonts w:eastAsia="Times New Roman"/>
            <w:lang w:val="en-GB"/>
          </w:rPr>
          <w:t>https://www.thelancet.com/journals/landig/article/PIIS2589-7500(21)00005-4/fulltext</w:t>
        </w:r>
      </w:hyperlink>
      <w:r w:rsidR="0008404D" w:rsidRPr="00E973F5">
        <w:rPr>
          <w:rFonts w:eastAsia="Times New Roman"/>
          <w:lang w:val="en-GB"/>
        </w:rPr>
        <w:t>. (</w:t>
      </w:r>
      <w:r w:rsidRPr="00E973F5">
        <w:rPr>
          <w:rFonts w:eastAsia="Times New Roman"/>
          <w:lang w:val="en-GB"/>
        </w:rPr>
        <w:t xml:space="preserve">Accessed on: </w:t>
      </w:r>
      <w:r w:rsidR="0008404D" w:rsidRPr="00E973F5">
        <w:rPr>
          <w:rFonts w:eastAsia="Times New Roman"/>
          <w:lang w:val="en-GB"/>
        </w:rPr>
        <w:t>10 Oc</w:t>
      </w:r>
      <w:r w:rsidR="001B4122" w:rsidRPr="00E973F5">
        <w:rPr>
          <w:rFonts w:eastAsia="Times New Roman"/>
          <w:lang w:val="en-GB"/>
        </w:rPr>
        <w:t>tober</w:t>
      </w:r>
      <w:r w:rsidRPr="00E973F5">
        <w:rPr>
          <w:rFonts w:eastAsia="Times New Roman"/>
          <w:lang w:val="en-GB"/>
        </w:rPr>
        <w:t xml:space="preserve"> 2025</w:t>
      </w:r>
      <w:r w:rsidR="001B4122" w:rsidRPr="00E973F5">
        <w:rPr>
          <w:rFonts w:eastAsia="Times New Roman"/>
          <w:lang w:val="en-GB"/>
        </w:rPr>
        <w:t>).</w:t>
      </w:r>
    </w:p>
    <w:p w14:paraId="1E7EDB7F" w14:textId="53050DAE" w:rsidR="00525889" w:rsidRPr="00E973F5" w:rsidRDefault="00525889" w:rsidP="00E973F5">
      <w:pPr>
        <w:spacing w:before="240" w:after="240" w:line="360" w:lineRule="auto"/>
        <w:jc w:val="both"/>
        <w:rPr>
          <w:rFonts w:eastAsia="Times New Roman"/>
          <w:lang w:val="en-GB"/>
        </w:rPr>
      </w:pPr>
      <w:r w:rsidRPr="00E973F5">
        <w:rPr>
          <w:rFonts w:eastAsia="Times New Roman"/>
          <w:lang w:val="en-GB"/>
        </w:rPr>
        <w:t xml:space="preserve">Trenerry, B., Chng, S., Wang, Y., Suhaila, Z.S., Lim, S.S., Lu, H.Y. and Oh, P.H. (2021). Preparing workplaces for digital transformation: An integrative review and framework of multi-level factors. </w:t>
      </w:r>
      <w:r w:rsidRPr="00E973F5">
        <w:rPr>
          <w:rFonts w:eastAsia="Times New Roman"/>
          <w:i/>
          <w:lang w:val="en-GB"/>
        </w:rPr>
        <w:t>Frontiers in psychology</w:t>
      </w:r>
      <w:r w:rsidRPr="00E973F5">
        <w:rPr>
          <w:rFonts w:eastAsia="Times New Roman"/>
          <w:lang w:val="en-GB"/>
        </w:rPr>
        <w:t xml:space="preserve">, </w:t>
      </w:r>
      <w:r w:rsidRPr="00E973F5">
        <w:rPr>
          <w:rFonts w:eastAsia="Times New Roman"/>
          <w:i/>
          <w:lang w:val="en-GB"/>
        </w:rPr>
        <w:t>12</w:t>
      </w:r>
      <w:r w:rsidRPr="00E973F5">
        <w:rPr>
          <w:rFonts w:eastAsia="Times New Roman"/>
          <w:lang w:val="en-GB"/>
        </w:rPr>
        <w:t xml:space="preserve">, pp.620-766.  Available at: </w:t>
      </w:r>
      <w:hyperlink r:id="rId27" w:history="1">
        <w:r w:rsidR="001F751D" w:rsidRPr="00E973F5">
          <w:rPr>
            <w:rStyle w:val="Hyperlink"/>
            <w:rFonts w:eastAsia="Times New Roman"/>
            <w:lang w:val="en-GB"/>
          </w:rPr>
          <w:t>https://www.frontiersin.org/journals/psychology/articles/10.3389/fpsyg.2021.620766/full?trk=public_post_main-feed-card_feed-article-content</w:t>
        </w:r>
      </w:hyperlink>
      <w:r w:rsidR="001F751D" w:rsidRPr="00E973F5">
        <w:rPr>
          <w:rFonts w:eastAsia="Times New Roman"/>
          <w:lang w:val="en-GB"/>
        </w:rPr>
        <w:t>. (</w:t>
      </w:r>
      <w:r w:rsidRPr="00E973F5">
        <w:rPr>
          <w:rFonts w:eastAsia="Times New Roman"/>
          <w:lang w:val="en-GB"/>
        </w:rPr>
        <w:t xml:space="preserve">Accessed on: </w:t>
      </w:r>
      <w:r w:rsidR="001F751D" w:rsidRPr="00E973F5">
        <w:rPr>
          <w:rFonts w:eastAsia="Times New Roman"/>
          <w:lang w:val="en-GB"/>
        </w:rPr>
        <w:t>1</w:t>
      </w:r>
      <w:r w:rsidR="005D3361" w:rsidRPr="00E973F5">
        <w:rPr>
          <w:rFonts w:eastAsia="Times New Roman"/>
          <w:lang w:val="en-GB"/>
        </w:rPr>
        <w:t>2</w:t>
      </w:r>
      <w:r w:rsidR="001F751D" w:rsidRPr="00E973F5">
        <w:rPr>
          <w:rFonts w:eastAsia="Times New Roman"/>
          <w:lang w:val="en-GB"/>
        </w:rPr>
        <w:t xml:space="preserve"> </w:t>
      </w:r>
      <w:r w:rsidR="00894A9C" w:rsidRPr="00E973F5">
        <w:rPr>
          <w:rFonts w:eastAsia="Times New Roman"/>
          <w:lang w:val="en-GB"/>
        </w:rPr>
        <w:t xml:space="preserve">October </w:t>
      </w:r>
      <w:r w:rsidRPr="00E973F5">
        <w:rPr>
          <w:rFonts w:eastAsia="Times New Roman"/>
          <w:lang w:val="en-GB"/>
        </w:rPr>
        <w:t>2025</w:t>
      </w:r>
      <w:r w:rsidR="00894A9C" w:rsidRPr="00E973F5">
        <w:rPr>
          <w:rFonts w:eastAsia="Times New Roman"/>
          <w:lang w:val="en-GB"/>
        </w:rPr>
        <w:t>).</w:t>
      </w:r>
    </w:p>
    <w:p w14:paraId="03B7599A" w14:textId="2EA3073A" w:rsidR="00525889" w:rsidRPr="00E973F5" w:rsidRDefault="00525889" w:rsidP="00E973F5">
      <w:pPr>
        <w:spacing w:before="240" w:after="240" w:line="360" w:lineRule="auto"/>
        <w:jc w:val="both"/>
        <w:rPr>
          <w:rFonts w:eastAsia="Times New Roman"/>
          <w:lang w:val="en-GB"/>
        </w:rPr>
      </w:pPr>
      <w:r w:rsidRPr="00E973F5">
        <w:rPr>
          <w:rFonts w:eastAsia="Times New Roman"/>
          <w:lang w:val="en-GB"/>
        </w:rPr>
        <w:t xml:space="preserve">Van Kessel, R., Wong, B.L.H., Clemens, T. and Brand, H. (2022). Digital health literacy as a super determinant of health: more than simply the sum of its parts. </w:t>
      </w:r>
      <w:r w:rsidRPr="00E973F5">
        <w:rPr>
          <w:rFonts w:eastAsia="Times New Roman"/>
          <w:i/>
          <w:lang w:val="en-GB"/>
        </w:rPr>
        <w:t>Internet interventions</w:t>
      </w:r>
      <w:r w:rsidRPr="00E973F5">
        <w:rPr>
          <w:rFonts w:eastAsia="Times New Roman"/>
          <w:lang w:val="en-GB"/>
        </w:rPr>
        <w:t xml:space="preserve">, </w:t>
      </w:r>
      <w:r w:rsidRPr="00E973F5">
        <w:rPr>
          <w:rFonts w:eastAsia="Times New Roman"/>
          <w:i/>
          <w:lang w:val="en-GB"/>
        </w:rPr>
        <w:t>27</w:t>
      </w:r>
      <w:r w:rsidRPr="00E973F5">
        <w:rPr>
          <w:rFonts w:eastAsia="Times New Roman"/>
          <w:lang w:val="en-GB"/>
        </w:rPr>
        <w:t xml:space="preserve">, pp.100-500.  Available at: </w:t>
      </w:r>
      <w:hyperlink r:id="rId28" w:history="1">
        <w:r w:rsidR="00DB39B4" w:rsidRPr="00E973F5">
          <w:rPr>
            <w:rStyle w:val="Hyperlink"/>
            <w:rFonts w:eastAsia="Times New Roman"/>
            <w:lang w:val="en-GB"/>
          </w:rPr>
          <w:t>https://www.sciencedirect.com/science/article/pii/S2214782922000070</w:t>
        </w:r>
      </w:hyperlink>
      <w:r w:rsidR="00DB39B4" w:rsidRPr="00E973F5">
        <w:rPr>
          <w:rFonts w:eastAsia="Times New Roman"/>
          <w:lang w:val="en-GB"/>
        </w:rPr>
        <w:t xml:space="preserve">.  </w:t>
      </w:r>
      <w:r w:rsidR="00532A23" w:rsidRPr="00E973F5">
        <w:rPr>
          <w:rFonts w:eastAsia="Times New Roman"/>
          <w:lang w:val="en-GB"/>
        </w:rPr>
        <w:t>(A</w:t>
      </w:r>
      <w:r w:rsidRPr="00E973F5">
        <w:rPr>
          <w:rFonts w:eastAsia="Times New Roman"/>
          <w:lang w:val="en-GB"/>
        </w:rPr>
        <w:t xml:space="preserve">ccessed on: </w:t>
      </w:r>
      <w:r w:rsidR="00532A23" w:rsidRPr="00E973F5">
        <w:rPr>
          <w:rFonts w:eastAsia="Times New Roman"/>
          <w:lang w:val="en-GB"/>
        </w:rPr>
        <w:t>1</w:t>
      </w:r>
      <w:r w:rsidR="005D3361" w:rsidRPr="00E973F5">
        <w:rPr>
          <w:rFonts w:eastAsia="Times New Roman"/>
          <w:lang w:val="en-GB"/>
        </w:rPr>
        <w:t>2</w:t>
      </w:r>
      <w:r w:rsidR="00680436" w:rsidRPr="00E973F5">
        <w:rPr>
          <w:rFonts w:eastAsia="Times New Roman"/>
          <w:lang w:val="en-GB"/>
        </w:rPr>
        <w:t xml:space="preserve"> </w:t>
      </w:r>
      <w:r w:rsidR="00532A23" w:rsidRPr="00E973F5">
        <w:rPr>
          <w:rFonts w:eastAsia="Times New Roman"/>
          <w:lang w:val="en-GB"/>
        </w:rPr>
        <w:t>October</w:t>
      </w:r>
      <w:r w:rsidRPr="00E973F5">
        <w:rPr>
          <w:rFonts w:eastAsia="Times New Roman"/>
          <w:lang w:val="en-GB"/>
        </w:rPr>
        <w:t xml:space="preserve"> 2025</w:t>
      </w:r>
      <w:r w:rsidR="00532A23" w:rsidRPr="00E973F5">
        <w:rPr>
          <w:rFonts w:eastAsia="Times New Roman"/>
          <w:lang w:val="en-GB"/>
        </w:rPr>
        <w:t>).</w:t>
      </w:r>
    </w:p>
    <w:p w14:paraId="2BF520D8" w14:textId="41BF196B" w:rsidR="00525889" w:rsidRPr="00E973F5" w:rsidRDefault="00525889" w:rsidP="00E973F5">
      <w:pPr>
        <w:spacing w:before="240" w:after="240" w:line="360" w:lineRule="auto"/>
        <w:jc w:val="both"/>
        <w:rPr>
          <w:rFonts w:eastAsia="Times New Roman"/>
          <w:lang w:val="en-GB"/>
        </w:rPr>
      </w:pPr>
      <w:r w:rsidRPr="00E973F5">
        <w:rPr>
          <w:rFonts w:eastAsia="Times New Roman"/>
          <w:lang w:val="en-GB"/>
        </w:rPr>
        <w:t xml:space="preserve">Wessel, L., Baiyere, A., Ologeanu-Taddei, R., Cha, J. and Blegind-Jensen, T. (2021). Unpacking the difference between digital transformation and IT-enabled organisational transformation. </w:t>
      </w:r>
      <w:r w:rsidRPr="00E973F5">
        <w:rPr>
          <w:rFonts w:eastAsia="Times New Roman"/>
          <w:i/>
          <w:lang w:val="en-GB"/>
        </w:rPr>
        <w:t>Journal of the Association for Information Systems</w:t>
      </w:r>
      <w:r w:rsidRPr="00E973F5">
        <w:rPr>
          <w:rFonts w:eastAsia="Times New Roman"/>
          <w:lang w:val="en-GB"/>
        </w:rPr>
        <w:t xml:space="preserve">, </w:t>
      </w:r>
      <w:r w:rsidRPr="00E973F5">
        <w:rPr>
          <w:rFonts w:eastAsia="Times New Roman"/>
          <w:i/>
          <w:lang w:val="en-GB"/>
        </w:rPr>
        <w:t>22</w:t>
      </w:r>
      <w:r w:rsidRPr="00E973F5">
        <w:rPr>
          <w:rFonts w:eastAsia="Times New Roman"/>
          <w:lang w:val="en-GB"/>
        </w:rPr>
        <w:t xml:space="preserve">(1), pp.102-129.  Available at: </w:t>
      </w:r>
      <w:hyperlink r:id="rId29" w:history="1">
        <w:r w:rsidR="00975AC0" w:rsidRPr="00E973F5">
          <w:rPr>
            <w:rStyle w:val="Hyperlink"/>
            <w:rFonts w:eastAsia="Times New Roman"/>
            <w:lang w:val="en-GB"/>
          </w:rPr>
          <w:t>https://westminsterresearch.westminster.ac.uk/item/qyv8v/unpacking-the-difference-between-digital-transformation-and-it-enabled-organizational-transformation</w:t>
        </w:r>
      </w:hyperlink>
      <w:r w:rsidR="00975AC0" w:rsidRPr="00E973F5">
        <w:rPr>
          <w:rFonts w:eastAsia="Times New Roman"/>
          <w:lang w:val="en-GB"/>
        </w:rPr>
        <w:t>. (</w:t>
      </w:r>
      <w:r w:rsidRPr="00E973F5">
        <w:rPr>
          <w:rFonts w:eastAsia="Times New Roman"/>
          <w:lang w:val="en-GB"/>
        </w:rPr>
        <w:t xml:space="preserve">[Accessed on: </w:t>
      </w:r>
      <w:r w:rsidR="009044ED" w:rsidRPr="00E973F5">
        <w:rPr>
          <w:rFonts w:eastAsia="Times New Roman"/>
          <w:lang w:val="en-GB"/>
        </w:rPr>
        <w:t xml:space="preserve">19 </w:t>
      </w:r>
      <w:r w:rsidR="001D553E" w:rsidRPr="00E973F5">
        <w:rPr>
          <w:rFonts w:eastAsia="Times New Roman"/>
          <w:lang w:val="en-GB"/>
        </w:rPr>
        <w:t>October</w:t>
      </w:r>
      <w:r w:rsidRPr="00E973F5">
        <w:rPr>
          <w:rFonts w:eastAsia="Times New Roman"/>
          <w:lang w:val="en-GB"/>
        </w:rPr>
        <w:t xml:space="preserve"> 2025</w:t>
      </w:r>
      <w:r w:rsidR="001D553E" w:rsidRPr="00E973F5">
        <w:rPr>
          <w:rFonts w:eastAsia="Times New Roman"/>
          <w:lang w:val="en-GB"/>
        </w:rPr>
        <w:t>).</w:t>
      </w:r>
    </w:p>
    <w:p w14:paraId="694D7172" w14:textId="63BC8C67" w:rsidR="00F6416A" w:rsidRPr="00E973F5" w:rsidRDefault="00525889" w:rsidP="00E973F5">
      <w:pPr>
        <w:spacing w:before="240" w:after="240" w:line="360" w:lineRule="auto"/>
        <w:jc w:val="both"/>
        <w:rPr>
          <w:rFonts w:eastAsia="Times New Roman"/>
          <w:lang w:val="en-GB"/>
        </w:rPr>
      </w:pPr>
      <w:r w:rsidRPr="00E973F5">
        <w:rPr>
          <w:rFonts w:eastAsia="Times New Roman"/>
          <w:lang w:val="en-GB"/>
        </w:rPr>
        <w:t xml:space="preserve">Yao, R., Zhang, W., Evans, R., Cao, G., Rui, T. and Shen, L. (2022). Inequities in health care services caused by the adoption of digital health technologies: scoping review. </w:t>
      </w:r>
      <w:r w:rsidRPr="00E973F5">
        <w:rPr>
          <w:rFonts w:eastAsia="Times New Roman"/>
          <w:i/>
          <w:lang w:val="en-GB"/>
        </w:rPr>
        <w:t>Journal of Medical Internet Research</w:t>
      </w:r>
      <w:r w:rsidRPr="00E973F5">
        <w:rPr>
          <w:rFonts w:eastAsia="Times New Roman"/>
          <w:lang w:val="en-GB"/>
        </w:rPr>
        <w:t xml:space="preserve">, </w:t>
      </w:r>
      <w:r w:rsidRPr="00E973F5">
        <w:rPr>
          <w:rFonts w:eastAsia="Times New Roman"/>
          <w:i/>
          <w:lang w:val="en-GB"/>
        </w:rPr>
        <w:t>24</w:t>
      </w:r>
      <w:r w:rsidRPr="00E973F5">
        <w:rPr>
          <w:rFonts w:eastAsia="Times New Roman"/>
          <w:lang w:val="en-GB"/>
        </w:rPr>
        <w:t xml:space="preserve">(3), pp.34-144.  Available at: </w:t>
      </w:r>
      <w:hyperlink r:id="rId30" w:history="1">
        <w:r w:rsidR="001D553E" w:rsidRPr="00E973F5">
          <w:rPr>
            <w:rStyle w:val="Hyperlink"/>
            <w:rFonts w:eastAsia="Times New Roman"/>
            <w:lang w:val="en-GB"/>
          </w:rPr>
          <w:t>https://www.jmir.org/2022/3/e34144/</w:t>
        </w:r>
      </w:hyperlink>
      <w:r w:rsidR="001D553E" w:rsidRPr="00E973F5">
        <w:rPr>
          <w:rFonts w:eastAsia="Times New Roman"/>
          <w:lang w:val="en-GB"/>
        </w:rPr>
        <w:t>.</w:t>
      </w:r>
      <w:r w:rsidR="00351E18" w:rsidRPr="00E973F5">
        <w:rPr>
          <w:rFonts w:eastAsia="Times New Roman"/>
          <w:lang w:val="en-GB"/>
        </w:rPr>
        <w:t xml:space="preserve"> (Accessed on</w:t>
      </w:r>
      <w:r w:rsidR="00BE3D71" w:rsidRPr="00E973F5">
        <w:rPr>
          <w:rFonts w:eastAsia="Times New Roman"/>
          <w:lang w:val="en-GB"/>
        </w:rPr>
        <w:t xml:space="preserve">: </w:t>
      </w:r>
      <w:r w:rsidR="00550CB9" w:rsidRPr="00E973F5">
        <w:rPr>
          <w:rFonts w:eastAsia="Times New Roman"/>
          <w:lang w:val="en-GB"/>
        </w:rPr>
        <w:t xml:space="preserve">20 </w:t>
      </w:r>
      <w:r w:rsidR="00BE3D71" w:rsidRPr="00E973F5">
        <w:rPr>
          <w:rFonts w:eastAsia="Times New Roman"/>
          <w:lang w:val="en-GB"/>
        </w:rPr>
        <w:t>October 2025).</w:t>
      </w:r>
    </w:p>
    <w:p w14:paraId="13DE2AEC" w14:textId="77777777" w:rsidR="00F6416A" w:rsidRPr="00E973F5" w:rsidRDefault="00F6416A" w:rsidP="00E973F5">
      <w:pPr>
        <w:spacing w:before="240" w:after="240" w:line="360" w:lineRule="auto"/>
        <w:jc w:val="both"/>
        <w:rPr>
          <w:rFonts w:eastAsia="Times New Roman"/>
          <w:lang w:val="en-GB"/>
        </w:rPr>
      </w:pPr>
    </w:p>
    <w:p w14:paraId="75F9C546" w14:textId="4F06C4A3" w:rsidR="00525889" w:rsidRPr="00E973F5" w:rsidRDefault="00525889" w:rsidP="00E973F5">
      <w:pPr>
        <w:spacing w:before="240" w:after="240" w:line="360" w:lineRule="auto"/>
        <w:jc w:val="both"/>
        <w:rPr>
          <w:rFonts w:eastAsia="Times New Roman"/>
          <w:lang w:val="en-GB"/>
        </w:rPr>
      </w:pPr>
    </w:p>
    <w:sectPr w:rsidR="00525889" w:rsidRPr="00E973F5" w:rsidSect="00DB100A">
      <w:footerReference w:type="default" r:id="rId31"/>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E38923" w14:textId="77777777" w:rsidR="00697699" w:rsidRDefault="00697699" w:rsidP="00DB100A">
      <w:pPr>
        <w:spacing w:line="240" w:lineRule="auto"/>
      </w:pPr>
      <w:r>
        <w:separator/>
      </w:r>
    </w:p>
  </w:endnote>
  <w:endnote w:type="continuationSeparator" w:id="0">
    <w:p w14:paraId="6BA27921" w14:textId="77777777" w:rsidR="00697699" w:rsidRDefault="00697699" w:rsidP="00DB100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478844001"/>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02E88F91" w14:textId="3B060A05" w:rsidR="00DB100A" w:rsidRPr="00DB100A" w:rsidRDefault="00DB100A">
            <w:pPr>
              <w:pStyle w:val="Footer"/>
              <w:jc w:val="right"/>
              <w:rPr>
                <w:sz w:val="20"/>
                <w:szCs w:val="20"/>
              </w:rPr>
            </w:pPr>
            <w:r w:rsidRPr="00DB100A">
              <w:rPr>
                <w:sz w:val="20"/>
                <w:szCs w:val="20"/>
              </w:rPr>
              <w:t xml:space="preserve">Page </w:t>
            </w:r>
            <w:r w:rsidRPr="00DB100A">
              <w:rPr>
                <w:b/>
                <w:bCs/>
                <w:sz w:val="20"/>
                <w:szCs w:val="20"/>
              </w:rPr>
              <w:fldChar w:fldCharType="begin"/>
            </w:r>
            <w:r w:rsidRPr="00DB100A">
              <w:rPr>
                <w:b/>
                <w:bCs/>
                <w:sz w:val="20"/>
                <w:szCs w:val="20"/>
              </w:rPr>
              <w:instrText xml:space="preserve"> PAGE </w:instrText>
            </w:r>
            <w:r w:rsidRPr="00DB100A">
              <w:rPr>
                <w:b/>
                <w:bCs/>
                <w:sz w:val="20"/>
                <w:szCs w:val="20"/>
              </w:rPr>
              <w:fldChar w:fldCharType="separate"/>
            </w:r>
            <w:r w:rsidR="006B68CD">
              <w:rPr>
                <w:b/>
                <w:bCs/>
                <w:noProof/>
                <w:sz w:val="20"/>
                <w:szCs w:val="20"/>
              </w:rPr>
              <w:t>10</w:t>
            </w:r>
            <w:r w:rsidRPr="00DB100A">
              <w:rPr>
                <w:b/>
                <w:bCs/>
                <w:sz w:val="20"/>
                <w:szCs w:val="20"/>
              </w:rPr>
              <w:fldChar w:fldCharType="end"/>
            </w:r>
            <w:r w:rsidRPr="00DB100A">
              <w:rPr>
                <w:sz w:val="20"/>
                <w:szCs w:val="20"/>
              </w:rPr>
              <w:t xml:space="preserve"> of </w:t>
            </w:r>
            <w:r w:rsidRPr="00DB100A">
              <w:rPr>
                <w:b/>
                <w:bCs/>
                <w:sz w:val="20"/>
                <w:szCs w:val="20"/>
              </w:rPr>
              <w:fldChar w:fldCharType="begin"/>
            </w:r>
            <w:r w:rsidRPr="00DB100A">
              <w:rPr>
                <w:b/>
                <w:bCs/>
                <w:sz w:val="20"/>
                <w:szCs w:val="20"/>
              </w:rPr>
              <w:instrText xml:space="preserve"> NUMPAGES  </w:instrText>
            </w:r>
            <w:r w:rsidRPr="00DB100A">
              <w:rPr>
                <w:b/>
                <w:bCs/>
                <w:sz w:val="20"/>
                <w:szCs w:val="20"/>
              </w:rPr>
              <w:fldChar w:fldCharType="separate"/>
            </w:r>
            <w:r w:rsidR="006B68CD">
              <w:rPr>
                <w:b/>
                <w:bCs/>
                <w:noProof/>
                <w:sz w:val="20"/>
                <w:szCs w:val="20"/>
              </w:rPr>
              <w:t>13</w:t>
            </w:r>
            <w:r w:rsidRPr="00DB100A">
              <w:rPr>
                <w:b/>
                <w:bCs/>
                <w:sz w:val="20"/>
                <w:szCs w:val="20"/>
              </w:rPr>
              <w:fldChar w:fldCharType="end"/>
            </w:r>
          </w:p>
        </w:sdtContent>
      </w:sdt>
    </w:sdtContent>
  </w:sdt>
  <w:p w14:paraId="7EB87E46" w14:textId="77777777" w:rsidR="00DB100A" w:rsidRDefault="00DB10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EF46C8" w14:textId="77777777" w:rsidR="00697699" w:rsidRDefault="00697699" w:rsidP="00DB100A">
      <w:pPr>
        <w:spacing w:line="240" w:lineRule="auto"/>
      </w:pPr>
      <w:r>
        <w:separator/>
      </w:r>
    </w:p>
  </w:footnote>
  <w:footnote w:type="continuationSeparator" w:id="0">
    <w:p w14:paraId="30615F21" w14:textId="77777777" w:rsidR="00697699" w:rsidRDefault="00697699" w:rsidP="00DB100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3AAF"/>
    <w:rsid w:val="0002365B"/>
    <w:rsid w:val="00057C10"/>
    <w:rsid w:val="00075C75"/>
    <w:rsid w:val="0008404D"/>
    <w:rsid w:val="000B0660"/>
    <w:rsid w:val="0010672A"/>
    <w:rsid w:val="001168B7"/>
    <w:rsid w:val="00117B18"/>
    <w:rsid w:val="001204D9"/>
    <w:rsid w:val="00122362"/>
    <w:rsid w:val="001452AC"/>
    <w:rsid w:val="00150F80"/>
    <w:rsid w:val="00151090"/>
    <w:rsid w:val="00184E75"/>
    <w:rsid w:val="00186940"/>
    <w:rsid w:val="001B4122"/>
    <w:rsid w:val="001D24FC"/>
    <w:rsid w:val="001D553E"/>
    <w:rsid w:val="001D76D4"/>
    <w:rsid w:val="001E2C87"/>
    <w:rsid w:val="001E4033"/>
    <w:rsid w:val="001F69D0"/>
    <w:rsid w:val="001F6F9B"/>
    <w:rsid w:val="001F751D"/>
    <w:rsid w:val="00200754"/>
    <w:rsid w:val="00236B20"/>
    <w:rsid w:val="00262133"/>
    <w:rsid w:val="00265572"/>
    <w:rsid w:val="002B1E1F"/>
    <w:rsid w:val="002B43E0"/>
    <w:rsid w:val="002F359E"/>
    <w:rsid w:val="002F51A6"/>
    <w:rsid w:val="00304DA1"/>
    <w:rsid w:val="00313AAF"/>
    <w:rsid w:val="00344100"/>
    <w:rsid w:val="0034521F"/>
    <w:rsid w:val="00351E18"/>
    <w:rsid w:val="00353C45"/>
    <w:rsid w:val="003D62F6"/>
    <w:rsid w:val="003E04E0"/>
    <w:rsid w:val="003E61F6"/>
    <w:rsid w:val="00401A14"/>
    <w:rsid w:val="00432261"/>
    <w:rsid w:val="00436952"/>
    <w:rsid w:val="00472E42"/>
    <w:rsid w:val="0048470B"/>
    <w:rsid w:val="0049540A"/>
    <w:rsid w:val="00495906"/>
    <w:rsid w:val="004A5C86"/>
    <w:rsid w:val="004C2294"/>
    <w:rsid w:val="004D5191"/>
    <w:rsid w:val="004D7A08"/>
    <w:rsid w:val="004E5ABC"/>
    <w:rsid w:val="00500D3C"/>
    <w:rsid w:val="00503EE1"/>
    <w:rsid w:val="00525889"/>
    <w:rsid w:val="00526E1A"/>
    <w:rsid w:val="00532A23"/>
    <w:rsid w:val="00536751"/>
    <w:rsid w:val="00547106"/>
    <w:rsid w:val="00550CB9"/>
    <w:rsid w:val="00554948"/>
    <w:rsid w:val="005638AB"/>
    <w:rsid w:val="00573CF8"/>
    <w:rsid w:val="00574636"/>
    <w:rsid w:val="005A183C"/>
    <w:rsid w:val="005C054F"/>
    <w:rsid w:val="005D3361"/>
    <w:rsid w:val="00610D22"/>
    <w:rsid w:val="00612857"/>
    <w:rsid w:val="006308DA"/>
    <w:rsid w:val="00645585"/>
    <w:rsid w:val="00680436"/>
    <w:rsid w:val="00694F78"/>
    <w:rsid w:val="00697699"/>
    <w:rsid w:val="006A025A"/>
    <w:rsid w:val="006A3833"/>
    <w:rsid w:val="006B68CD"/>
    <w:rsid w:val="006E3330"/>
    <w:rsid w:val="00726A78"/>
    <w:rsid w:val="00756F22"/>
    <w:rsid w:val="00783205"/>
    <w:rsid w:val="007D1889"/>
    <w:rsid w:val="0080569A"/>
    <w:rsid w:val="00813F3F"/>
    <w:rsid w:val="0082331D"/>
    <w:rsid w:val="00832339"/>
    <w:rsid w:val="00836353"/>
    <w:rsid w:val="008805E8"/>
    <w:rsid w:val="00894A9C"/>
    <w:rsid w:val="008962C2"/>
    <w:rsid w:val="008C03B5"/>
    <w:rsid w:val="008E0C73"/>
    <w:rsid w:val="008F3386"/>
    <w:rsid w:val="009044ED"/>
    <w:rsid w:val="00924FD9"/>
    <w:rsid w:val="00931B14"/>
    <w:rsid w:val="009361A3"/>
    <w:rsid w:val="0097582E"/>
    <w:rsid w:val="00975AC0"/>
    <w:rsid w:val="009A632C"/>
    <w:rsid w:val="009B254F"/>
    <w:rsid w:val="009D01E6"/>
    <w:rsid w:val="009E5F9F"/>
    <w:rsid w:val="009F124D"/>
    <w:rsid w:val="00A17014"/>
    <w:rsid w:val="00A43E45"/>
    <w:rsid w:val="00A801AE"/>
    <w:rsid w:val="00AB4DEE"/>
    <w:rsid w:val="00AC1F83"/>
    <w:rsid w:val="00AC7641"/>
    <w:rsid w:val="00B259D4"/>
    <w:rsid w:val="00B3315D"/>
    <w:rsid w:val="00B458D9"/>
    <w:rsid w:val="00B60083"/>
    <w:rsid w:val="00B617A4"/>
    <w:rsid w:val="00B75BA1"/>
    <w:rsid w:val="00B773FA"/>
    <w:rsid w:val="00B92367"/>
    <w:rsid w:val="00BA0962"/>
    <w:rsid w:val="00BA7E40"/>
    <w:rsid w:val="00BB1AEC"/>
    <w:rsid w:val="00BB403B"/>
    <w:rsid w:val="00BE3D71"/>
    <w:rsid w:val="00BE67F0"/>
    <w:rsid w:val="00C143D9"/>
    <w:rsid w:val="00C27526"/>
    <w:rsid w:val="00C27CD0"/>
    <w:rsid w:val="00C3373A"/>
    <w:rsid w:val="00C63194"/>
    <w:rsid w:val="00D321FE"/>
    <w:rsid w:val="00D56757"/>
    <w:rsid w:val="00D8421A"/>
    <w:rsid w:val="00D84857"/>
    <w:rsid w:val="00D86FFC"/>
    <w:rsid w:val="00DA7923"/>
    <w:rsid w:val="00DB100A"/>
    <w:rsid w:val="00DB39B4"/>
    <w:rsid w:val="00DB530A"/>
    <w:rsid w:val="00E54ACC"/>
    <w:rsid w:val="00E63080"/>
    <w:rsid w:val="00E724C3"/>
    <w:rsid w:val="00E81BBF"/>
    <w:rsid w:val="00E863CD"/>
    <w:rsid w:val="00E973F5"/>
    <w:rsid w:val="00EB6289"/>
    <w:rsid w:val="00ED5486"/>
    <w:rsid w:val="00F33E64"/>
    <w:rsid w:val="00F6416A"/>
    <w:rsid w:val="00FA12B3"/>
    <w:rsid w:val="00FA12FF"/>
    <w:rsid w:val="00FB48EC"/>
    <w:rsid w:val="00FF31A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18ED5"/>
  <w15:docId w15:val="{11967F0E-711D-4EC2-9345-3E0E936C9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qFormat/>
    <w:rsid w:val="009D01E6"/>
    <w:pPr>
      <w:keepNext/>
      <w:keepLines/>
      <w:spacing w:before="400" w:after="120" w:line="360" w:lineRule="auto"/>
      <w:jc w:val="both"/>
      <w:outlineLvl w:val="0"/>
    </w:pPr>
    <w:rPr>
      <w:b/>
      <w:color w:val="000000" w:themeColor="text1"/>
      <w:sz w:val="28"/>
      <w:szCs w:val="40"/>
    </w:rPr>
  </w:style>
  <w:style w:type="paragraph" w:styleId="Heading2">
    <w:name w:val="heading 2"/>
    <w:basedOn w:val="Normal"/>
    <w:next w:val="Normal"/>
    <w:qFormat/>
    <w:rsid w:val="009D01E6"/>
    <w:pPr>
      <w:keepNext/>
      <w:keepLines/>
      <w:spacing w:before="360" w:after="120" w:line="360" w:lineRule="auto"/>
      <w:jc w:val="both"/>
      <w:outlineLvl w:val="1"/>
    </w:pPr>
    <w:rPr>
      <w:b/>
      <w:i/>
      <w:color w:val="000000" w:themeColor="text1"/>
      <w:sz w:val="26"/>
      <w:szCs w:val="32"/>
    </w:rPr>
  </w:style>
  <w:style w:type="paragraph" w:styleId="Heading3">
    <w:name w:val="heading 3"/>
    <w:basedOn w:val="Normal"/>
    <w:next w:val="Normal"/>
    <w:qFormat/>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qFormat/>
    <w:pPr>
      <w:keepNext/>
      <w:keepLines/>
      <w:spacing w:before="240" w:after="80"/>
      <w:outlineLvl w:val="4"/>
    </w:pPr>
    <w:rPr>
      <w:color w:val="666666"/>
    </w:rPr>
  </w:style>
  <w:style w:type="paragraph" w:styleId="Heading6">
    <w:name w:val="heading 6"/>
    <w:basedOn w:val="Normal"/>
    <w:next w:val="Normal"/>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DB100A"/>
    <w:pPr>
      <w:tabs>
        <w:tab w:val="center" w:pos="4513"/>
        <w:tab w:val="right" w:pos="9026"/>
      </w:tabs>
      <w:spacing w:line="240" w:lineRule="auto"/>
    </w:pPr>
  </w:style>
  <w:style w:type="character" w:customStyle="1" w:styleId="HeaderChar">
    <w:name w:val="Header Char"/>
    <w:basedOn w:val="DefaultParagraphFont"/>
    <w:link w:val="Header"/>
    <w:uiPriority w:val="99"/>
    <w:rsid w:val="00DB100A"/>
  </w:style>
  <w:style w:type="paragraph" w:styleId="Footer">
    <w:name w:val="footer"/>
    <w:basedOn w:val="Normal"/>
    <w:link w:val="FooterChar"/>
    <w:uiPriority w:val="99"/>
    <w:unhideWhenUsed/>
    <w:rsid w:val="00DB100A"/>
    <w:pPr>
      <w:tabs>
        <w:tab w:val="center" w:pos="4513"/>
        <w:tab w:val="right" w:pos="9026"/>
      </w:tabs>
      <w:spacing w:line="240" w:lineRule="auto"/>
    </w:pPr>
  </w:style>
  <w:style w:type="character" w:customStyle="1" w:styleId="FooterChar">
    <w:name w:val="Footer Char"/>
    <w:basedOn w:val="DefaultParagraphFont"/>
    <w:link w:val="Footer"/>
    <w:uiPriority w:val="99"/>
    <w:rsid w:val="00DB100A"/>
  </w:style>
  <w:style w:type="paragraph" w:styleId="TOCHeading">
    <w:name w:val="TOC Heading"/>
    <w:basedOn w:val="Heading1"/>
    <w:next w:val="Normal"/>
    <w:uiPriority w:val="39"/>
    <w:unhideWhenUsed/>
    <w:qFormat/>
    <w:rsid w:val="009D01E6"/>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9D01E6"/>
    <w:pPr>
      <w:spacing w:after="100"/>
    </w:pPr>
  </w:style>
  <w:style w:type="paragraph" w:styleId="TOC2">
    <w:name w:val="toc 2"/>
    <w:basedOn w:val="Normal"/>
    <w:next w:val="Normal"/>
    <w:autoRedefine/>
    <w:uiPriority w:val="39"/>
    <w:unhideWhenUsed/>
    <w:rsid w:val="009D01E6"/>
    <w:pPr>
      <w:spacing w:after="100"/>
      <w:ind w:left="220"/>
    </w:pPr>
  </w:style>
  <w:style w:type="character" w:styleId="Hyperlink">
    <w:name w:val="Hyperlink"/>
    <w:basedOn w:val="DefaultParagraphFont"/>
    <w:uiPriority w:val="99"/>
    <w:unhideWhenUsed/>
    <w:rsid w:val="009D01E6"/>
    <w:rPr>
      <w:color w:val="0000FF" w:themeColor="hyperlink"/>
      <w:u w:val="single"/>
    </w:rPr>
  </w:style>
  <w:style w:type="character" w:customStyle="1" w:styleId="UnresolvedMention1">
    <w:name w:val="Unresolved Mention1"/>
    <w:basedOn w:val="DefaultParagraphFont"/>
    <w:uiPriority w:val="99"/>
    <w:semiHidden/>
    <w:unhideWhenUsed/>
    <w:rsid w:val="00236B20"/>
    <w:rPr>
      <w:color w:val="605E5C"/>
      <w:shd w:val="clear" w:color="auto" w:fill="E1DFDD"/>
    </w:rPr>
  </w:style>
  <w:style w:type="table" w:styleId="TableGrid">
    <w:name w:val="Table Grid"/>
    <w:basedOn w:val="TableNormal"/>
    <w:rsid w:val="00E63080"/>
    <w:pPr>
      <w:spacing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jmir.org/2021/2/e22189/" TargetMode="External"/><Relationship Id="rId18" Type="http://schemas.openxmlformats.org/officeDocument/2006/relationships/hyperlink" Target="https://www.thelancet.com/article/S0140-6736(21)01824-9/abstract" TargetMode="External"/><Relationship Id="rId26" Type="http://schemas.openxmlformats.org/officeDocument/2006/relationships/hyperlink" Target="https://www.thelancet.com/journals/landig/article/PIIS2589-7500(21)00005-4/fulltext" TargetMode="External"/><Relationship Id="rId3" Type="http://schemas.openxmlformats.org/officeDocument/2006/relationships/customXml" Target="../customXml/item3.xml"/><Relationship Id="rId21" Type="http://schemas.openxmlformats.org/officeDocument/2006/relationships/hyperlink" Target="https://www.sciencedirect.com/science/article/pii/S0148296320306913" TargetMode="External"/><Relationship Id="rId7" Type="http://schemas.openxmlformats.org/officeDocument/2006/relationships/webSettings" Target="webSettings.xml"/><Relationship Id="rId12" Type="http://schemas.openxmlformats.org/officeDocument/2006/relationships/hyperlink" Target="https://www.mdpi.com/2071-1050/16/5/1790" TargetMode="External"/><Relationship Id="rId17" Type="http://schemas.openxmlformats.org/officeDocument/2006/relationships/hyperlink" Target="https://www.jmir.org/2021/4/e23205/" TargetMode="External"/><Relationship Id="rId25" Type="http://schemas.openxmlformats.org/officeDocument/2006/relationships/hyperlink" Target="https://www.emerald.com/insight/content/doi/10.1108/IJEBR-01-2021-0087/full/html"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drkarimandjames-authe.nhs.uk/2024/08/01/discover-the-power-of-the-nhs-app/" TargetMode="External"/><Relationship Id="rId20" Type="http://schemas.openxmlformats.org/officeDocument/2006/relationships/hyperlink" Target="https://www.thelancet.com/journals/lanplh/article/PIIS2542-5196(21)00053-X/fulltext" TargetMode="External"/><Relationship Id="rId29" Type="http://schemas.openxmlformats.org/officeDocument/2006/relationships/hyperlink" Target="https://westminsterresearch.westminster.ac.uk/item/qyv8v/unpacking-the-difference-between-digital-transformation-and-it-enabled-organizational-transformation"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merald.com/insight/content/doi/10.1108/jec-06-2020-0126/full/html" TargetMode="External"/><Relationship Id="rId24" Type="http://schemas.openxmlformats.org/officeDocument/2006/relationships/hyperlink" Target="https://link.springer.com/article/10.1007/s43039-023-00063-6" TargetMode="Externa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onlinelibrary.wiley.com/doi/abs/10.1111/radm.12531" TargetMode="External"/><Relationship Id="rId23" Type="http://schemas.openxmlformats.org/officeDocument/2006/relationships/hyperlink" Target="https://www.sciencedirect.com/science/article/pii/S1877050923013443" TargetMode="External"/><Relationship Id="rId28" Type="http://schemas.openxmlformats.org/officeDocument/2006/relationships/hyperlink" Target="https://www.sciencedirect.com/science/article/pii/S2214782922000070" TargetMode="External"/><Relationship Id="rId10" Type="http://schemas.openxmlformats.org/officeDocument/2006/relationships/image" Target="media/image1.png"/><Relationship Id="rId19" Type="http://schemas.openxmlformats.org/officeDocument/2006/relationships/hyperlink" Target="https://www.jmir.org/2023/1/e41512/"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ww.emerald.com/insight/content/doi/10.1108/JEIM-01-2020-0010/full/html" TargetMode="External"/><Relationship Id="rId22" Type="http://schemas.openxmlformats.org/officeDocument/2006/relationships/hyperlink" Target="https://www.sciencedirect.com/science/article/pii/S2414644721000932" TargetMode="External"/><Relationship Id="rId27" Type="http://schemas.openxmlformats.org/officeDocument/2006/relationships/hyperlink" Target="https://www.frontiersin.org/journals/psychology/articles/10.3389/fpsyg.2021.620766/full?trk=public_post_main-feed-card_feed-article-content" TargetMode="External"/><Relationship Id="rId30" Type="http://schemas.openxmlformats.org/officeDocument/2006/relationships/hyperlink" Target="https://www.jmir.org/2022/3/e34144/" TargetMode="Externa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6CEBC9BEF27E49AD4317D9BCFD8A30" ma:contentTypeVersion="9" ma:contentTypeDescription="Create a new document." ma:contentTypeScope="" ma:versionID="48f291d7a603cc23bbaec5fded174faa">
  <xsd:schema xmlns:xsd="http://www.w3.org/2001/XMLSchema" xmlns:xs="http://www.w3.org/2001/XMLSchema" xmlns:p="http://schemas.microsoft.com/office/2006/metadata/properties" xmlns:ns3="cf035609-6cff-4773-8cb9-aee94aa6423a" xmlns:ns4="2894b9f9-d233-4e1e-82bf-b6bf6c40fee1" targetNamespace="http://schemas.microsoft.com/office/2006/metadata/properties" ma:root="true" ma:fieldsID="bc333eb34bf5352790551e236cf0933e" ns3:_="" ns4:_="">
    <xsd:import namespace="cf035609-6cff-4773-8cb9-aee94aa6423a"/>
    <xsd:import namespace="2894b9f9-d233-4e1e-82bf-b6bf6c40fee1"/>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035609-6cff-4773-8cb9-aee94aa6423a"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94b9f9-d233-4e1e-82bf-b6bf6c40fee1"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cf035609-6cff-4773-8cb9-aee94aa6423a"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535341B-7DE7-4E67-B3AB-B265F97666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035609-6cff-4773-8cb9-aee94aa6423a"/>
    <ds:schemaRef ds:uri="2894b9f9-d233-4e1e-82bf-b6bf6c40fe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35EE7D4-D99E-42D3-A88F-F6751600E4CD}">
  <ds:schemaRefs>
    <ds:schemaRef ds:uri="http://schemas.openxmlformats.org/officeDocument/2006/bibliography"/>
  </ds:schemaRefs>
</ds:datastoreItem>
</file>

<file path=customXml/itemProps3.xml><?xml version="1.0" encoding="utf-8"?>
<ds:datastoreItem xmlns:ds="http://schemas.openxmlformats.org/officeDocument/2006/customXml" ds:itemID="{C11ED7D7-17A1-4999-913C-2F09759FAD8C}">
  <ds:schemaRefs>
    <ds:schemaRef ds:uri="http://purl.org/dc/dcmitype/"/>
    <ds:schemaRef ds:uri="2894b9f9-d233-4e1e-82bf-b6bf6c40fee1"/>
    <ds:schemaRef ds:uri="http://purl.org/dc/elements/1.1/"/>
    <ds:schemaRef ds:uri="http://schemas.openxmlformats.org/package/2006/metadata/core-properties"/>
    <ds:schemaRef ds:uri="http://schemas.microsoft.com/office/2006/metadata/properties"/>
    <ds:schemaRef ds:uri="http://schemas.microsoft.com/office/infopath/2007/PartnerControls"/>
    <ds:schemaRef ds:uri="http://schemas.microsoft.com/office/2006/documentManagement/types"/>
    <ds:schemaRef ds:uri="cf035609-6cff-4773-8cb9-aee94aa6423a"/>
    <ds:schemaRef ds:uri="http://www.w3.org/XML/1998/namespace"/>
    <ds:schemaRef ds:uri="http://purl.org/dc/terms/"/>
  </ds:schemaRefs>
</ds:datastoreItem>
</file>

<file path=customXml/itemProps4.xml><?xml version="1.0" encoding="utf-8"?>
<ds:datastoreItem xmlns:ds="http://schemas.openxmlformats.org/officeDocument/2006/customXml" ds:itemID="{693C05E8-078C-4FC3-B802-72F0880F62C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3669</Words>
  <Characters>20918</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Stacy-Ann Watson (2238279)</cp:lastModifiedBy>
  <cp:revision>3</cp:revision>
  <dcterms:created xsi:type="dcterms:W3CDTF">2025-10-20T21:33:00Z</dcterms:created>
  <dcterms:modified xsi:type="dcterms:W3CDTF">2025-10-20T21:33:00Z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0x010100926CEBC9BEF27E49AD4317D9BCFD8A30</vt:lpwstr>
  </property>
</Properties>
</file>