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E7543" w14:textId="6BB46B06" w:rsidR="00230F35" w:rsidRDefault="00380447" w:rsidP="00230F35">
      <w:pPr>
        <w:pStyle w:val="NormalWeb"/>
        <w:spacing w:before="0" w:beforeAutospacing="0" w:after="0" w:afterAutospacing="0"/>
        <w:ind w:left="-180" w:right="-334"/>
      </w:pPr>
      <w:r>
        <w:rPr>
          <w:noProof/>
        </w:rPr>
        <w:drawing>
          <wp:inline distT="0" distB="0" distL="0" distR="0" wp14:anchorId="5DE879DB" wp14:editId="33E4CDB5">
            <wp:extent cx="1905000" cy="635000"/>
            <wp:effectExtent l="19050" t="19050" r="0" b="0"/>
            <wp:docPr id="10499175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6BA57F7A" w14:textId="77777777" w:rsidR="00230F35" w:rsidRDefault="00230F35" w:rsidP="00230F35">
      <w:pPr>
        <w:pStyle w:val="NormalWeb"/>
        <w:spacing w:before="0" w:beforeAutospacing="0" w:after="0" w:afterAutospacing="0"/>
        <w:ind w:left="-180" w:right="-334"/>
      </w:pPr>
    </w:p>
    <w:p w14:paraId="47185A24" w14:textId="77777777" w:rsidR="00A745B6" w:rsidRDefault="00A745B6" w:rsidP="00230F35">
      <w:pPr>
        <w:pStyle w:val="NormalWeb"/>
        <w:spacing w:before="0" w:beforeAutospacing="0" w:after="0" w:afterAutospacing="0"/>
        <w:ind w:left="-180" w:right="-334"/>
      </w:pPr>
    </w:p>
    <w:p w14:paraId="0C46E36F" w14:textId="77777777" w:rsidR="00CB5E37" w:rsidRDefault="00901157" w:rsidP="00230F35">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sidR="00000000">
        <w:rPr>
          <w:rFonts w:ascii="Arial" w:hAnsi="Arial" w:cs="Arial"/>
          <w:b/>
          <w:sz w:val="28"/>
          <w:szCs w:val="28"/>
          <w:lang w:val="cy-GB"/>
        </w:rPr>
        <w:t xml:space="preserve">/Distance Learning </w:t>
      </w:r>
    </w:p>
    <w:p w14:paraId="168FD053" w14:textId="77777777" w:rsidR="002E67CE" w:rsidRPr="00230F35" w:rsidRDefault="00CB5E37" w:rsidP="00230F35">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00000000" w:rsidRPr="00230F35">
        <w:rPr>
          <w:rFonts w:ascii="Arial" w:hAnsi="Arial" w:cs="Arial"/>
          <w:b/>
          <w:sz w:val="28"/>
          <w:szCs w:val="28"/>
          <w:lang w:val="cy-GB"/>
        </w:rPr>
        <w:t>ssignment coversheet &amp; feedback form</w:t>
      </w:r>
    </w:p>
    <w:p w14:paraId="2637C011" w14:textId="77777777" w:rsidR="002E67CE" w:rsidRPr="00230F35" w:rsidRDefault="002E67CE" w:rsidP="002E67CE">
      <w:pPr>
        <w:rPr>
          <w:rFonts w:ascii="Arial" w:hAnsi="Arial" w:cs="Arial"/>
          <w:sz w:val="28"/>
          <w:szCs w:val="28"/>
          <w:lang w:val="cy-GB"/>
        </w:rPr>
      </w:pPr>
    </w:p>
    <w:p w14:paraId="43D023B1" w14:textId="77777777" w:rsidR="002E67CE" w:rsidRDefault="00000000" w:rsidP="002E67CE">
      <w:pPr>
        <w:pStyle w:val="Heading3"/>
        <w:jc w:val="center"/>
        <w:rPr>
          <w:lang w:val="cy-GB"/>
        </w:rPr>
      </w:pPr>
      <w:r>
        <w:rPr>
          <w:lang w:val="cy-GB"/>
        </w:rPr>
        <w:t>THIS SHEET MUST BE THE FIRST PAGE OF THE ASSIGNMENT YOU ARE SUBMITTING  (DO NOT SEND AS A SEPARATE FILE)</w:t>
      </w:r>
    </w:p>
    <w:p w14:paraId="22F61D23" w14:textId="77777777" w:rsidR="00230F35" w:rsidRDefault="00230F35" w:rsidP="002E67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294A7A" w14:paraId="65FF6364" w14:textId="77777777" w:rsidTr="00A745B6">
        <w:trPr>
          <w:trHeight w:val="614"/>
        </w:trPr>
        <w:tc>
          <w:tcPr>
            <w:tcW w:w="8856" w:type="dxa"/>
            <w:gridSpan w:val="5"/>
          </w:tcPr>
          <w:p w14:paraId="56C88767" w14:textId="77777777" w:rsidR="0058726A" w:rsidRPr="00230F35" w:rsidRDefault="00E57529" w:rsidP="002F467C">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sidR="00001C3B">
              <w:rPr>
                <w:rFonts w:ascii="Arial" w:hAnsi="Arial" w:cs="Arial"/>
                <w:b/>
                <w:sz w:val="22"/>
                <w:szCs w:val="22"/>
              </w:rPr>
              <w:t xml:space="preserve">the </w:t>
            </w:r>
            <w:r w:rsidRPr="00230F35">
              <w:rPr>
                <w:rFonts w:ascii="Arial" w:hAnsi="Arial" w:cs="Arial"/>
                <w:b/>
                <w:sz w:val="22"/>
                <w:szCs w:val="22"/>
              </w:rPr>
              <w:t>student</w:t>
            </w:r>
            <w:r w:rsidR="00001C3B">
              <w:rPr>
                <w:rFonts w:ascii="Arial" w:hAnsi="Arial" w:cs="Arial"/>
                <w:sz w:val="22"/>
                <w:szCs w:val="22"/>
              </w:rPr>
              <w:t>:</w:t>
            </w:r>
          </w:p>
        </w:tc>
      </w:tr>
      <w:tr w:rsidR="00294A7A" w14:paraId="34D8971E" w14:textId="77777777" w:rsidTr="00A745B6">
        <w:trPr>
          <w:trHeight w:val="718"/>
        </w:trPr>
        <w:tc>
          <w:tcPr>
            <w:tcW w:w="8856" w:type="dxa"/>
            <w:gridSpan w:val="5"/>
          </w:tcPr>
          <w:p w14:paraId="1194DF87" w14:textId="77777777" w:rsidR="0065654E"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w:t>
            </w:r>
            <w:r w:rsidR="00CE3B79" w:rsidRPr="00230F35">
              <w:rPr>
                <w:rFonts w:ascii="Arial" w:hAnsi="Arial" w:cs="Arial"/>
                <w:sz w:val="22"/>
                <w:szCs w:val="22"/>
              </w:rPr>
              <w:t>me:</w:t>
            </w:r>
            <w:r w:rsidR="00A23B4E">
              <w:rPr>
                <w:rFonts w:ascii="Arial" w:hAnsi="Arial" w:cs="Arial"/>
                <w:sz w:val="22"/>
                <w:szCs w:val="22"/>
              </w:rPr>
              <w:t xml:space="preserve"> Francesca Cabral</w:t>
            </w:r>
          </w:p>
          <w:p w14:paraId="174FFC9C" w14:textId="77777777" w:rsidR="00230F35" w:rsidRPr="00230F35" w:rsidRDefault="00230F35" w:rsidP="002F467C">
            <w:pPr>
              <w:pStyle w:val="NormalWeb"/>
              <w:spacing w:before="0" w:beforeAutospacing="0" w:after="0" w:afterAutospacing="0"/>
              <w:ind w:right="34"/>
              <w:rPr>
                <w:rFonts w:ascii="Arial" w:hAnsi="Arial" w:cs="Arial"/>
                <w:sz w:val="22"/>
                <w:szCs w:val="22"/>
              </w:rPr>
            </w:pPr>
          </w:p>
          <w:p w14:paraId="729AB9D8" w14:textId="77777777" w:rsidR="00FA2A4C" w:rsidRPr="00230F35"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A23B4E" w:rsidRPr="00A23B4E">
              <w:rPr>
                <w:rFonts w:ascii="Arial" w:hAnsi="Arial" w:cs="Arial"/>
                <w:sz w:val="22"/>
                <w:szCs w:val="22"/>
              </w:rPr>
              <w:t>2317218@student.uwtsd.ac.uk</w:t>
            </w:r>
          </w:p>
        </w:tc>
      </w:tr>
      <w:tr w:rsidR="00294A7A" w14:paraId="5D205508" w14:textId="77777777" w:rsidTr="00A745B6">
        <w:trPr>
          <w:trHeight w:val="849"/>
        </w:trPr>
        <w:tc>
          <w:tcPr>
            <w:tcW w:w="4788" w:type="dxa"/>
          </w:tcPr>
          <w:p w14:paraId="742A3947" w14:textId="77777777" w:rsidR="00D67BF8" w:rsidRPr="00230F35" w:rsidRDefault="00CE3B79"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sidR="00A23B4E">
              <w:rPr>
                <w:rFonts w:ascii="Arial" w:hAnsi="Arial" w:cs="Arial"/>
                <w:sz w:val="22"/>
                <w:szCs w:val="22"/>
              </w:rPr>
              <w:t xml:space="preserve"> HPCA7016</w:t>
            </w:r>
          </w:p>
          <w:p w14:paraId="12E461C4"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5E87512D" w14:textId="77777777" w:rsidR="00CE3B79"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A23B4E">
              <w:rPr>
                <w:rFonts w:ascii="Arial" w:hAnsi="Arial" w:cs="Arial"/>
                <w:sz w:val="22"/>
                <w:szCs w:val="22"/>
              </w:rPr>
              <w:t xml:space="preserve"> </w:t>
            </w:r>
            <w:r w:rsidR="00A23B4E" w:rsidRPr="00A23B4E">
              <w:rPr>
                <w:rFonts w:ascii="Arial" w:hAnsi="Arial" w:cs="Arial"/>
                <w:sz w:val="22"/>
                <w:szCs w:val="22"/>
              </w:rPr>
              <w:t>Researching Contemporary Cosmologies</w:t>
            </w:r>
          </w:p>
          <w:p w14:paraId="0842154D" w14:textId="77777777" w:rsidR="00A745B6" w:rsidRDefault="00A745B6" w:rsidP="002F467C">
            <w:pPr>
              <w:pStyle w:val="NormalWeb"/>
              <w:spacing w:before="0" w:beforeAutospacing="0" w:after="0" w:afterAutospacing="0"/>
              <w:ind w:right="34"/>
              <w:rPr>
                <w:rFonts w:ascii="Arial" w:hAnsi="Arial" w:cs="Arial"/>
                <w:sz w:val="22"/>
                <w:szCs w:val="22"/>
              </w:rPr>
            </w:pPr>
          </w:p>
          <w:p w14:paraId="6A37D84D" w14:textId="77777777" w:rsidR="00A745B6" w:rsidRPr="00230F35" w:rsidRDefault="00A745B6" w:rsidP="002F467C">
            <w:pPr>
              <w:pStyle w:val="NormalWeb"/>
              <w:spacing w:before="0" w:beforeAutospacing="0" w:after="0" w:afterAutospacing="0"/>
              <w:ind w:right="34"/>
              <w:rPr>
                <w:rFonts w:ascii="Arial" w:hAnsi="Arial" w:cs="Arial"/>
                <w:sz w:val="22"/>
                <w:szCs w:val="22"/>
              </w:rPr>
            </w:pPr>
          </w:p>
        </w:tc>
        <w:tc>
          <w:tcPr>
            <w:tcW w:w="2266" w:type="dxa"/>
            <w:gridSpan w:val="3"/>
          </w:tcPr>
          <w:p w14:paraId="7B71FE0D" w14:textId="77777777" w:rsidR="00CE3B79"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5F2C3121" w14:textId="77777777" w:rsidR="00A23B4E" w:rsidRPr="00230F35" w:rsidRDefault="00000000" w:rsidP="002F467C">
            <w:pPr>
              <w:pStyle w:val="NormalWeb"/>
              <w:spacing w:before="0" w:beforeAutospacing="0" w:after="0" w:afterAutospacing="0"/>
              <w:ind w:right="34"/>
              <w:rPr>
                <w:rFonts w:ascii="Arial" w:hAnsi="Arial" w:cs="Arial"/>
                <w:sz w:val="22"/>
                <w:szCs w:val="22"/>
              </w:rPr>
            </w:pPr>
            <w:r w:rsidRPr="00A23B4E">
              <w:rPr>
                <w:rFonts w:ascii="Arial" w:hAnsi="Arial" w:cs="Arial"/>
                <w:sz w:val="22"/>
                <w:szCs w:val="22"/>
              </w:rPr>
              <w:t>2317218</w:t>
            </w:r>
          </w:p>
        </w:tc>
        <w:tc>
          <w:tcPr>
            <w:tcW w:w="1802" w:type="dxa"/>
          </w:tcPr>
          <w:p w14:paraId="3D65BB4B" w14:textId="77777777" w:rsidR="00CE3B79" w:rsidRPr="00230F35"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02CF1334" w14:textId="77777777" w:rsidR="00CE3B79" w:rsidRPr="00230F35"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tc>
      </w:tr>
      <w:tr w:rsidR="00294A7A" w14:paraId="7020E98B" w14:textId="77777777" w:rsidTr="00A745B6">
        <w:trPr>
          <w:trHeight w:val="1139"/>
        </w:trPr>
        <w:tc>
          <w:tcPr>
            <w:tcW w:w="8856" w:type="dxa"/>
            <w:gridSpan w:val="5"/>
          </w:tcPr>
          <w:p w14:paraId="3C6AF504" w14:textId="77777777" w:rsidR="00CE3B79" w:rsidRPr="00230F35"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A23B4E">
              <w:rPr>
                <w:rFonts w:ascii="Arial" w:hAnsi="Arial" w:cs="Arial"/>
                <w:sz w:val="22"/>
                <w:szCs w:val="22"/>
              </w:rPr>
              <w:t xml:space="preserve"> </w:t>
            </w:r>
            <w:r w:rsidR="00A23B4E" w:rsidRPr="00A23B4E">
              <w:rPr>
                <w:rFonts w:ascii="Arial" w:hAnsi="Arial" w:cs="Arial"/>
                <w:sz w:val="22"/>
                <w:szCs w:val="22"/>
              </w:rPr>
              <w:t>Research Project in Contemporary Cosmology</w:t>
            </w:r>
          </w:p>
          <w:p w14:paraId="6E467484" w14:textId="77777777" w:rsidR="00D67BF8" w:rsidRPr="00230F35" w:rsidRDefault="00D67BF8" w:rsidP="002F467C">
            <w:pPr>
              <w:pStyle w:val="NormalWeb"/>
              <w:spacing w:before="0" w:beforeAutospacing="0" w:after="0" w:afterAutospacing="0"/>
              <w:ind w:right="34"/>
              <w:rPr>
                <w:rFonts w:ascii="Arial" w:hAnsi="Arial" w:cs="Arial"/>
                <w:sz w:val="22"/>
                <w:szCs w:val="22"/>
              </w:rPr>
            </w:pPr>
          </w:p>
          <w:p w14:paraId="1FF0D288" w14:textId="77777777" w:rsidR="00230F35" w:rsidRDefault="00230F35" w:rsidP="002F467C">
            <w:pPr>
              <w:pStyle w:val="NormalWeb"/>
              <w:spacing w:before="0" w:beforeAutospacing="0" w:after="0" w:afterAutospacing="0"/>
              <w:ind w:right="34"/>
              <w:rPr>
                <w:rFonts w:ascii="Arial" w:hAnsi="Arial" w:cs="Arial"/>
                <w:sz w:val="22"/>
                <w:szCs w:val="22"/>
              </w:rPr>
            </w:pPr>
          </w:p>
          <w:p w14:paraId="74C97881" w14:textId="77777777" w:rsidR="00D67BF8" w:rsidRPr="00230F35" w:rsidRDefault="00B42501"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A23B4E">
              <w:rPr>
                <w:rFonts w:ascii="Arial" w:hAnsi="Arial" w:cs="Arial"/>
                <w:sz w:val="22"/>
                <w:szCs w:val="22"/>
              </w:rPr>
              <w:t xml:space="preserve"> 1 May 2025</w:t>
            </w:r>
          </w:p>
        </w:tc>
      </w:tr>
      <w:tr w:rsidR="00294A7A" w14:paraId="2475CB70" w14:textId="77777777" w:rsidTr="00A745B6">
        <w:trPr>
          <w:trHeight w:val="978"/>
        </w:trPr>
        <w:tc>
          <w:tcPr>
            <w:tcW w:w="8856" w:type="dxa"/>
            <w:gridSpan w:val="5"/>
            <w:tcBorders>
              <w:bottom w:val="single" w:sz="4" w:space="0" w:color="000000"/>
            </w:tcBorders>
          </w:tcPr>
          <w:p w14:paraId="39AC5CED" w14:textId="77777777" w:rsidR="00230F35" w:rsidRPr="00230F35" w:rsidRDefault="00000000" w:rsidP="00230F35">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sidRPr="00230F35">
              <w:rPr>
                <w:rFonts w:ascii="Arial" w:hAnsi="Arial" w:cs="Arial"/>
                <w:sz w:val="22"/>
                <w:szCs w:val="22"/>
              </w:rPr>
              <w:fldChar w:fldCharType="begin">
                <w:ffData>
                  <w:name w:val="Check13"/>
                  <w:enabled/>
                  <w:calcOnExit w:val="0"/>
                  <w:checkBox>
                    <w:sizeAuto/>
                    <w:default w:val="0"/>
                  </w:checkBox>
                </w:ffData>
              </w:fldChar>
            </w:r>
            <w:bookmarkStart w:id="0" w:name="Check13"/>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0"/>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1" w:name="Check14"/>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1"/>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2" w:name="Check15"/>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3" w:name="Check16"/>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7"/>
                  <w:enabled/>
                  <w:calcOnExit w:val="0"/>
                  <w:checkBox>
                    <w:sizeAuto/>
                    <w:default w:val="0"/>
                  </w:checkBox>
                </w:ffData>
              </w:fldChar>
            </w:r>
            <w:bookmarkStart w:id="4" w:name="Check17"/>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5" w:name="Check18"/>
            <w:r w:rsidRPr="00230F35">
              <w:rPr>
                <w:rFonts w:ascii="Arial" w:hAnsi="Arial" w:cs="Arial"/>
                <w:sz w:val="22"/>
                <w:szCs w:val="22"/>
              </w:rPr>
              <w:instrText xml:space="preserve"> FORMCHECKBOX </w:instrText>
            </w:r>
            <w:r w:rsidRPr="00230F35">
              <w:rPr>
                <w:rFonts w:ascii="Arial" w:hAnsi="Arial" w:cs="Arial"/>
                <w:sz w:val="22"/>
                <w:szCs w:val="22"/>
              </w:rPr>
            </w:r>
            <w:r w:rsidRPr="00230F35">
              <w:rPr>
                <w:rFonts w:ascii="Arial" w:hAnsi="Arial" w:cs="Arial"/>
                <w:sz w:val="22"/>
                <w:szCs w:val="22"/>
              </w:rPr>
              <w:fldChar w:fldCharType="separate"/>
            </w:r>
            <w:r w:rsidRPr="00230F35">
              <w:rPr>
                <w:rFonts w:ascii="Arial" w:hAnsi="Arial" w:cs="Arial"/>
                <w:sz w:val="22"/>
                <w:szCs w:val="22"/>
              </w:rPr>
              <w:fldChar w:fldCharType="end"/>
            </w:r>
            <w:bookmarkEnd w:id="5"/>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294A7A" w14:paraId="77D16251" w14:textId="77777777" w:rsidTr="00A745B6">
        <w:trPr>
          <w:trHeight w:val="978"/>
        </w:trPr>
        <w:tc>
          <w:tcPr>
            <w:tcW w:w="8856" w:type="dxa"/>
            <w:gridSpan w:val="5"/>
            <w:shd w:val="clear" w:color="auto" w:fill="D9D9D9"/>
          </w:tcPr>
          <w:p w14:paraId="560A4B46" w14:textId="77777777" w:rsidR="00901157" w:rsidRPr="00230F35"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3F6901F" w14:textId="77777777" w:rsidR="00901157" w:rsidRDefault="00000000" w:rsidP="002F467C">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A23B4E">
              <w:rPr>
                <w:rFonts w:ascii="Arial" w:hAnsi="Arial" w:cs="Arial"/>
                <w:sz w:val="22"/>
                <w:szCs w:val="22"/>
              </w:rPr>
              <w:t>FRANCESCA CABRAL</w:t>
            </w:r>
            <w:r w:rsidRPr="00230F35">
              <w:rPr>
                <w:rFonts w:ascii="Arial" w:hAnsi="Arial" w:cs="Arial"/>
                <w:sz w:val="22"/>
                <w:szCs w:val="22"/>
              </w:rPr>
              <w:t>………………………………………</w:t>
            </w:r>
            <w:r w:rsidR="00AE3217" w:rsidRPr="00230F35">
              <w:rPr>
                <w:rFonts w:ascii="Arial" w:hAnsi="Arial" w:cs="Arial"/>
                <w:sz w:val="22"/>
                <w:szCs w:val="22"/>
              </w:rPr>
              <w:t>………</w:t>
            </w:r>
          </w:p>
          <w:p w14:paraId="0503F159" w14:textId="77777777" w:rsidR="00B462B1" w:rsidRDefault="00000000" w:rsidP="00B462B1">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034E8F05" w14:textId="77777777" w:rsidR="00B462B1" w:rsidRPr="00230F35" w:rsidRDefault="00000000" w:rsidP="00B462B1">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294A7A" w14:paraId="7D3B6D38" w14:textId="77777777" w:rsidTr="00A745B6">
        <w:trPr>
          <w:trHeight w:val="3972"/>
        </w:trPr>
        <w:tc>
          <w:tcPr>
            <w:tcW w:w="8856" w:type="dxa"/>
            <w:gridSpan w:val="5"/>
          </w:tcPr>
          <w:p w14:paraId="36B5C3C7" w14:textId="77777777" w:rsidR="00A745B6" w:rsidRDefault="00A745B6" w:rsidP="00A745B6">
            <w:pPr>
              <w:rPr>
                <w:rFonts w:ascii="Arial" w:hAnsi="Arial"/>
                <w:b/>
              </w:rPr>
            </w:pPr>
          </w:p>
          <w:p w14:paraId="7624678E" w14:textId="77777777" w:rsidR="00A745B6" w:rsidRPr="00116CE6" w:rsidRDefault="00000000" w:rsidP="00A745B6">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294A7A" w14:paraId="3F802751" w14:textId="77777777" w:rsidTr="00022345">
              <w:tc>
                <w:tcPr>
                  <w:tcW w:w="6970" w:type="dxa"/>
                </w:tcPr>
                <w:p w14:paraId="6DA5B09D" w14:textId="77777777" w:rsidR="00A745B6" w:rsidRPr="00116CE6" w:rsidRDefault="00A745B6" w:rsidP="009C1A08">
                  <w:pPr>
                    <w:rPr>
                      <w:rFonts w:ascii="Arial" w:hAnsi="Arial"/>
                      <w:sz w:val="20"/>
                      <w:szCs w:val="20"/>
                    </w:rPr>
                  </w:pPr>
                </w:p>
                <w:p w14:paraId="087564F5" w14:textId="77777777" w:rsidR="00A745B6" w:rsidRPr="00116CE6" w:rsidRDefault="00000000" w:rsidP="009C1A08">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AAED077" w14:textId="77777777" w:rsidR="00A745B6" w:rsidRPr="00116CE6" w:rsidRDefault="00A745B6" w:rsidP="009C1A08">
                  <w:pPr>
                    <w:rPr>
                      <w:rFonts w:ascii="Arial" w:hAnsi="Arial"/>
                      <w:sz w:val="20"/>
                      <w:szCs w:val="20"/>
                    </w:rPr>
                  </w:pPr>
                </w:p>
              </w:tc>
            </w:tr>
            <w:tr w:rsidR="00294A7A" w14:paraId="777D5A6B" w14:textId="77777777" w:rsidTr="00022345">
              <w:tc>
                <w:tcPr>
                  <w:tcW w:w="6970" w:type="dxa"/>
                </w:tcPr>
                <w:p w14:paraId="32713035" w14:textId="77777777" w:rsidR="00A745B6" w:rsidRPr="00116CE6" w:rsidRDefault="00A745B6" w:rsidP="009C1A08">
                  <w:pPr>
                    <w:rPr>
                      <w:rFonts w:ascii="Arial" w:hAnsi="Arial"/>
                      <w:sz w:val="20"/>
                      <w:szCs w:val="20"/>
                    </w:rPr>
                  </w:pPr>
                </w:p>
                <w:p w14:paraId="3B533CAB" w14:textId="77777777" w:rsidR="00A745B6" w:rsidRPr="00116CE6" w:rsidRDefault="00000000" w:rsidP="009C1A08">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022345">
                    <w:rPr>
                      <w:rFonts w:ascii="Arial" w:hAnsi="Arial"/>
                      <w:sz w:val="20"/>
                      <w:szCs w:val="20"/>
                    </w:rPr>
                    <w:t>’s/Moderator’s</w:t>
                  </w:r>
                  <w:r w:rsidRPr="00116CE6">
                    <w:rPr>
                      <w:rFonts w:ascii="Arial" w:hAnsi="Arial"/>
                      <w:sz w:val="20"/>
                      <w:szCs w:val="20"/>
                    </w:rPr>
                    <w:t xml:space="preserve"> provisional mark</w:t>
                  </w:r>
                </w:p>
              </w:tc>
              <w:tc>
                <w:tcPr>
                  <w:tcW w:w="1660" w:type="dxa"/>
                </w:tcPr>
                <w:p w14:paraId="034B36AE" w14:textId="77777777" w:rsidR="00A745B6" w:rsidRPr="00116CE6" w:rsidRDefault="00A745B6" w:rsidP="009C1A08">
                  <w:pPr>
                    <w:rPr>
                      <w:rFonts w:ascii="Arial" w:hAnsi="Arial"/>
                      <w:sz w:val="20"/>
                      <w:szCs w:val="20"/>
                    </w:rPr>
                  </w:pPr>
                </w:p>
              </w:tc>
            </w:tr>
            <w:tr w:rsidR="00294A7A" w14:paraId="41940D44" w14:textId="77777777" w:rsidTr="00022345">
              <w:tc>
                <w:tcPr>
                  <w:tcW w:w="6970" w:type="dxa"/>
                </w:tcPr>
                <w:p w14:paraId="1F02B755" w14:textId="77777777" w:rsidR="00A745B6" w:rsidRPr="00116CE6" w:rsidRDefault="00A745B6" w:rsidP="009C1A08">
                  <w:pPr>
                    <w:rPr>
                      <w:rFonts w:ascii="Arial" w:hAnsi="Arial"/>
                      <w:sz w:val="20"/>
                      <w:szCs w:val="20"/>
                    </w:rPr>
                  </w:pPr>
                </w:p>
                <w:p w14:paraId="463FF70B" w14:textId="77777777" w:rsidR="00A745B6" w:rsidRPr="00116CE6" w:rsidRDefault="00000000" w:rsidP="009C1A08">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EF53F8F" w14:textId="77777777" w:rsidR="00A745B6" w:rsidRPr="00116CE6" w:rsidRDefault="00A745B6" w:rsidP="009C1A08">
                  <w:pPr>
                    <w:rPr>
                      <w:rFonts w:ascii="Arial" w:hAnsi="Arial"/>
                      <w:sz w:val="20"/>
                      <w:szCs w:val="20"/>
                    </w:rPr>
                  </w:pPr>
                </w:p>
              </w:tc>
            </w:tr>
            <w:tr w:rsidR="00294A7A" w14:paraId="54DCF0E0" w14:textId="77777777" w:rsidTr="00022345">
              <w:tc>
                <w:tcPr>
                  <w:tcW w:w="6970" w:type="dxa"/>
                </w:tcPr>
                <w:p w14:paraId="67CDCC02" w14:textId="77777777" w:rsidR="00A745B6" w:rsidRDefault="00A745B6" w:rsidP="009C1A08">
                  <w:pPr>
                    <w:rPr>
                      <w:rFonts w:ascii="Arial" w:hAnsi="Arial"/>
                      <w:sz w:val="20"/>
                      <w:szCs w:val="20"/>
                    </w:rPr>
                  </w:pPr>
                </w:p>
                <w:p w14:paraId="5D184E8D" w14:textId="77777777" w:rsidR="00A745B6" w:rsidRPr="00022345" w:rsidRDefault="00000000" w:rsidP="009C1A08">
                  <w:pPr>
                    <w:rPr>
                      <w:rFonts w:ascii="Arial" w:hAnsi="Arial"/>
                      <w:b/>
                      <w:sz w:val="20"/>
                      <w:szCs w:val="20"/>
                    </w:rPr>
                  </w:pPr>
                  <w:r w:rsidRPr="00022345">
                    <w:rPr>
                      <w:rFonts w:ascii="Arial" w:hAnsi="Arial"/>
                      <w:b/>
                      <w:sz w:val="20"/>
                      <w:szCs w:val="20"/>
                    </w:rPr>
                    <w:t>Final Mark</w:t>
                  </w:r>
                </w:p>
                <w:p w14:paraId="088A71A9" w14:textId="77777777" w:rsidR="00A745B6" w:rsidRPr="00116CE6" w:rsidRDefault="00A745B6" w:rsidP="009C1A08">
                  <w:pPr>
                    <w:rPr>
                      <w:rFonts w:ascii="Arial" w:hAnsi="Arial"/>
                      <w:sz w:val="20"/>
                      <w:szCs w:val="20"/>
                    </w:rPr>
                  </w:pPr>
                </w:p>
              </w:tc>
              <w:tc>
                <w:tcPr>
                  <w:tcW w:w="1660" w:type="dxa"/>
                </w:tcPr>
                <w:p w14:paraId="42370C3A" w14:textId="77777777" w:rsidR="00A745B6" w:rsidRPr="00116CE6" w:rsidRDefault="00A745B6" w:rsidP="009C1A08">
                  <w:pPr>
                    <w:rPr>
                      <w:rFonts w:ascii="Arial" w:hAnsi="Arial"/>
                      <w:sz w:val="20"/>
                      <w:szCs w:val="20"/>
                    </w:rPr>
                  </w:pPr>
                </w:p>
              </w:tc>
            </w:tr>
          </w:tbl>
          <w:p w14:paraId="3B11991E" w14:textId="77777777" w:rsidR="00022345" w:rsidRDefault="00022345" w:rsidP="00A745B6">
            <w:pPr>
              <w:pStyle w:val="NormalWeb"/>
              <w:spacing w:before="0" w:beforeAutospacing="0" w:after="0" w:afterAutospacing="0"/>
              <w:ind w:left="142" w:right="34"/>
              <w:rPr>
                <w:rFonts w:ascii="Arial" w:hAnsi="Arial" w:cs="Arial"/>
                <w:b/>
                <w:sz w:val="22"/>
                <w:szCs w:val="22"/>
              </w:rPr>
            </w:pPr>
          </w:p>
          <w:p w14:paraId="2D2BE246" w14:textId="77777777" w:rsidR="00A745B6" w:rsidRPr="00230F35" w:rsidRDefault="00000000" w:rsidP="00A745B6">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794711F" w14:textId="77777777" w:rsidR="00A745B6" w:rsidRDefault="00A745B6" w:rsidP="002F467C">
            <w:pPr>
              <w:pStyle w:val="NormalWeb"/>
              <w:spacing w:before="0" w:beforeAutospacing="0" w:after="0" w:afterAutospacing="0"/>
              <w:rPr>
                <w:rFonts w:ascii="Arial" w:hAnsi="Arial" w:cs="Arial"/>
                <w:b/>
                <w:sz w:val="22"/>
                <w:szCs w:val="22"/>
              </w:rPr>
            </w:pPr>
          </w:p>
          <w:p w14:paraId="64C475FF" w14:textId="77777777" w:rsidR="00B462B1" w:rsidRDefault="00B462B1" w:rsidP="002F467C">
            <w:pPr>
              <w:pStyle w:val="NormalWeb"/>
              <w:spacing w:before="0" w:beforeAutospacing="0" w:after="0" w:afterAutospacing="0"/>
              <w:rPr>
                <w:rFonts w:ascii="Arial" w:hAnsi="Arial" w:cs="Arial"/>
                <w:b/>
                <w:sz w:val="22"/>
                <w:szCs w:val="22"/>
              </w:rPr>
            </w:pPr>
          </w:p>
          <w:p w14:paraId="5FEF9944" w14:textId="77777777" w:rsidR="00B462B1" w:rsidRDefault="00B462B1" w:rsidP="002F467C">
            <w:pPr>
              <w:pStyle w:val="NormalWeb"/>
              <w:spacing w:before="0" w:beforeAutospacing="0" w:after="0" w:afterAutospacing="0"/>
              <w:rPr>
                <w:rFonts w:ascii="Arial" w:hAnsi="Arial" w:cs="Arial"/>
                <w:b/>
                <w:sz w:val="22"/>
                <w:szCs w:val="22"/>
              </w:rPr>
            </w:pPr>
          </w:p>
          <w:p w14:paraId="05D7B98C" w14:textId="77777777" w:rsidR="00B462B1" w:rsidRDefault="00B462B1" w:rsidP="002F467C">
            <w:pPr>
              <w:pStyle w:val="NormalWeb"/>
              <w:spacing w:before="0" w:beforeAutospacing="0" w:after="0" w:afterAutospacing="0"/>
              <w:rPr>
                <w:rFonts w:ascii="Arial" w:hAnsi="Arial" w:cs="Arial"/>
                <w:b/>
                <w:sz w:val="22"/>
                <w:szCs w:val="22"/>
              </w:rPr>
            </w:pPr>
          </w:p>
          <w:p w14:paraId="3FF5DC4B" w14:textId="77777777" w:rsidR="00B462B1" w:rsidRDefault="00B462B1" w:rsidP="002F467C">
            <w:pPr>
              <w:pStyle w:val="NormalWeb"/>
              <w:spacing w:before="0" w:beforeAutospacing="0" w:after="0" w:afterAutospacing="0"/>
              <w:rPr>
                <w:rFonts w:ascii="Arial" w:hAnsi="Arial" w:cs="Arial"/>
                <w:b/>
                <w:sz w:val="22"/>
                <w:szCs w:val="22"/>
              </w:rPr>
            </w:pPr>
          </w:p>
          <w:p w14:paraId="5610F812" w14:textId="77777777" w:rsidR="00590E9A" w:rsidRPr="00230F35" w:rsidRDefault="00E67719" w:rsidP="002F467C">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00000000" w:rsidRPr="00230F35">
              <w:rPr>
                <w:rFonts w:ascii="Arial" w:hAnsi="Arial" w:cs="Arial"/>
                <w:b/>
                <w:sz w:val="22"/>
                <w:szCs w:val="22"/>
              </w:rPr>
              <w:t>arker</w:t>
            </w:r>
            <w:r w:rsidR="00D67BF8" w:rsidRPr="00230F35">
              <w:rPr>
                <w:rFonts w:ascii="Arial" w:hAnsi="Arial" w:cs="Arial"/>
                <w:b/>
                <w:sz w:val="22"/>
                <w:szCs w:val="22"/>
              </w:rPr>
              <w:t xml:space="preserve"> </w:t>
            </w:r>
            <w:proofErr w:type="gramStart"/>
            <w:r w:rsidR="00D67BF8" w:rsidRPr="00230F35">
              <w:rPr>
                <w:rFonts w:ascii="Arial" w:hAnsi="Arial" w:cs="Arial"/>
                <w:b/>
                <w:sz w:val="22"/>
                <w:szCs w:val="22"/>
              </w:rPr>
              <w:t xml:space="preserve">1 </w:t>
            </w:r>
            <w:r w:rsidR="00000000" w:rsidRPr="00230F35">
              <w:rPr>
                <w:rFonts w:ascii="Arial" w:hAnsi="Arial" w:cs="Arial"/>
                <w:b/>
                <w:sz w:val="22"/>
                <w:szCs w:val="22"/>
              </w:rPr>
              <w:t>:</w:t>
            </w:r>
            <w:proofErr w:type="gramEnd"/>
          </w:p>
          <w:p w14:paraId="6409A7AC" w14:textId="77777777" w:rsidR="00230F35" w:rsidRDefault="00590E9A" w:rsidP="00043549">
            <w:pPr>
              <w:pStyle w:val="NormalWeb"/>
              <w:rPr>
                <w:rFonts w:ascii="Arial" w:hAnsi="Arial" w:cs="Arial"/>
                <w:sz w:val="22"/>
                <w:szCs w:val="22"/>
              </w:rPr>
            </w:pPr>
            <w:r w:rsidRPr="00230F35">
              <w:rPr>
                <w:rFonts w:ascii="Arial" w:hAnsi="Arial" w:cs="Arial"/>
                <w:sz w:val="22"/>
                <w:szCs w:val="22"/>
              </w:rPr>
              <w:t>Comments</w:t>
            </w:r>
            <w:r w:rsidR="00001C3B">
              <w:rPr>
                <w:rFonts w:ascii="Arial" w:hAnsi="Arial" w:cs="Arial"/>
                <w:sz w:val="22"/>
                <w:szCs w:val="22"/>
              </w:rPr>
              <w:t>:</w:t>
            </w:r>
          </w:p>
          <w:p w14:paraId="61726938" w14:textId="77777777" w:rsidR="00B56E7B" w:rsidRPr="00001C3B" w:rsidRDefault="00B56E7B" w:rsidP="00043549">
            <w:pPr>
              <w:pStyle w:val="NormalWeb"/>
              <w:rPr>
                <w:rFonts w:ascii="Arial" w:hAnsi="Arial" w:cs="Arial"/>
                <w:sz w:val="22"/>
                <w:szCs w:val="22"/>
              </w:rPr>
            </w:pPr>
          </w:p>
        </w:tc>
      </w:tr>
      <w:tr w:rsidR="00294A7A" w14:paraId="5B81DEC3" w14:textId="77777777" w:rsidTr="00A745B6">
        <w:trPr>
          <w:trHeight w:val="492"/>
        </w:trPr>
        <w:tc>
          <w:tcPr>
            <w:tcW w:w="6768" w:type="dxa"/>
            <w:gridSpan w:val="3"/>
          </w:tcPr>
          <w:p w14:paraId="6BDA026A" w14:textId="77777777" w:rsidR="00230F35" w:rsidRPr="00230F35" w:rsidRDefault="00E3766D" w:rsidP="00230F35">
            <w:pPr>
              <w:pStyle w:val="NormalWeb"/>
              <w:ind w:left="142" w:right="34"/>
              <w:rPr>
                <w:rFonts w:ascii="Arial" w:hAnsi="Arial" w:cs="Arial"/>
                <w:sz w:val="22"/>
                <w:szCs w:val="22"/>
              </w:rPr>
            </w:pPr>
            <w:r w:rsidRPr="00230F35">
              <w:rPr>
                <w:rFonts w:ascii="Arial" w:hAnsi="Arial" w:cs="Arial"/>
                <w:sz w:val="22"/>
                <w:szCs w:val="22"/>
              </w:rPr>
              <w:lastRenderedPageBreak/>
              <w:t>M</w:t>
            </w:r>
            <w:r w:rsidR="00EC7546" w:rsidRPr="00230F35">
              <w:rPr>
                <w:rFonts w:ascii="Arial" w:hAnsi="Arial" w:cs="Arial"/>
                <w:sz w:val="22"/>
                <w:szCs w:val="22"/>
              </w:rPr>
              <w:t>arker</w:t>
            </w:r>
            <w:r w:rsidR="00CE3B79" w:rsidRPr="00230F35">
              <w:rPr>
                <w:rFonts w:ascii="Arial" w:hAnsi="Arial" w:cs="Arial"/>
                <w:sz w:val="22"/>
                <w:szCs w:val="22"/>
              </w:rPr>
              <w:t xml:space="preserve">’s </w:t>
            </w:r>
            <w:r w:rsidR="00EC7546" w:rsidRPr="00230F35">
              <w:rPr>
                <w:rFonts w:ascii="Arial" w:hAnsi="Arial" w:cs="Arial"/>
                <w:sz w:val="22"/>
                <w:szCs w:val="22"/>
              </w:rPr>
              <w:t>signatur</w:t>
            </w:r>
            <w:r w:rsidR="00000000">
              <w:rPr>
                <w:rFonts w:ascii="Arial" w:hAnsi="Arial" w:cs="Arial"/>
                <w:sz w:val="22"/>
                <w:szCs w:val="22"/>
              </w:rPr>
              <w:t>e:</w:t>
            </w:r>
          </w:p>
        </w:tc>
        <w:tc>
          <w:tcPr>
            <w:tcW w:w="2088" w:type="dxa"/>
            <w:gridSpan w:val="2"/>
          </w:tcPr>
          <w:p w14:paraId="259B8D21" w14:textId="77777777" w:rsidR="00EC7546" w:rsidRPr="00230F35" w:rsidRDefault="0065654E" w:rsidP="002F467C">
            <w:pPr>
              <w:pStyle w:val="NormalWeb"/>
              <w:spacing w:after="0"/>
              <w:ind w:left="142" w:right="34"/>
              <w:rPr>
                <w:rFonts w:ascii="Arial" w:hAnsi="Arial" w:cs="Arial"/>
                <w:sz w:val="22"/>
                <w:szCs w:val="22"/>
              </w:rPr>
            </w:pPr>
            <w:r w:rsidRPr="00230F35">
              <w:rPr>
                <w:rFonts w:ascii="Arial" w:hAnsi="Arial" w:cs="Arial"/>
                <w:sz w:val="22"/>
                <w:szCs w:val="22"/>
              </w:rPr>
              <w:t>D</w:t>
            </w:r>
            <w:r w:rsidR="00000000" w:rsidRPr="00230F35">
              <w:rPr>
                <w:rFonts w:ascii="Arial" w:hAnsi="Arial" w:cs="Arial"/>
                <w:sz w:val="22"/>
                <w:szCs w:val="22"/>
              </w:rPr>
              <w:t>ate</w:t>
            </w:r>
            <w:r w:rsidRPr="00230F35">
              <w:rPr>
                <w:rFonts w:ascii="Arial" w:hAnsi="Arial" w:cs="Arial"/>
                <w:sz w:val="22"/>
                <w:szCs w:val="22"/>
              </w:rPr>
              <w:t>:</w:t>
            </w:r>
          </w:p>
        </w:tc>
      </w:tr>
      <w:tr w:rsidR="00294A7A" w14:paraId="49E8FF64" w14:textId="77777777" w:rsidTr="002F467C">
        <w:tc>
          <w:tcPr>
            <w:tcW w:w="8856" w:type="dxa"/>
            <w:gridSpan w:val="5"/>
          </w:tcPr>
          <w:p w14:paraId="204BCC63" w14:textId="77777777" w:rsidR="00D67BF8" w:rsidRPr="00230F35" w:rsidRDefault="00D67BF8" w:rsidP="002F467C">
            <w:pPr>
              <w:pStyle w:val="NormalWeb"/>
              <w:spacing w:before="0" w:beforeAutospacing="0" w:after="0" w:afterAutospacing="0"/>
              <w:ind w:right="-334"/>
              <w:rPr>
                <w:rFonts w:ascii="Arial" w:hAnsi="Arial" w:cs="Arial"/>
                <w:bCs/>
                <w:i/>
                <w:sz w:val="22"/>
                <w:szCs w:val="22"/>
              </w:rPr>
            </w:pPr>
          </w:p>
          <w:p w14:paraId="16ECBADF" w14:textId="77777777" w:rsidR="00D67BF8" w:rsidRPr="00230F35" w:rsidRDefault="00E67719" w:rsidP="002F467C">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00000000" w:rsidRPr="00230F35">
              <w:rPr>
                <w:rFonts w:ascii="Arial" w:hAnsi="Arial" w:cs="Arial"/>
                <w:b/>
                <w:bCs/>
                <w:sz w:val="22"/>
                <w:szCs w:val="22"/>
              </w:rPr>
              <w:t>arker 2</w:t>
            </w:r>
            <w:r>
              <w:rPr>
                <w:rFonts w:ascii="Arial" w:hAnsi="Arial" w:cs="Arial"/>
                <w:b/>
                <w:bCs/>
                <w:sz w:val="22"/>
                <w:szCs w:val="22"/>
              </w:rPr>
              <w:t>/M</w:t>
            </w:r>
            <w:r w:rsidR="00230F35" w:rsidRPr="00230F35">
              <w:rPr>
                <w:rFonts w:ascii="Arial" w:hAnsi="Arial" w:cs="Arial"/>
                <w:b/>
                <w:bCs/>
                <w:sz w:val="22"/>
                <w:szCs w:val="22"/>
              </w:rPr>
              <w:t>oderator</w:t>
            </w:r>
            <w:r w:rsidR="00000000" w:rsidRPr="00230F35">
              <w:rPr>
                <w:rFonts w:ascii="Arial" w:hAnsi="Arial" w:cs="Arial"/>
                <w:b/>
                <w:bCs/>
                <w:sz w:val="22"/>
                <w:szCs w:val="22"/>
              </w:rPr>
              <w:t>:</w:t>
            </w:r>
          </w:p>
          <w:p w14:paraId="12C9CCBD" w14:textId="77777777" w:rsidR="00D67BF8" w:rsidRPr="00230F35" w:rsidRDefault="00D67BF8" w:rsidP="002F467C">
            <w:pPr>
              <w:pStyle w:val="NormalWeb"/>
              <w:spacing w:before="0" w:beforeAutospacing="0" w:after="0" w:afterAutospacing="0"/>
              <w:ind w:right="-334"/>
              <w:rPr>
                <w:rFonts w:ascii="Arial" w:hAnsi="Arial" w:cs="Arial"/>
                <w:b/>
                <w:bCs/>
                <w:sz w:val="22"/>
                <w:szCs w:val="22"/>
              </w:rPr>
            </w:pPr>
          </w:p>
          <w:p w14:paraId="62C02C53" w14:textId="77777777" w:rsidR="00D67BF8" w:rsidRPr="00230F35" w:rsidRDefault="00000000"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017158CD"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468727B"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5FCD9DC"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303EB7F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71257AC4"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5E395D5"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46F7E41F"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2EF747A3"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5F8411E7" w14:textId="77777777" w:rsidR="00D67BF8" w:rsidRDefault="00D67BF8" w:rsidP="002F467C">
            <w:pPr>
              <w:pStyle w:val="NormalWeb"/>
              <w:spacing w:before="0" w:beforeAutospacing="0" w:after="0" w:afterAutospacing="0"/>
              <w:ind w:right="-334"/>
              <w:rPr>
                <w:rFonts w:ascii="Arial" w:hAnsi="Arial" w:cs="Arial"/>
                <w:bCs/>
                <w:sz w:val="22"/>
                <w:szCs w:val="22"/>
              </w:rPr>
            </w:pPr>
          </w:p>
          <w:p w14:paraId="68AFB504"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37C03C16"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p w14:paraId="64CDE577" w14:textId="77777777" w:rsidR="00D67BF8" w:rsidRPr="00230F35" w:rsidRDefault="00D67BF8" w:rsidP="002F467C">
            <w:pPr>
              <w:pStyle w:val="NormalWeb"/>
              <w:spacing w:before="0" w:beforeAutospacing="0" w:after="0" w:afterAutospacing="0"/>
              <w:ind w:right="-334"/>
              <w:rPr>
                <w:rFonts w:ascii="Arial" w:hAnsi="Arial" w:cs="Arial"/>
                <w:bCs/>
                <w:sz w:val="22"/>
                <w:szCs w:val="22"/>
              </w:rPr>
            </w:pPr>
          </w:p>
        </w:tc>
      </w:tr>
      <w:tr w:rsidR="00294A7A" w14:paraId="2038A0B6" w14:textId="77777777" w:rsidTr="008D674F">
        <w:trPr>
          <w:trHeight w:val="720"/>
        </w:trPr>
        <w:tc>
          <w:tcPr>
            <w:tcW w:w="5211" w:type="dxa"/>
            <w:gridSpan w:val="2"/>
          </w:tcPr>
          <w:p w14:paraId="0A9A6E28" w14:textId="77777777" w:rsidR="00B56E7B" w:rsidRPr="00230F35" w:rsidRDefault="00D67BF8"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sidR="00000000">
              <w:rPr>
                <w:rFonts w:ascii="Arial" w:hAnsi="Arial" w:cs="Arial"/>
                <w:bCs/>
                <w:sz w:val="22"/>
                <w:szCs w:val="22"/>
              </w:rPr>
              <w:t>:</w:t>
            </w:r>
          </w:p>
        </w:tc>
        <w:tc>
          <w:tcPr>
            <w:tcW w:w="3645" w:type="dxa"/>
            <w:gridSpan w:val="3"/>
          </w:tcPr>
          <w:p w14:paraId="6180AB4D" w14:textId="77777777" w:rsidR="00D67BF8" w:rsidRPr="00230F35" w:rsidRDefault="00000000" w:rsidP="002F467C">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294A7A" w14:paraId="5C0EF4FD" w14:textId="77777777" w:rsidTr="009C1A08">
        <w:trPr>
          <w:trHeight w:val="720"/>
        </w:trPr>
        <w:tc>
          <w:tcPr>
            <w:tcW w:w="8856" w:type="dxa"/>
            <w:gridSpan w:val="5"/>
          </w:tcPr>
          <w:p w14:paraId="377A23A2" w14:textId="77777777" w:rsidR="00230F35" w:rsidRPr="00B34964" w:rsidRDefault="00000000" w:rsidP="00230F35">
            <w:pPr>
              <w:rPr>
                <w:rFonts w:ascii="Arial" w:hAnsi="Arial" w:cs="Arial"/>
                <w:b/>
                <w:sz w:val="22"/>
                <w:szCs w:val="22"/>
              </w:rPr>
            </w:pPr>
            <w:r w:rsidRPr="00B34964">
              <w:rPr>
                <w:rFonts w:ascii="Arial" w:hAnsi="Arial" w:cs="Arial"/>
                <w:b/>
                <w:sz w:val="22"/>
                <w:szCs w:val="22"/>
              </w:rPr>
              <w:t>External Examiner’s comments (if relevant)</w:t>
            </w:r>
          </w:p>
          <w:p w14:paraId="63B5DC8F"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52DB4A9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1C876B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280173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47084C30"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45F9CCA"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030EB293"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65E565ED"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p w14:paraId="2C841B9A" w14:textId="77777777" w:rsidR="00230F35" w:rsidRDefault="00230F35" w:rsidP="002F467C">
            <w:pPr>
              <w:pStyle w:val="NormalWeb"/>
              <w:spacing w:before="0" w:beforeAutospacing="0" w:after="0" w:afterAutospacing="0"/>
              <w:ind w:right="-334"/>
              <w:rPr>
                <w:rFonts w:ascii="Arial" w:hAnsi="Arial" w:cs="Arial"/>
                <w:bCs/>
                <w:sz w:val="22"/>
                <w:szCs w:val="22"/>
              </w:rPr>
            </w:pPr>
          </w:p>
          <w:p w14:paraId="6323C001" w14:textId="77777777" w:rsidR="00B56E7B" w:rsidRPr="00230F35" w:rsidRDefault="00B56E7B" w:rsidP="002F467C">
            <w:pPr>
              <w:pStyle w:val="NormalWeb"/>
              <w:spacing w:before="0" w:beforeAutospacing="0" w:after="0" w:afterAutospacing="0"/>
              <w:ind w:right="-334"/>
              <w:rPr>
                <w:rFonts w:ascii="Arial" w:hAnsi="Arial" w:cs="Arial"/>
                <w:bCs/>
                <w:sz w:val="22"/>
                <w:szCs w:val="22"/>
              </w:rPr>
            </w:pPr>
          </w:p>
          <w:p w14:paraId="6D89D721" w14:textId="77777777" w:rsidR="00230F35" w:rsidRPr="00230F35" w:rsidRDefault="00230F35" w:rsidP="002F467C">
            <w:pPr>
              <w:pStyle w:val="NormalWeb"/>
              <w:spacing w:before="0" w:beforeAutospacing="0" w:after="0" w:afterAutospacing="0"/>
              <w:ind w:right="-334"/>
              <w:rPr>
                <w:rFonts w:ascii="Arial" w:hAnsi="Arial" w:cs="Arial"/>
                <w:bCs/>
                <w:sz w:val="22"/>
                <w:szCs w:val="22"/>
              </w:rPr>
            </w:pPr>
          </w:p>
        </w:tc>
      </w:tr>
      <w:tr w:rsidR="00294A7A" w14:paraId="66E09410" w14:textId="77777777" w:rsidTr="00230F35">
        <w:trPr>
          <w:trHeight w:val="720"/>
        </w:trPr>
        <w:tc>
          <w:tcPr>
            <w:tcW w:w="5211" w:type="dxa"/>
            <w:gridSpan w:val="2"/>
          </w:tcPr>
          <w:p w14:paraId="44D96C3F" w14:textId="77777777" w:rsidR="00230F35" w:rsidRPr="00230F35" w:rsidRDefault="00000000" w:rsidP="00230F35">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641A7AA9" w14:textId="77777777" w:rsidR="00230F35" w:rsidRPr="00230F35" w:rsidRDefault="00000000" w:rsidP="00230F35">
            <w:pPr>
              <w:rPr>
                <w:rFonts w:ascii="Arial" w:hAnsi="Arial" w:cs="Arial"/>
                <w:sz w:val="22"/>
                <w:szCs w:val="22"/>
              </w:rPr>
            </w:pPr>
            <w:r w:rsidRPr="00230F35">
              <w:rPr>
                <w:rFonts w:ascii="Arial" w:hAnsi="Arial" w:cs="Arial"/>
                <w:sz w:val="22"/>
                <w:szCs w:val="22"/>
              </w:rPr>
              <w:t>Date:</w:t>
            </w:r>
          </w:p>
        </w:tc>
      </w:tr>
    </w:tbl>
    <w:p w14:paraId="509D0E84" w14:textId="77777777" w:rsidR="00EC7546" w:rsidRPr="00D67BF8" w:rsidRDefault="00EC7546" w:rsidP="00FA07E9">
      <w:pPr>
        <w:pStyle w:val="NormalWeb"/>
        <w:spacing w:before="0" w:beforeAutospacing="0" w:after="0" w:afterAutospacing="0"/>
        <w:ind w:right="-334"/>
        <w:rPr>
          <w:rFonts w:ascii="Trebuchet MS" w:hAnsi="Trebuchet MS" w:cs="Tahoma"/>
          <w:bCs/>
          <w:sz w:val="24"/>
          <w:szCs w:val="24"/>
        </w:rPr>
        <w:sectPr w:rsidR="00EC7546" w:rsidRPr="00D67BF8" w:rsidSect="00B462B1">
          <w:footerReference w:type="default" r:id="rId9"/>
          <w:pgSz w:w="12240" w:h="15840"/>
          <w:pgMar w:top="567" w:right="1797" w:bottom="567" w:left="1797" w:header="567" w:footer="720" w:gutter="0"/>
          <w:pgNumType w:start="1"/>
          <w:cols w:space="720"/>
        </w:sectPr>
      </w:pPr>
    </w:p>
    <w:p w14:paraId="3442BC97" w14:textId="77777777" w:rsidR="00413AE9" w:rsidRPr="00380447" w:rsidRDefault="00000000" w:rsidP="00413AE9">
      <w:pPr>
        <w:spacing w:after="80"/>
        <w:contextualSpacing/>
        <w:rPr>
          <w:rFonts w:eastAsia="Times New Roman"/>
          <w:spacing w:val="-10"/>
          <w:kern w:val="28"/>
          <w:sz w:val="56"/>
          <w:szCs w:val="56"/>
          <w:lang w:val="" w:eastAsia="en-US"/>
        </w:rPr>
      </w:pPr>
      <w:r w:rsidRPr="00380447">
        <w:rPr>
          <w:rFonts w:eastAsiaTheme="majorEastAsia"/>
          <w:spacing w:val="-10"/>
          <w:kern w:val="28"/>
          <w:sz w:val="56"/>
          <w:szCs w:val="56"/>
          <w:lang w:val="" w:eastAsia="en-US"/>
        </w:rPr>
        <w:lastRenderedPageBreak/>
        <w:t>Research Project in Contemporary Cosmology</w:t>
      </w:r>
    </w:p>
    <w:p w14:paraId="7F49B023" w14:textId="77777777" w:rsidR="00037741" w:rsidRPr="00380447" w:rsidRDefault="00000000" w:rsidP="00037741">
      <w:pPr>
        <w:pStyle w:val="Heading1"/>
        <w:keepLines/>
        <w:spacing w:before="360" w:after="80" w:line="278" w:lineRule="auto"/>
        <w:rPr>
          <w:rFonts w:ascii="Times New Roman" w:eastAsia="Times New Roman" w:hAnsi="Times New Roman" w:cs="Times New Roman"/>
          <w:b w:val="0"/>
          <w:bCs w:val="0"/>
          <w:kern w:val="2"/>
          <w:sz w:val="40"/>
          <w:szCs w:val="40"/>
          <w:lang w:val="" w:eastAsia="en-US"/>
        </w:rPr>
      </w:pPr>
      <w:r w:rsidRPr="00380447">
        <w:rPr>
          <w:rFonts w:ascii="Times New Roman" w:eastAsiaTheme="majorEastAsia" w:hAnsi="Times New Roman" w:cs="Times New Roman"/>
          <w:b w:val="0"/>
          <w:bCs w:val="0"/>
          <w:kern w:val="2"/>
          <w:sz w:val="40"/>
          <w:szCs w:val="40"/>
          <w:lang w:val="" w:eastAsia="en-US"/>
        </w:rPr>
        <w:t>Introduction</w:t>
      </w:r>
    </w:p>
    <w:p w14:paraId="48F73343"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Across many Indigenous African contexts, traditional health practitioners serve as custodians of knowledge that links healing, land, and spiritual obligation. In Zambia, their cosmological worldviews are often generative systems that shape ethical engagement with the environment. Yet in both academic and policy literature, such cosmologies are often acknowledged only in symbolic terms or when their practices align with sustainability goals. Their status as epistemological frameworks — capable of producing theory, critique, and ethical reasoning — remains largely unexamined.</w:t>
      </w:r>
    </w:p>
    <w:p w14:paraId="4E76779E"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 xml:space="preserve">This research addresses that oversight by asking </w:t>
      </w:r>
      <w:bookmarkStart w:id="6" w:name="_Hlk197089612"/>
      <w:r w:rsidRPr="00380447">
        <w:rPr>
          <w:rFonts w:eastAsia="Aptos"/>
          <w:kern w:val="2"/>
          <w:lang w:val="" w:eastAsia="en-US"/>
        </w:rPr>
        <w:t xml:space="preserve">how cosmological worldviews inform environmental understandings among traditional healers </w:t>
      </w:r>
      <w:bookmarkEnd w:id="6"/>
      <w:r w:rsidRPr="00380447">
        <w:rPr>
          <w:rFonts w:eastAsia="Aptos"/>
          <w:kern w:val="2"/>
          <w:lang w:val="" w:eastAsia="en-US"/>
        </w:rPr>
        <w:t>affiliated with the Traditional Health Practitioners Association of Zambia (THPAZ), focusing specifically on those based in Lusaka Province. This study contributes to ongoing conversations in spiritual ecology and Indigenous knowledge (IK) studies but takes a decolonial and Afrocentric approach: which interprets cosmology as theory. Grounded in qualitative research methods, the project centres practitioner narratives to explore how land, spirit, and obligation are conceptualised, and the ecological implications in the Zambian landscape.</w:t>
      </w:r>
    </w:p>
    <w:p w14:paraId="31D7BFEA"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In doing so, the research responds to both academic and real-world imperatives: to reframe who counts as a theorist, and to foreground knowledge systems that have long shaped environmental responsibility outside dominant paradigms. The paper proceeds by reviewing relevant literature on cosmology, epistemology, and ecological thought; outlining a decolonial methodological framework; analysing findings from field engagement; and concluding with implications for environmental humanities and epistemic justice.</w:t>
      </w:r>
    </w:p>
    <w:p w14:paraId="3CEA53D7" w14:textId="77777777" w:rsidR="00037741" w:rsidRPr="00380447" w:rsidRDefault="00000000" w:rsidP="00037741">
      <w:pPr>
        <w:pStyle w:val="Heading1"/>
        <w:keepLines/>
        <w:spacing w:before="360" w:after="80" w:line="278" w:lineRule="auto"/>
        <w:rPr>
          <w:rFonts w:ascii="Times New Roman" w:eastAsia="Times New Roman" w:hAnsi="Times New Roman" w:cs="Times New Roman"/>
          <w:b w:val="0"/>
          <w:bCs w:val="0"/>
          <w:kern w:val="2"/>
          <w:sz w:val="40"/>
          <w:szCs w:val="40"/>
          <w:lang w:val="" w:eastAsia="en-US"/>
        </w:rPr>
      </w:pPr>
      <w:r w:rsidRPr="00380447">
        <w:rPr>
          <w:rFonts w:ascii="Times New Roman" w:eastAsiaTheme="majorEastAsia" w:hAnsi="Times New Roman" w:cs="Times New Roman"/>
          <w:b w:val="0"/>
          <w:bCs w:val="0"/>
          <w:kern w:val="2"/>
          <w:sz w:val="40"/>
          <w:szCs w:val="40"/>
          <w:lang w:val="" w:eastAsia="en-US"/>
        </w:rPr>
        <w:t>Literature Review</w:t>
      </w:r>
    </w:p>
    <w:p w14:paraId="049F4529"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Ecological scholarship frequently references IK systems in ways that dilute their ontological integrity. Practices are acknowledged, but the cosmologies that underpin them are sidelined or reformulated to fit technocratic models. Across much of the environmental governance and development literature for example, IK is presented only as a repository of strategies that enhance policy outcomes. Chanza and de Wit, for example, argue for greater inclusion of IK in climate governance across southern Africa, but their focus remains on its instrumental value — as a mechanism for decentralised governance, increased resilience, and adaptive capacity.</w:t>
      </w:r>
      <w:r w:rsidRPr="00380447">
        <w:rPr>
          <w:rFonts w:eastAsia="Aptos"/>
          <w:kern w:val="2"/>
          <w:vertAlign w:val="superscript"/>
          <w:lang w:val="" w:eastAsia="en-US"/>
        </w:rPr>
        <w:footnoteReference w:id="1"/>
      </w:r>
      <w:r w:rsidRPr="00380447">
        <w:rPr>
          <w:rFonts w:eastAsia="Aptos"/>
          <w:kern w:val="2"/>
          <w:lang w:val="" w:eastAsia="en-US"/>
        </w:rPr>
        <w:t xml:space="preserve"> While they call for participatory methods, the epistemological foundations of the </w:t>
      </w:r>
      <w:r w:rsidRPr="00380447">
        <w:rPr>
          <w:rFonts w:eastAsia="Aptos"/>
          <w:kern w:val="2"/>
          <w:lang w:val="" w:eastAsia="en-US"/>
        </w:rPr>
        <w:lastRenderedPageBreak/>
        <w:t>knowledge they reference are never engaged; cosmology is eclipsed by functionality. Similarly, Donda and Manyungwa-Pasani document the utility of traditional fisheries knowledge in Malawi as a contribution to co-management strategies and conservation efficiency, but reduce this knowledge to a toolkit of practices, largely ignoring the spiritual, ethical, and ancestral dimensions that shape its meaning within local worldviews.</w:t>
      </w:r>
      <w:r w:rsidRPr="00380447">
        <w:rPr>
          <w:rFonts w:eastAsia="Aptos"/>
          <w:kern w:val="2"/>
          <w:vertAlign w:val="superscript"/>
          <w:lang w:val="" w:eastAsia="en-US"/>
        </w:rPr>
        <w:footnoteReference w:id="2"/>
      </w:r>
      <w:r w:rsidRPr="00380447">
        <w:rPr>
          <w:rFonts w:eastAsia="Aptos"/>
          <w:kern w:val="2"/>
          <w:lang w:val="" w:eastAsia="en-US"/>
        </w:rPr>
        <w:t xml:space="preserve"> These examples typify a broader tendency across ecological discourse, where IK is included only to the extent that it serves the goals of sustainable development, biodiversity management, or resilience building — stripped of its cosmological coherence and refashioned to fit the parameters of state and donor frameworks.</w:t>
      </w:r>
    </w:p>
    <w:p w14:paraId="6D2CF881"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The few who attempt to centre cosmology tend to do so abstractly, often leaving unexamined the structural conditions that govern what counts as theory and who counts as a theorist. Nicholas Campion’s work sits at this intersection: while writing from within Western intellectual traditions, he offers a framework for naming what remains largely unacknowledged in academic discourse — that all knowledge systems, including Western science, are grounded in cosmologies. His categories — “cosmovision, cosmophilia, and cosmophobia” — provide a language for analysing the metaphysical architecture of worldviews as well as their affective and ethical dimensions.</w:t>
      </w:r>
      <w:r w:rsidRPr="00380447">
        <w:rPr>
          <w:rFonts w:eastAsia="Aptos"/>
          <w:kern w:val="2"/>
          <w:vertAlign w:val="superscript"/>
          <w:lang w:val="" w:eastAsia="en-US"/>
        </w:rPr>
        <w:footnoteReference w:id="3"/>
      </w:r>
      <w:r w:rsidRPr="00380447">
        <w:rPr>
          <w:rFonts w:eastAsia="Aptos"/>
          <w:kern w:val="2"/>
          <w:lang w:val="" w:eastAsia="en-US"/>
        </w:rPr>
        <w:t xml:space="preserve"> In his discussion of medieval Christian cosmology, for instance, Campion illustrates how belief in a divinely ordered universe structured ethical hierarchies and political legitimacy — situating individuals within a moral relationship to celestial authority.</w:t>
      </w:r>
      <w:r w:rsidRPr="00380447">
        <w:rPr>
          <w:rFonts w:eastAsia="Aptos"/>
          <w:kern w:val="2"/>
          <w:vertAlign w:val="superscript"/>
          <w:lang w:val="" w:eastAsia="en-US"/>
        </w:rPr>
        <w:footnoteReference w:id="4"/>
      </w:r>
      <w:r w:rsidRPr="00380447">
        <w:rPr>
          <w:rFonts w:eastAsia="Aptos"/>
          <w:kern w:val="2"/>
          <w:lang w:val="" w:eastAsia="en-US"/>
        </w:rPr>
        <w:t xml:space="preserve"> This vocabulary is crucial for articulating the often-overlooked textures of reverence, fear, and intimacy that shape how communities engage the cosmos. In contexts such as traditional healing in southern Africa, such terms help make visible the relationality and obligation that structure engagements with land, spirit, and ancestry — orientations too often misread as cultural residue rather than epistemological form. Campion’s further contribution lies in exposing how certain cosmologies are naturalised as universal, while others are hypervisibilised as belief.</w:t>
      </w:r>
      <w:r w:rsidRPr="00380447">
        <w:rPr>
          <w:rFonts w:eastAsia="Aptos"/>
          <w:kern w:val="2"/>
          <w:vertAlign w:val="superscript"/>
          <w:lang w:val="" w:eastAsia="en-US"/>
        </w:rPr>
        <w:footnoteReference w:id="5"/>
      </w:r>
      <w:r w:rsidRPr="00380447">
        <w:rPr>
          <w:rFonts w:eastAsia="Aptos"/>
          <w:kern w:val="2"/>
          <w:lang w:val="" w:eastAsia="en-US"/>
        </w:rPr>
        <w:t xml:space="preserve"> He presents an exploration of what modern scientific cosmology and the ways it constructs models of understanding across a variety of fields including psychology politics, and the arts.</w:t>
      </w:r>
      <w:r w:rsidRPr="00380447">
        <w:rPr>
          <w:rFonts w:eastAsia="Aptos"/>
          <w:kern w:val="2"/>
          <w:vertAlign w:val="superscript"/>
          <w:lang w:val="" w:eastAsia="en-US"/>
        </w:rPr>
        <w:footnoteReference w:id="6"/>
      </w:r>
      <w:r w:rsidRPr="00380447">
        <w:rPr>
          <w:rFonts w:eastAsia="Aptos"/>
          <w:kern w:val="2"/>
          <w:lang w:val="" w:eastAsia="en-US"/>
        </w:rPr>
        <w:t xml:space="preserve"> Reflection on his work illuminates how academic and intellectual institutions grant epistemic authority to worldviews embedded in Euro-American scientific rationalism — embedding them in curricula, methodologies, and research norms — while rendering African cosmologies visible only as symbolic traditions, cultural folklore, or belief systems. </w:t>
      </w:r>
    </w:p>
    <w:p w14:paraId="7146590F"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 xml:space="preserve">Freya Mathews, also writing from within Western environmental philosophy and ecological metaphysics, extends Campion’s cultural analysis by interrogating the metaphysical foundations of ecological collapse. She attributes this collapse to the dual legacy of Cartesian dualism and mechanistic materialism — frameworks that divide mind from matter and cast </w:t>
      </w:r>
      <w:r w:rsidRPr="00380447">
        <w:rPr>
          <w:rFonts w:eastAsia="Aptos"/>
          <w:kern w:val="2"/>
          <w:lang w:val="" w:eastAsia="en-US"/>
        </w:rPr>
        <w:lastRenderedPageBreak/>
        <w:t>the natural world as inert, mute, and devoid of ethical standing. In “For Love of Matter,” Mathews argues that modern science, by treating matter as “dead” and consciousness as a human monopoly, disenchants the world and legitimises its instrumentalization.</w:t>
      </w:r>
      <w:r w:rsidRPr="00380447">
        <w:rPr>
          <w:rFonts w:eastAsia="Aptos"/>
          <w:kern w:val="2"/>
          <w:vertAlign w:val="superscript"/>
          <w:lang w:val="" w:eastAsia="en-US"/>
        </w:rPr>
        <w:footnoteReference w:id="7"/>
      </w:r>
      <w:r w:rsidRPr="00380447">
        <w:rPr>
          <w:rFonts w:eastAsia="Aptos"/>
          <w:kern w:val="2"/>
          <w:lang w:val="" w:eastAsia="en-US"/>
        </w:rPr>
        <w:t xml:space="preserve"> This ontological model frames nature as external and exploitable — severing what she calls “the cords of reciprocity” between humans and the more-than-human world.</w:t>
      </w:r>
      <w:r w:rsidRPr="00380447">
        <w:rPr>
          <w:rFonts w:eastAsia="Aptos"/>
          <w:kern w:val="2"/>
          <w:vertAlign w:val="superscript"/>
          <w:lang w:val="" w:eastAsia="en-US"/>
        </w:rPr>
        <w:footnoteReference w:id="8"/>
      </w:r>
      <w:r w:rsidRPr="00380447">
        <w:rPr>
          <w:rFonts w:eastAsia="Aptos"/>
          <w:kern w:val="2"/>
          <w:lang w:val="" w:eastAsia="en-US"/>
        </w:rPr>
        <w:t xml:space="preserve"> Her concept of panpsychism — the idea that all matter is sentient — reclaims ethical relations by affirming the communicative, participatory presence of the world.</w:t>
      </w:r>
      <w:r w:rsidRPr="00380447">
        <w:rPr>
          <w:rFonts w:eastAsia="Aptos"/>
          <w:kern w:val="2"/>
          <w:vertAlign w:val="superscript"/>
          <w:lang w:val="" w:eastAsia="en-US"/>
        </w:rPr>
        <w:footnoteReference w:id="9"/>
      </w:r>
      <w:r w:rsidRPr="00380447">
        <w:rPr>
          <w:rFonts w:eastAsia="Aptos"/>
          <w:kern w:val="2"/>
          <w:lang w:val="" w:eastAsia="en-US"/>
        </w:rPr>
        <w:t xml:space="preserve"> While she does not write from within African cosmologies, her work resonates with them, particularly in its insistence that how we relate to land depends on how we understand the being of land itself. </w:t>
      </w:r>
    </w:p>
    <w:p w14:paraId="32D37961"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Where Campion and Mathews expose the often-unacknowledged cosmological dimensions of knowledge systems, Paulin Hountondji focuses on how such dimensions have been systematically distorted specifically within African intellectual life. Writing in the wake of independence-era debates across Francophone Africa in the 1970s and 1980s, Hountondji critiques the legacy of colonial and neocolonial epistemic dependency. He argues that African scholars were frequently positioned not as theorists but as data-gatherers for Western academics, their work guided by externally imposed research agendas, funding structures, and conceptual vocabularies.</w:t>
      </w:r>
      <w:r w:rsidRPr="00380447">
        <w:rPr>
          <w:rFonts w:eastAsia="Aptos"/>
          <w:kern w:val="2"/>
          <w:vertAlign w:val="superscript"/>
          <w:lang w:val="" w:eastAsia="en-US"/>
        </w:rPr>
        <w:footnoteReference w:id="10"/>
      </w:r>
      <w:r w:rsidRPr="00380447">
        <w:rPr>
          <w:rFonts w:eastAsia="Aptos"/>
          <w:kern w:val="2"/>
          <w:lang w:val="" w:eastAsia="en-US"/>
        </w:rPr>
        <w:t xml:space="preserve"> This dynamic, which he terms “theoretical extraversion,” results in the outsourcing of intellectual authority and the marginalisation of Africa as a site of theory-making. </w:t>
      </w:r>
      <w:r w:rsidRPr="00380447">
        <w:rPr>
          <w:rFonts w:eastAsia="Aptos"/>
          <w:kern w:val="2"/>
          <w:vertAlign w:val="superscript"/>
          <w:lang w:val="" w:eastAsia="en-US"/>
        </w:rPr>
        <w:footnoteReference w:id="11"/>
      </w:r>
      <w:r w:rsidRPr="00380447">
        <w:rPr>
          <w:rFonts w:eastAsia="Aptos"/>
          <w:kern w:val="2"/>
          <w:lang w:val="" w:eastAsia="en-US"/>
        </w:rPr>
        <w:t>He takes particular issue with the dominance of ethnophilosophy — typified by works like Tempels’ on Bantu philosophy which essentialised African thought through Euro-Christian and anthropological frames, producing knowledge aimed more at cultural affirmation than philosophical autonomy.</w:t>
      </w:r>
      <w:r w:rsidRPr="00380447">
        <w:rPr>
          <w:rFonts w:eastAsia="Aptos"/>
          <w:kern w:val="2"/>
          <w:vertAlign w:val="superscript"/>
          <w:lang w:val="" w:eastAsia="en-US"/>
        </w:rPr>
        <w:footnoteReference w:id="12"/>
      </w:r>
    </w:p>
    <w:p w14:paraId="75E44B7D"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In response, Hountondji proposes the model of “endogenous knowledge:” intellectual production grounded in African social realities and accountable to African publics.</w:t>
      </w:r>
      <w:r w:rsidRPr="00380447">
        <w:rPr>
          <w:rFonts w:eastAsia="Aptos"/>
          <w:kern w:val="2"/>
          <w:vertAlign w:val="superscript"/>
          <w:lang w:val="" w:eastAsia="en-US"/>
        </w:rPr>
        <w:footnoteReference w:id="13"/>
      </w:r>
      <w:r w:rsidRPr="00380447">
        <w:rPr>
          <w:rFonts w:eastAsia="Aptos"/>
          <w:kern w:val="2"/>
          <w:lang w:val="" w:eastAsia="en-US"/>
        </w:rPr>
        <w:t xml:space="preserve"> He advocates a process of critical reappropriation — interrogating Indigenous knowledge systems with philosophical and scientific rigour to distinguish their generative elements from their contextual limitations.</w:t>
      </w:r>
      <w:r w:rsidRPr="00380447">
        <w:rPr>
          <w:rFonts w:eastAsia="Aptos"/>
          <w:kern w:val="2"/>
          <w:vertAlign w:val="superscript"/>
          <w:lang w:val="" w:eastAsia="en-US"/>
        </w:rPr>
        <w:footnoteReference w:id="14"/>
      </w:r>
      <w:r w:rsidRPr="00380447">
        <w:rPr>
          <w:rFonts w:eastAsia="Aptos"/>
          <w:kern w:val="2"/>
          <w:lang w:val="" w:eastAsia="en-US"/>
        </w:rPr>
        <w:t xml:space="preserve"> Hountondji highlights initiatives such as teaching science in Kiswahili in Tanzania,</w:t>
      </w:r>
      <w:r w:rsidRPr="00380447">
        <w:rPr>
          <w:rFonts w:eastAsia="Aptos"/>
          <w:kern w:val="2"/>
          <w:vertAlign w:val="superscript"/>
          <w:lang w:val="" w:eastAsia="en-US"/>
        </w:rPr>
        <w:footnoteReference w:id="15"/>
      </w:r>
      <w:r w:rsidRPr="00380447">
        <w:rPr>
          <w:rFonts w:eastAsia="Aptos"/>
          <w:kern w:val="2"/>
          <w:lang w:val="" w:eastAsia="en-US"/>
        </w:rPr>
        <w:t xml:space="preserve"> and community-based research in medicine, hydrology, and mental health. These represent concrete efforts to shift knowledge validation away from external frameworks and toward African epistemological autonomy.</w:t>
      </w:r>
    </w:p>
    <w:p w14:paraId="5230DEAA"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 xml:space="preserve">Building on this foundation, Bagele Chilisa extends the call for epistemic autonomy into the realm of research methodology. Writing from Botswana and engaging with Indigenous </w:t>
      </w:r>
      <w:r w:rsidRPr="00380447">
        <w:rPr>
          <w:rFonts w:eastAsia="Aptos"/>
          <w:kern w:val="2"/>
          <w:lang w:val="" w:eastAsia="en-US"/>
        </w:rPr>
        <w:lastRenderedPageBreak/>
        <w:t>communities across the Kalahari,</w:t>
      </w:r>
      <w:r w:rsidRPr="00380447">
        <w:rPr>
          <w:rFonts w:eastAsia="Aptos"/>
          <w:kern w:val="2"/>
          <w:vertAlign w:val="superscript"/>
          <w:lang w:val="" w:eastAsia="en-US"/>
        </w:rPr>
        <w:footnoteReference w:id="16"/>
      </w:r>
      <w:r w:rsidRPr="00380447">
        <w:rPr>
          <w:rFonts w:eastAsia="Aptos"/>
          <w:kern w:val="2"/>
          <w:lang w:val="" w:eastAsia="en-US"/>
        </w:rPr>
        <w:t xml:space="preserve"> Chilisa grounds her work in relational ontology — an approach that understands knowledge as emerging from interdependent spiritual, communal, and ecological relationships — and in doing so, she extends the metaphysical critique advanced by Freya Mathews into a distinctly African methodological register. While Mathews argues for a panpsychist re-enchantment of the world to overcome the extractive logic of Cartesian materialism, Chilisa shows that many Indigenous African communities have never operated within this dualism to begin with. She challenges the methodological assumptions of neutrality and objectivity, arguing that research itself is a situated, ethical process shaped by responsibilities to land, ancestors, and community.</w:t>
      </w:r>
      <w:r w:rsidRPr="00380447">
        <w:rPr>
          <w:rFonts w:eastAsia="Aptos"/>
          <w:kern w:val="2"/>
          <w:vertAlign w:val="superscript"/>
          <w:lang w:val="" w:eastAsia="en-US"/>
        </w:rPr>
        <w:footnoteReference w:id="17"/>
      </w:r>
      <w:r w:rsidRPr="00380447">
        <w:rPr>
          <w:rFonts w:eastAsia="Aptos"/>
          <w:kern w:val="2"/>
          <w:lang w:val="" w:eastAsia="en-US"/>
        </w:rPr>
        <w:t xml:space="preserve"> In San contexts, for example, Chilisa explains that knowledge production involves ritual permission from spiritual authorities — not as symbolic performance, but as epistemic necessity.</w:t>
      </w:r>
      <w:r w:rsidRPr="00380447">
        <w:rPr>
          <w:rFonts w:eastAsia="Aptos"/>
          <w:kern w:val="2"/>
          <w:vertAlign w:val="superscript"/>
          <w:lang w:val="" w:eastAsia="en-US"/>
        </w:rPr>
        <w:footnoteReference w:id="18"/>
      </w:r>
      <w:r w:rsidRPr="00380447">
        <w:rPr>
          <w:rFonts w:eastAsia="Aptos"/>
          <w:kern w:val="2"/>
          <w:lang w:val="" w:eastAsia="en-US"/>
        </w:rPr>
        <w:t xml:space="preserve"> And, where Hountondji identifies the structural need for intellectual sovereignty, Chilisa operationalises this at the level of method, offering tools for conducting research that honours Indigenous cosmologies as knowledge systems in their own right.</w:t>
      </w:r>
    </w:p>
    <w:p w14:paraId="37DAFB19"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Keeping these contributions in mind, a lens can be developed from which to approach the works of Credo Mutwa, long excluded from mainstream academic philosophy. His work had long since enacted the epistemic refusal later theorised by figures like Chilisa and Hountondji. Through sacred narrative, prophecy, and embodied storytelling, Mutwa affirms African cosmology as a site of philosophical inquiry and ethical reasoning, without conceding to disciplinary conventions that marginalise oral and spiritual forms of knowledge. His work not only challenges the content but also the form of academic knowledge. Recounting his experiences to a journalist, Mutwa said:</w:t>
      </w:r>
    </w:p>
    <w:p w14:paraId="66DFB1AA"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 Sir, I can show you many strange things that African people did to protect themselves against the Grey aliens. The things that our people did were not the result of superstition. They were the result of terrible personal experience. One day I hope to share with you, sir, the story of how I got "taken..."We believe, sir, that the Mantindane ("the tormentor"), the Greys, are really servants of the Chitauli. Anyone who has been through the hells of these beings will tell you that...there is a cold, cold, cold-blooded resolve, and they are not doing what they do to us for themselves, they are doing what they do to us for greater creatures than they are.”</w:t>
      </w:r>
      <w:r w:rsidRPr="00380447">
        <w:rPr>
          <w:rFonts w:eastAsia="Aptos"/>
          <w:kern w:val="2"/>
          <w:vertAlign w:val="superscript"/>
          <w:lang w:val="" w:eastAsia="en-US"/>
        </w:rPr>
        <w:footnoteReference w:id="19"/>
      </w:r>
    </w:p>
    <w:p w14:paraId="2EAFC0D1"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He became infamous particularly Western academic circles for his recounts of experiences and worldviews that refused to separate so-called myth from theory, or ritual from critique. Yet even with this infamy in these spaces, Mutwa was throughout his life positioned outside the category of scholarly theorists and instead positioned as cultural repository to be analysed by said theorists. He remained aware of this reality, but refused to restructure his epistemologies, choosing to as Hountondji may claim to maintain “endogenous knowledge.”</w:t>
      </w:r>
    </w:p>
    <w:p w14:paraId="2784E7A5"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lastRenderedPageBreak/>
        <w:t>Taken together, the works of Campion, Mathews, Hountondji, Chilisa, and Mutwa illuminate a shared but differently articulated concern: that cosmological worldviews — particularly those rooted in African spiritual traditions — are systematically excluded from the category of theory. While Campion and Mathews uncover the metaphysical and ethical stakes of cosmology in more general terms, Hountondji and Chilisa expose how African knowledge systems have been structurally disqualified from intellectual legitimacy, and provide pathways to overcoming this. Mutwa, writing from within a cosmological tradition rather than about it, exemplifies what it means to theorise without apology to academic form. These contributions matter for this paper because they reframe the study of environmental ethics in Zambia within the context in which it was created, i.e. as a theorisation of cosmological knowledge systems that actively shape ecological decision-making, ethical accountability, and healer practice. Given the climate, such reframing is crucial as the erasure or instrumentalization of these cosmologies in policy and development frameworks undermine the very relationships — to land, spirit, and community — that sustain long-term environmental stewardship. By taking healer cosmologies seriously as systems of thought, this research not only challenges academic hierarchies, but also opens space for more pluralistic, grounded, and culturally resonant approaches to sustainability and ecological justice.</w:t>
      </w:r>
    </w:p>
    <w:p w14:paraId="30B776FD" w14:textId="77777777" w:rsidR="00037741" w:rsidRPr="00380447" w:rsidRDefault="00000000" w:rsidP="00037741">
      <w:pPr>
        <w:pStyle w:val="Heading1"/>
        <w:keepLines/>
        <w:spacing w:before="360" w:after="80" w:line="278" w:lineRule="auto"/>
        <w:rPr>
          <w:rFonts w:ascii="Times New Roman" w:eastAsia="Times New Roman" w:hAnsi="Times New Roman" w:cs="Times New Roman"/>
          <w:b w:val="0"/>
          <w:bCs w:val="0"/>
          <w:kern w:val="2"/>
          <w:sz w:val="40"/>
          <w:szCs w:val="40"/>
          <w:lang w:val="" w:eastAsia="en-US"/>
        </w:rPr>
      </w:pPr>
      <w:r w:rsidRPr="00380447">
        <w:rPr>
          <w:rFonts w:ascii="Times New Roman" w:eastAsiaTheme="majorEastAsia" w:hAnsi="Times New Roman" w:cs="Times New Roman"/>
          <w:b w:val="0"/>
          <w:bCs w:val="0"/>
          <w:kern w:val="2"/>
          <w:sz w:val="40"/>
          <w:szCs w:val="40"/>
          <w:lang w:val="" w:eastAsia="en-US"/>
        </w:rPr>
        <w:t>Methodology</w:t>
      </w:r>
    </w:p>
    <w:p w14:paraId="095C9DC8"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This study used a qualitative, interpretive research design to explore how traditional health practitioners in Lusaka Province engage with cosmological worldviews in their environmental thought and practice. Data collection drew on five interconnected methods: structured surveys, semi-structured interviews, a focus group discussion, document analysis, and limited participant observation. These methods were chosen to generate both conceptual depth and comparative insight, with surveys offering pattern recognition and interviews and focus groups allowing for narrative elaboration. Engagement with participants took place over two separate days within a two-week window, at THPAZ’s temporary headquarters — also the personal residence and healing site of the organisation’s president. This setting provided both familiarity and symbolic grounding and contributed to the openness with which many participants engaged.</w:t>
      </w:r>
    </w:p>
    <w:p w14:paraId="411DBB47"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Participants were selected through purposive sampling facilitated by THPAZ leadership. The focus group consisted of five practitioners selected by the THPAZ president for their diversity across gender, age, spiritual orientation, and lineage. These five also completed the structured survey orally in the same session, preferring to elaborate their answers. The remaining eleven surveys were conducted over the phone due to limited digital access, including challenges related to literacy, mobile data, and visual impairments. All surveys were administered orally by the researcher. THPAZ staff assisted in initiating contact but participated minimally in the conversations. In keeping with Zambian social protocol between strangers, particularly in spiritual contexts, the researcher opened each phone call with a brief self-introduction, establishing relational grounds for dialogue and signalling ethical intention, at the cost of anonymity between both parties.</w:t>
      </w:r>
    </w:p>
    <w:p w14:paraId="2CA6606C"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lastRenderedPageBreak/>
        <w:t>Survey and interview instruments were developed in close dialogue with THPAZ leadership. For example, the survey’s opening question on healer identity used the same typological categories recognised by THPAZ — herbalist, spiritualist, diviner, and traditional birth attendant— while allowing participants to select multiple categories or introduce additional local terms. This acknowledged the multidimensional nature of healer practice and supported participant self-definition. Interviews and discussions were conducted in English, ChiNyanja, and ChiBemba, depending on participant preference. Translation and transcription were supported by a Zambian collaborator who signed a confidentiality agreement and was briefed on the sacred nature of the material.</w:t>
      </w:r>
    </w:p>
    <w:p w14:paraId="05CDC99B"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The research also included document analysis of internal THPAZ materials, including training manuals and communications. These texts were treated as epistemic documents embedded with healer-authored ethical frameworks. Informal participant observation was carried out during visits to the THPAZ space, focusing on gestures, spatial arrangements, conversational forms, and ritual allusions. While limited in duration, this embodied attunement added contextual depth and informed interpretation of verbal data.</w:t>
      </w:r>
    </w:p>
    <w:p w14:paraId="42BC05E4"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As a Zambian woman with spiritual sensibilities aligned with many of the participants, I approached the work from a fluid position of both proximity and distance. While not a healer myself, my cultural location informed the tone, pace, and ethics of the interactions. I was mindful that the academic structures through which this research moves have historically mishandled Indigenous cosmologies — trivialising, pathologizing, or criminalising them. This stance extended beyond conceptual alignment to include attentiveness to local verbal and nonverbal customs related to age, gender, and spiritual status — cues that shaped how one greets, speaks, listens, and signals respect. Navigating these protocols was essential for ethical integrity, as well as for entering the relational field in which knowledge could be meaningfully shared.</w:t>
      </w:r>
    </w:p>
    <w:p w14:paraId="423AD9B7"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Informed consent was obtained through written and oral forms, with participants given the option to withdraw at any stage. Ethical considerations were treated as continuous, situated obligations. Participants were invited to withhold responses to any question they deemed uncomfortable or inappropriate. Care was taken by the researcher, THPAZ staff, the translator as well as participants to attend to nonverbal cues of unease, hesitation, or discomfort. In such cases, the researcher would pause, rephrase, or withdraw the question, recognising that silence, tone, gesture, and timing often signal ethical boundaries not always verbally articulated in Zambian culture.</w:t>
      </w:r>
    </w:p>
    <w:p w14:paraId="66BF0BCF"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 xml:space="preserve">The presence of THPAZ staff during all stages helped ensure a sense of oversight and accountability, but all interpretive authority remained with the researcher. Data were anonymised and securely stored, and the findings were reviewed with sensitivity to context, divergence, and cosmological nuance. </w:t>
      </w:r>
    </w:p>
    <w:p w14:paraId="4A34E53B" w14:textId="77777777" w:rsidR="00037741" w:rsidRPr="00380447" w:rsidRDefault="00000000" w:rsidP="00037741">
      <w:pPr>
        <w:pStyle w:val="Heading1"/>
        <w:keepLines/>
        <w:spacing w:before="360" w:after="80" w:line="278" w:lineRule="auto"/>
        <w:rPr>
          <w:rFonts w:ascii="Times New Roman" w:eastAsia="Times New Roman" w:hAnsi="Times New Roman" w:cs="Times New Roman"/>
          <w:b w:val="0"/>
          <w:bCs w:val="0"/>
          <w:kern w:val="2"/>
          <w:sz w:val="40"/>
          <w:szCs w:val="40"/>
          <w:lang w:val="" w:eastAsia="en-US"/>
        </w:rPr>
      </w:pPr>
      <w:bookmarkStart w:id="8" w:name="_Hlk197082854"/>
      <w:r w:rsidRPr="00380447">
        <w:rPr>
          <w:rFonts w:ascii="Times New Roman" w:eastAsiaTheme="majorEastAsia" w:hAnsi="Times New Roman" w:cs="Times New Roman"/>
          <w:b w:val="0"/>
          <w:bCs w:val="0"/>
          <w:kern w:val="2"/>
          <w:sz w:val="40"/>
          <w:szCs w:val="40"/>
          <w:lang w:val="" w:eastAsia="en-US"/>
        </w:rPr>
        <w:lastRenderedPageBreak/>
        <w:t>Findings</w:t>
      </w:r>
    </w:p>
    <w:p w14:paraId="6A4AEAE3"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This section presents the findings from surveys, interviews, focus groups, and institutional documents, organized around three thematic domains—Cosmological Views on Land, Ethics of Healing, and Environmental Responsibility. Organizing the findings under these themes allows the analysis to track specific conceptual threads—such as sacred geography, ancestral obligation, and ritual stewardship—without fragmenting the relational coherence at the heart of healer thought.</w:t>
      </w:r>
    </w:p>
    <w:p w14:paraId="4D897543" w14:textId="42389AFE" w:rsidR="00037741" w:rsidRPr="00380447" w:rsidRDefault="006E7469" w:rsidP="00037741">
      <w:pPr>
        <w:spacing w:after="160" w:line="278" w:lineRule="auto"/>
        <w:rPr>
          <w:rFonts w:eastAsia="Aptos"/>
          <w:kern w:val="2"/>
          <w:lang w:val="" w:eastAsia="en-US"/>
        </w:rPr>
      </w:pPr>
      <w:r w:rsidRPr="00037741">
        <w:rPr>
          <w:noProof/>
        </w:rPr>
        <w:drawing>
          <wp:anchor distT="0" distB="0" distL="114300" distR="114300" simplePos="0" relativeHeight="251660288" behindDoc="0" locked="0" layoutInCell="1" allowOverlap="1" wp14:anchorId="6DBF3715" wp14:editId="3B7D1E8A">
            <wp:simplePos x="0" y="0"/>
            <wp:positionH relativeFrom="column">
              <wp:posOffset>50800</wp:posOffset>
            </wp:positionH>
            <wp:positionV relativeFrom="paragraph">
              <wp:posOffset>1123315</wp:posOffset>
            </wp:positionV>
            <wp:extent cx="4304030" cy="1790700"/>
            <wp:effectExtent l="0" t="0" r="0" b="0"/>
            <wp:wrapTopAndBottom/>
            <wp:docPr id="2" name="Picture 2" descr="A graph with a ba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graph with a ba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304030" cy="1790700"/>
                    </a:xfrm>
                    <a:prstGeom prst="rect">
                      <a:avLst/>
                    </a:prstGeom>
                  </pic:spPr>
                </pic:pic>
              </a:graphicData>
            </a:graphic>
            <wp14:sizeRelH relativeFrom="margin">
              <wp14:pctWidth>0</wp14:pctWidth>
            </wp14:sizeRelH>
            <wp14:sizeRelV relativeFrom="margin">
              <wp14:pctHeight>0</wp14:pctHeight>
            </wp14:sizeRelV>
          </wp:anchor>
        </w:drawing>
      </w:r>
      <w:r>
        <w:rPr>
          <w:noProof/>
        </w:rPr>
        <w:pict w14:anchorId="246E70DA">
          <v:rect id="_x0000_s1032" style="position:absolute;margin-left:90.5pt;margin-top:91.45pt;width:186.5pt;height:7.5pt;z-index:251665408;mso-position-horizontal-relative:text;mso-position-vertical-relative:text" strokecolor="white [3212]"/>
        </w:pict>
      </w:r>
      <w:r>
        <w:rPr>
          <w:noProof/>
        </w:rPr>
        <w:pict w14:anchorId="3428F8CB">
          <v:shapetype id="_x0000_t202" coordsize="21600,21600" o:spt="202" path="m,l,21600r21600,l21600,xe">
            <v:stroke joinstyle="miter"/>
            <v:path gradientshapeok="t" o:connecttype="rect"/>
          </v:shapetype>
          <v:shape id="_x0000_s1031" type="#_x0000_t202" style="position:absolute;margin-left:3.95pt;margin-top:233.95pt;width:340.15pt;height:.05pt;z-index:251664384;mso-position-horizontal-relative:text;mso-position-vertical-relative:text" stroked="f">
            <v:textbox style="mso-fit-shape-to-text:t" inset="0,0,0,0">
              <w:txbxContent>
                <w:p w14:paraId="22DD4503" w14:textId="60905F0A" w:rsidR="006E7469" w:rsidRPr="007A58CA" w:rsidRDefault="006E7469" w:rsidP="006E7469">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p>
              </w:txbxContent>
            </v:textbox>
            <w10:wrap type="topAndBottom"/>
          </v:shape>
        </w:pict>
      </w:r>
      <w:r w:rsidR="00000000" w:rsidRPr="00380447">
        <w:rPr>
          <w:rFonts w:eastAsia="Aptos"/>
          <w:kern w:val="2"/>
          <w:lang w:val="" w:eastAsia="en-US"/>
        </w:rPr>
        <w:t>Findings showed that all the traditional healers articulated a worldview in which the land is alive, home to spiritual energies, ancestral presence, and sacred meanings. The survey revealed that over 75% of respondents reported needing specific geographical sites such as forests, rivers, mountains, and termite mounds for their spiritual practices as shown in Figure 1.</w:t>
      </w:r>
    </w:p>
    <w:p w14:paraId="77391C94" w14:textId="109EE9D4" w:rsidR="006E7469" w:rsidRDefault="006E7469" w:rsidP="006E7469">
      <w:pPr>
        <w:keepNext/>
        <w:spacing w:after="160" w:line="278" w:lineRule="auto"/>
      </w:pPr>
      <w:r>
        <w:rPr>
          <w:rFonts w:eastAsia="Aptos"/>
          <w:noProof/>
          <w:kern w:val="2"/>
          <w:lang w:val="" w:eastAsia="en-US"/>
        </w:rPr>
        <w:pict w14:anchorId="246E70DA">
          <v:rect id="_x0000_s1033" style="position:absolute;margin-left:70pt;margin-top:94pt;width:186.5pt;height:7.5pt;z-index:251666432" strokecolor="white [3212]"/>
        </w:pict>
      </w:r>
      <w:r w:rsidR="00000000" w:rsidRPr="00380447">
        <w:rPr>
          <w:rFonts w:eastAsia="Aptos"/>
          <w:kern w:val="2"/>
          <w:lang w:val="" w:eastAsia="en-US"/>
        </w:rPr>
        <w:t>This pattern was particularly prevalent amongst those identifying with African traditional spirituality, ancestral belief systems, and/or syncretic beliefs who constituted 53.9% of participants in comparison to the 46.1% who identified themselves as part of institutional</w:t>
      </w:r>
      <w:r>
        <w:rPr>
          <w:rFonts w:eastAsia="Aptos"/>
          <w:kern w:val="2"/>
          <w:lang w:val="" w:eastAsia="en-US"/>
        </w:rPr>
        <w:t xml:space="preserve"> </w:t>
      </w:r>
      <w:r w:rsidR="00000000" w:rsidRPr="00380447">
        <w:rPr>
          <w:rFonts w:eastAsia="Aptos"/>
          <w:kern w:val="2"/>
          <w:lang w:val="" w:eastAsia="en-US"/>
        </w:rPr>
        <w:t>religions such as Christianity and Islam practices, shown in Figure</w:t>
      </w:r>
      <w:r>
        <w:rPr>
          <w:noProof/>
        </w:rPr>
        <w:t xml:space="preserve"> 2. </w:t>
      </w:r>
      <w:r>
        <w:rPr>
          <w:noProof/>
        </w:rPr>
        <w:drawing>
          <wp:inline distT="0" distB="0" distL="0" distR="0" wp14:anchorId="419BA6F5" wp14:editId="0AB7548D">
            <wp:extent cx="3938270" cy="2505710"/>
            <wp:effectExtent l="0" t="0" r="0" b="0"/>
            <wp:docPr id="136395194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938270" cy="2505710"/>
                    </a:xfrm>
                    <a:prstGeom prst="rect">
                      <a:avLst/>
                    </a:prstGeom>
                    <a:noFill/>
                  </pic:spPr>
                </pic:pic>
              </a:graphicData>
            </a:graphic>
          </wp:inline>
        </w:drawing>
      </w:r>
    </w:p>
    <w:p w14:paraId="7B63CB3E" w14:textId="5DA081DA" w:rsidR="006E7469" w:rsidRDefault="006E7469" w:rsidP="006E7469">
      <w:pPr>
        <w:pStyle w:val="Caption"/>
        <w:rPr>
          <w:noProof/>
        </w:rPr>
      </w:pPr>
      <w:r>
        <w:t xml:space="preserve">Figure </w:t>
      </w:r>
      <w:r>
        <w:fldChar w:fldCharType="begin"/>
      </w:r>
      <w:r>
        <w:instrText xml:space="preserve"> SEQ Figure \* ARABIC </w:instrText>
      </w:r>
      <w:r>
        <w:fldChar w:fldCharType="separate"/>
      </w:r>
      <w:r>
        <w:rPr>
          <w:noProof/>
        </w:rPr>
        <w:t>2</w:t>
      </w:r>
      <w:r>
        <w:fldChar w:fldCharType="end"/>
      </w:r>
    </w:p>
    <w:p w14:paraId="05AC52EC" w14:textId="39A1486A"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lastRenderedPageBreak/>
        <w:t>This belief in a living spiritual land was substantiated throughout the group discussion where according to one focus group participant, “You can’t call the spirits from anywhere. The river is where my ancestors dwell.” Another participant elaborated, “The termite mound is not just soil—it is our altar”, affirming the spatial and spiritual sanctity of natural sites.</w:t>
      </w:r>
    </w:p>
    <w:p w14:paraId="3EF5E52D"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 xml:space="preserve">Question six of the survey which asked which natural elements were significant in one’s practice, also reinforced the spatial grounding of the healers’ practices. Over 90% of participants identified both plants and water as essential to their work with more than half of these going on to additional compounds such as include fire/smoke and animals. One participant, who practiced her work within a busy central market explained the link between her healing planetary phenomena, saying, “When the moon is in the right place, I can give certain medications. Other times, I must wait. That’s the spirit’s way of guiding the work”​. </w:t>
      </w:r>
    </w:p>
    <w:p w14:paraId="7A65C716"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The data also showed that all participants presented, healing as inseparable from spiritual and moral accountability. As one practitioner explained, "Everything I do, I have to put in prayer. Without any prayer, I cannot begin." Explaining this accountability in more detail another added, "If you don’t take this calling</w:t>
      </w:r>
      <w:r w:rsidRPr="00380447">
        <w:rPr>
          <w:rFonts w:ascii="Aptos" w:eastAsia="Aptos" w:hAnsi="Aptos" w:cstheme="minorBidi"/>
          <w:kern w:val="2"/>
          <w:lang w:val="" w:eastAsia="en-US"/>
        </w:rPr>
        <w:t xml:space="preserve"> </w:t>
      </w:r>
      <w:bookmarkStart w:id="9" w:name="_Hlk197084271"/>
      <w:r w:rsidRPr="00380447">
        <w:rPr>
          <w:rFonts w:eastAsia="Aptos"/>
          <w:kern w:val="2"/>
          <w:lang w:val="" w:eastAsia="en-US"/>
        </w:rPr>
        <w:t>[to become a traditional healer]</w:t>
      </w:r>
      <w:bookmarkEnd w:id="9"/>
      <w:r w:rsidRPr="00380447">
        <w:rPr>
          <w:rFonts w:eastAsia="Aptos"/>
          <w:kern w:val="2"/>
          <w:lang w:val="" w:eastAsia="en-US"/>
        </w:rPr>
        <w:t>, then sickness will kill you. No matter what medicines you take, it won’t cure it." Survey responses showed near-unanimous agreement that healing practices are inherently part of sustaining balance between people, nature, and spirit.</w:t>
      </w:r>
    </w:p>
    <w:p w14:paraId="2D938BBB"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The survey also explored shifts in ecological access</w:t>
      </w:r>
      <w:r w:rsidR="0049434C" w:rsidRPr="00380447">
        <w:rPr>
          <w:rFonts w:eastAsia="Aptos"/>
          <w:kern w:val="2"/>
          <w:lang w:val="" w:eastAsia="en-US"/>
        </w:rPr>
        <w:t xml:space="preserve"> for the participants</w:t>
      </w:r>
      <w:r w:rsidRPr="00380447">
        <w:rPr>
          <w:rFonts w:eastAsia="Aptos"/>
          <w:kern w:val="2"/>
          <w:lang w:val="" w:eastAsia="en-US"/>
        </w:rPr>
        <w:t xml:space="preserve">. All but one respondent said it had become more difficult to access key natural elements, compared to when they </w:t>
      </w:r>
      <w:r w:rsidR="0049434C" w:rsidRPr="00380447">
        <w:rPr>
          <w:rFonts w:eastAsia="Aptos"/>
          <w:kern w:val="2"/>
          <w:lang w:val="" w:eastAsia="en-US"/>
        </w:rPr>
        <w:t xml:space="preserve">first </w:t>
      </w:r>
      <w:r w:rsidRPr="00380447">
        <w:rPr>
          <w:rFonts w:eastAsia="Aptos"/>
          <w:kern w:val="2"/>
          <w:lang w:val="" w:eastAsia="en-US"/>
        </w:rPr>
        <w:t>began practising. One healer explained, "Now, we have to go all the way to our villages. In Lusaka, things have changed. The fields are all owned by someone. You cannot just go and take what you need when you see it. It is like how before we could use the fields as a bathroom, but now the fields are someone else’s bathroom, and sometimes the same bathroom is now gone completely</w:t>
      </w:r>
      <w:r w:rsidR="0049434C" w:rsidRPr="00380447">
        <w:rPr>
          <w:rFonts w:eastAsia="Aptos"/>
          <w:kern w:val="2"/>
          <w:lang w:val="" w:eastAsia="en-US"/>
        </w:rPr>
        <w:t xml:space="preserve"> with these droughts and floods</w:t>
      </w:r>
      <w:r w:rsidRPr="00380447">
        <w:rPr>
          <w:rFonts w:eastAsia="Aptos"/>
          <w:kern w:val="2"/>
          <w:lang w:val="" w:eastAsia="en-US"/>
        </w:rPr>
        <w:t xml:space="preserve">." Participants framed these changes as more than logistical barriers. Diminished access was </w:t>
      </w:r>
      <w:r w:rsidR="0049434C" w:rsidRPr="00380447">
        <w:rPr>
          <w:rFonts w:eastAsia="Aptos"/>
          <w:kern w:val="2"/>
          <w:lang w:val="" w:eastAsia="en-US"/>
        </w:rPr>
        <w:t>expressed</w:t>
      </w:r>
      <w:r w:rsidRPr="00380447">
        <w:rPr>
          <w:rFonts w:eastAsia="Aptos"/>
          <w:kern w:val="2"/>
          <w:lang w:val="" w:eastAsia="en-US"/>
        </w:rPr>
        <w:t xml:space="preserve"> as both a material and spiritual crisis. "</w:t>
      </w:r>
      <w:bookmarkStart w:id="10" w:name="_Hlk197033713"/>
      <w:r w:rsidRPr="00380447">
        <w:rPr>
          <w:rFonts w:eastAsia="Aptos"/>
          <w:kern w:val="2"/>
          <w:lang w:val="" w:eastAsia="en-US"/>
        </w:rPr>
        <w:t>Maybe the spirits are telling us that we need to change</w:t>
      </w:r>
      <w:bookmarkEnd w:id="10"/>
      <w:r w:rsidRPr="00380447">
        <w:rPr>
          <w:rFonts w:eastAsia="Aptos"/>
          <w:kern w:val="2"/>
          <w:lang w:val="" w:eastAsia="en-US"/>
        </w:rPr>
        <w:t>," one practitioner reflected. All the healers in the group discussion linked environmental degradation to varying degrees of ethical lapses—overharvesting, commercialisation, and disrespect for sacred sites—suggesting that spiritual disapproval may manifest through environmental withdrawal. One practitioner explained, “When you take something like a plant or a tree, you don’t kill the entire thing… We take a little bit, and we leave.” Others spoke of cultivating medicinal gardens as a way of honouring these responsibilities in urban settings: “We harvest, we’re constantly planting so that we can always have our resources.”</w:t>
      </w:r>
    </w:p>
    <w:p w14:paraId="10645EC7"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 xml:space="preserve">Institutionally, THPAZ has echoed these principles. One staff member explained that the Ministry of Lands introduced a programme </w:t>
      </w:r>
      <w:r w:rsidR="0049434C" w:rsidRPr="00380447">
        <w:rPr>
          <w:rFonts w:eastAsia="Aptos"/>
          <w:kern w:val="2"/>
          <w:lang w:val="" w:eastAsia="en-US"/>
        </w:rPr>
        <w:t>supporting</w:t>
      </w:r>
      <w:r w:rsidRPr="00380447">
        <w:rPr>
          <w:rFonts w:eastAsia="Aptos"/>
          <w:kern w:val="2"/>
          <w:lang w:val="" w:eastAsia="en-US"/>
        </w:rPr>
        <w:t xml:space="preserve"> healers to plant </w:t>
      </w:r>
      <w:r w:rsidR="0049434C" w:rsidRPr="00380447">
        <w:rPr>
          <w:rFonts w:eastAsia="Aptos"/>
          <w:kern w:val="2"/>
          <w:lang w:val="" w:eastAsia="en-US"/>
        </w:rPr>
        <w:t>medicinal flora in their</w:t>
      </w:r>
      <w:r w:rsidRPr="00380447">
        <w:rPr>
          <w:rFonts w:eastAsia="Aptos"/>
          <w:kern w:val="2"/>
          <w:lang w:val="" w:eastAsia="en-US"/>
        </w:rPr>
        <w:t xml:space="preserve"> gardens. Participants </w:t>
      </w:r>
      <w:r w:rsidR="0049434C" w:rsidRPr="00380447">
        <w:rPr>
          <w:rFonts w:eastAsia="Aptos"/>
          <w:kern w:val="2"/>
          <w:lang w:val="" w:eastAsia="en-US"/>
        </w:rPr>
        <w:t xml:space="preserve">generally </w:t>
      </w:r>
      <w:r w:rsidRPr="00380447">
        <w:rPr>
          <w:rFonts w:eastAsia="Aptos"/>
          <w:kern w:val="2"/>
          <w:lang w:val="" w:eastAsia="en-US"/>
        </w:rPr>
        <w:t>supported the effort but questioned its viability. One explained, “They say we must grow musolo in our gardens... but some plants won’t grow unless they’re by the river, which we cannot even go to anymore.” Responsibility, in this context, is toward the unseen</w:t>
      </w:r>
      <w:r w:rsidR="0049434C" w:rsidRPr="00380447">
        <w:rPr>
          <w:rFonts w:eastAsia="Aptos"/>
          <w:kern w:val="2"/>
          <w:lang w:val="" w:eastAsia="en-US"/>
        </w:rPr>
        <w:t xml:space="preserve"> with one elder stating,</w:t>
      </w:r>
      <w:r w:rsidRPr="00380447">
        <w:rPr>
          <w:rFonts w:eastAsia="Aptos"/>
          <w:kern w:val="2"/>
          <w:lang w:val="" w:eastAsia="en-US"/>
        </w:rPr>
        <w:t xml:space="preserve"> “</w:t>
      </w:r>
      <w:r w:rsidR="0049434C" w:rsidRPr="00380447">
        <w:rPr>
          <w:rFonts w:eastAsia="Aptos"/>
          <w:kern w:val="2"/>
          <w:lang w:val="" w:eastAsia="en-US"/>
        </w:rPr>
        <w:t>t</w:t>
      </w:r>
      <w:r w:rsidRPr="00380447">
        <w:rPr>
          <w:rFonts w:eastAsia="Aptos"/>
          <w:kern w:val="2"/>
          <w:lang w:val="" w:eastAsia="en-US"/>
        </w:rPr>
        <w:t xml:space="preserve">o make the world a better place for later, what we take, we must give, otherwise how will those who come after be able to answer </w:t>
      </w:r>
      <w:r w:rsidRPr="00380447">
        <w:rPr>
          <w:rFonts w:eastAsia="Aptos"/>
          <w:kern w:val="2"/>
          <w:lang w:val="" w:eastAsia="en-US"/>
        </w:rPr>
        <w:lastRenderedPageBreak/>
        <w:t>their callings?” The ethics of care extend not just to the living</w:t>
      </w:r>
      <w:r w:rsidR="0049434C" w:rsidRPr="00380447">
        <w:rPr>
          <w:rFonts w:eastAsia="Aptos"/>
          <w:kern w:val="2"/>
          <w:lang w:val="" w:eastAsia="en-US"/>
        </w:rPr>
        <w:t xml:space="preserve"> ecologies</w:t>
      </w:r>
      <w:r w:rsidRPr="00380447">
        <w:rPr>
          <w:rFonts w:eastAsia="Aptos"/>
          <w:kern w:val="2"/>
          <w:lang w:val="" w:eastAsia="en-US"/>
        </w:rPr>
        <w:t xml:space="preserve">, but </w:t>
      </w:r>
      <w:r w:rsidR="0049434C" w:rsidRPr="00380447">
        <w:rPr>
          <w:rFonts w:eastAsia="Aptos"/>
          <w:kern w:val="2"/>
          <w:lang w:val="" w:eastAsia="en-US"/>
        </w:rPr>
        <w:t xml:space="preserve">also to </w:t>
      </w:r>
      <w:r w:rsidRPr="00380447">
        <w:rPr>
          <w:rFonts w:eastAsia="Aptos"/>
          <w:kern w:val="2"/>
          <w:lang w:val="" w:eastAsia="en-US"/>
        </w:rPr>
        <w:t>those who will inherit the world and the cosmologies through which it must be understood.</w:t>
      </w:r>
    </w:p>
    <w:p w14:paraId="7594A399" w14:textId="77777777" w:rsidR="00037741" w:rsidRPr="00380447" w:rsidRDefault="00000000" w:rsidP="00037741">
      <w:pPr>
        <w:spacing w:after="160" w:line="278" w:lineRule="auto"/>
        <w:rPr>
          <w:rFonts w:eastAsia="Aptos"/>
          <w:kern w:val="2"/>
          <w:lang w:val="" w:eastAsia="en-US"/>
        </w:rPr>
      </w:pPr>
      <w:r w:rsidRPr="00380447">
        <w:rPr>
          <w:rFonts w:eastAsia="Aptos"/>
          <w:kern w:val="2"/>
          <w:lang w:val="" w:eastAsia="en-US"/>
        </w:rPr>
        <w:t xml:space="preserve">These reflections revealed that for the healers, ethical practice is shaped by ongoing negotiation, but not in abstract terms. It is mediated through dreams, ritual signs, ancestral warnings, and the tangible consequences of ecological misalignment. </w:t>
      </w:r>
      <w:r w:rsidR="0049434C" w:rsidRPr="00380447">
        <w:rPr>
          <w:rFonts w:eastAsia="Aptos"/>
          <w:kern w:val="2"/>
          <w:lang w:val="" w:eastAsia="en-US"/>
        </w:rPr>
        <w:t>One senior healer, even insisted on closing the session with a traditional musical performance</w:t>
      </w:r>
      <w:r w:rsidR="00170D39" w:rsidRPr="00380447">
        <w:rPr>
          <w:rFonts w:eastAsia="Aptos"/>
          <w:kern w:val="2"/>
          <w:lang w:val="" w:eastAsia="en-US"/>
        </w:rPr>
        <w:t xml:space="preserve">. She instructed all who were present to join in, joking “how else can we make sure this young one [the researcher] will remember what we have taught her here.” This closing embodied the sentiments expressed throughout the discussion, that </w:t>
      </w:r>
      <w:r w:rsidRPr="00380447">
        <w:rPr>
          <w:rFonts w:eastAsia="Aptos"/>
          <w:kern w:val="2"/>
          <w:lang w:val="" w:eastAsia="en-US"/>
        </w:rPr>
        <w:t xml:space="preserve">when rituals fail, </w:t>
      </w:r>
      <w:r w:rsidR="00170D39" w:rsidRPr="00380447">
        <w:rPr>
          <w:rFonts w:eastAsia="Aptos"/>
          <w:kern w:val="2"/>
          <w:lang w:val="" w:eastAsia="en-US"/>
        </w:rPr>
        <w:t xml:space="preserve">when access to land is lost, </w:t>
      </w:r>
      <w:r w:rsidRPr="00380447">
        <w:rPr>
          <w:rFonts w:eastAsia="Aptos"/>
          <w:kern w:val="2"/>
          <w:lang w:val="" w:eastAsia="en-US"/>
        </w:rPr>
        <w:t xml:space="preserve">or when illness returns, these are not seen as accidents but as signals—evidence that healing must be approached with renewed humility and spiritual attention. </w:t>
      </w:r>
    </w:p>
    <w:bookmarkEnd w:id="8"/>
    <w:p w14:paraId="62552455" w14:textId="77777777" w:rsidR="00917C4D" w:rsidRPr="00380447" w:rsidRDefault="00000000" w:rsidP="00917C4D">
      <w:pPr>
        <w:pStyle w:val="Heading1"/>
        <w:keepLines/>
        <w:spacing w:before="360" w:after="80" w:line="278" w:lineRule="auto"/>
        <w:rPr>
          <w:rFonts w:ascii="Times New Roman" w:eastAsia="Times New Roman" w:hAnsi="Times New Roman" w:cs="Times New Roman"/>
          <w:b w:val="0"/>
          <w:bCs w:val="0"/>
          <w:kern w:val="2"/>
          <w:sz w:val="40"/>
          <w:szCs w:val="40"/>
          <w:lang w:val="" w:eastAsia="en-US"/>
        </w:rPr>
      </w:pPr>
      <w:r w:rsidRPr="00380447">
        <w:rPr>
          <w:rFonts w:ascii="Times New Roman" w:eastAsiaTheme="majorEastAsia" w:hAnsi="Times New Roman" w:cs="Times New Roman"/>
          <w:b w:val="0"/>
          <w:bCs w:val="0"/>
          <w:kern w:val="2"/>
          <w:sz w:val="40"/>
          <w:szCs w:val="40"/>
          <w:lang w:val="" w:eastAsia="en-US"/>
        </w:rPr>
        <w:t>Analysis and Discussion</w:t>
      </w:r>
    </w:p>
    <w:p w14:paraId="775FC58A"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The evidence gathered through the fieldwork reveals that healing is not an activity applied to a passive landscape, but a relational process that depends on the moral, spiritual, and ecological status of specific places. Land is not a container for healing—it is its condition.</w:t>
      </w:r>
    </w:p>
    <w:p w14:paraId="302A3838"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Healers consistently emphasised the importance of spiritual geography. Rivers, termite mounds, forests, caves, and mountains are more than sites of practice; they are entities through which healing becomes viable. The statement “you can’t call the spirits from anywhere” reflects a spatial ontology in which spirits are bound to place and respond only within specific cosmological alignments. When another participant described a termite mound as “our altar,” he was not elevating a landscape feature to sacred status. He was articulating a structure of ritual possibility grounded in the ethical demands of place.</w:t>
      </w:r>
    </w:p>
    <w:p w14:paraId="5EBB8433"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Th</w:t>
      </w:r>
      <w:r w:rsidR="004106A4" w:rsidRPr="00380447">
        <w:rPr>
          <w:rFonts w:eastAsia="Aptos"/>
          <w:kern w:val="2"/>
          <w:lang w:val="" w:eastAsia="en-US"/>
        </w:rPr>
        <w:t>eir</w:t>
      </w:r>
      <w:r w:rsidRPr="00380447">
        <w:rPr>
          <w:rFonts w:eastAsia="Aptos"/>
          <w:kern w:val="2"/>
          <w:lang w:val="" w:eastAsia="en-US"/>
        </w:rPr>
        <w:t xml:space="preserve"> orientation challenges frameworks within ecological discourse that acknowledge IK as valuable only in proportion to public </w:t>
      </w:r>
      <w:r w:rsidR="004106A4" w:rsidRPr="00380447">
        <w:rPr>
          <w:rFonts w:eastAsia="Aptos"/>
          <w:kern w:val="2"/>
          <w:lang w:val="" w:eastAsia="en-US"/>
        </w:rPr>
        <w:t xml:space="preserve">policy adaptability as proposed by </w:t>
      </w:r>
      <w:r w:rsidRPr="00380447">
        <w:rPr>
          <w:rFonts w:eastAsia="Aptos"/>
          <w:kern w:val="2"/>
          <w:lang w:val="" w:eastAsia="en-US"/>
        </w:rPr>
        <w:t>Chanza and de Wit’s framing of IK as useful to decentralised climate governance assumes it can be extracted, scaled, and applied across contexts</w:t>
      </w:r>
      <w:r w:rsidR="004106A4" w:rsidRPr="00380447">
        <w:rPr>
          <w:rFonts w:eastAsia="Aptos"/>
          <w:kern w:val="2"/>
          <w:lang w:val="" w:eastAsia="en-US"/>
        </w:rPr>
        <w:t>.</w:t>
      </w:r>
      <w:r w:rsidRPr="00380447">
        <w:rPr>
          <w:rFonts w:eastAsia="Aptos"/>
          <w:kern w:val="2"/>
          <w:vertAlign w:val="superscript"/>
          <w:lang w:val="" w:eastAsia="en-US"/>
        </w:rPr>
        <w:footnoteReference w:id="20"/>
      </w:r>
      <w:r w:rsidR="004106A4" w:rsidRPr="00380447">
        <w:rPr>
          <w:rFonts w:eastAsia="Aptos"/>
          <w:kern w:val="2"/>
          <w:lang w:val="" w:eastAsia="en-US"/>
        </w:rPr>
        <w:t xml:space="preserve"> F</w:t>
      </w:r>
      <w:r w:rsidRPr="00380447">
        <w:rPr>
          <w:rFonts w:eastAsia="Aptos"/>
          <w:kern w:val="2"/>
          <w:lang w:val="" w:eastAsia="en-US"/>
        </w:rPr>
        <w:t xml:space="preserve">or the healers interviewed, efficacy emerges precisely through non-transferability. A healing practice tied to a river cannot be replicated in a garden. Knowledge is not carried from place to place—it is forged through emplacement. When participants </w:t>
      </w:r>
      <w:r w:rsidR="004106A4" w:rsidRPr="00380447">
        <w:rPr>
          <w:rFonts w:eastAsia="Aptos"/>
          <w:kern w:val="2"/>
          <w:lang w:val="" w:eastAsia="en-US"/>
        </w:rPr>
        <w:t>critique</w:t>
      </w:r>
      <w:r w:rsidR="007D7120" w:rsidRPr="00380447">
        <w:rPr>
          <w:rFonts w:eastAsia="Aptos"/>
          <w:kern w:val="2"/>
          <w:lang w:val="" w:eastAsia="en-US"/>
        </w:rPr>
        <w:t>d</w:t>
      </w:r>
      <w:r w:rsidR="004106A4" w:rsidRPr="00380447">
        <w:rPr>
          <w:rFonts w:eastAsia="Aptos"/>
          <w:kern w:val="2"/>
          <w:lang w:val="" w:eastAsia="en-US"/>
        </w:rPr>
        <w:t xml:space="preserve"> government promotion medicinal seed planting, </w:t>
      </w:r>
      <w:r w:rsidRPr="00380447">
        <w:rPr>
          <w:rFonts w:eastAsia="Aptos"/>
          <w:kern w:val="2"/>
          <w:lang w:val="" w:eastAsia="en-US"/>
        </w:rPr>
        <w:t>they did so because transplanting sacred flora without ancestral and ecological sanction renders the medicine inert.</w:t>
      </w:r>
    </w:p>
    <w:p w14:paraId="5ACB79C8"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 xml:space="preserve">The consequences of this dislocation were described not only in terms of failed growth, but of refusal. “Some plants won’t grow unless they’re by the river,” one healer explained. This was not framed </w:t>
      </w:r>
      <w:r w:rsidR="007D7120" w:rsidRPr="00380447">
        <w:rPr>
          <w:rFonts w:eastAsia="Aptos"/>
          <w:kern w:val="2"/>
          <w:lang w:val="" w:eastAsia="en-US"/>
        </w:rPr>
        <w:t xml:space="preserve">in </w:t>
      </w:r>
      <w:r w:rsidRPr="00380447">
        <w:rPr>
          <w:rFonts w:eastAsia="Aptos"/>
          <w:kern w:val="2"/>
          <w:lang w:val="" w:eastAsia="en-US"/>
        </w:rPr>
        <w:t>as a matter of soil composition or microclimate, but as evidence of metaphysical withdrawal</w:t>
      </w:r>
      <w:r w:rsidR="007D7120" w:rsidRPr="00380447">
        <w:rPr>
          <w:rFonts w:eastAsia="Aptos"/>
          <w:kern w:val="2"/>
          <w:lang w:val="" w:eastAsia="en-US"/>
        </w:rPr>
        <w:t xml:space="preserve"> in its Nyanja explanation</w:t>
      </w:r>
      <w:r w:rsidRPr="00380447">
        <w:rPr>
          <w:rFonts w:eastAsia="Aptos"/>
          <w:kern w:val="2"/>
          <w:lang w:val="" w:eastAsia="en-US"/>
        </w:rPr>
        <w:t xml:space="preserve">. The plant, in this view, exercises agency; it refuses to perform outside its network of obligations. Mathews’ analysis </w:t>
      </w:r>
      <w:r w:rsidR="007D7120" w:rsidRPr="00380447">
        <w:rPr>
          <w:rFonts w:eastAsia="Aptos"/>
          <w:kern w:val="2"/>
          <w:lang w:val="" w:eastAsia="en-US"/>
        </w:rPr>
        <w:t xml:space="preserve">here </w:t>
      </w:r>
      <w:r w:rsidRPr="00380447">
        <w:rPr>
          <w:rFonts w:eastAsia="Aptos"/>
          <w:kern w:val="2"/>
          <w:lang w:val="" w:eastAsia="en-US"/>
        </w:rPr>
        <w:t xml:space="preserve">helps </w:t>
      </w:r>
      <w:r w:rsidRPr="00380447">
        <w:rPr>
          <w:rFonts w:eastAsia="Aptos"/>
          <w:kern w:val="2"/>
          <w:lang w:val="" w:eastAsia="en-US"/>
        </w:rPr>
        <w:lastRenderedPageBreak/>
        <w:t>illuminate this phenomenon</w:t>
      </w:r>
      <w:r w:rsidR="007D7120" w:rsidRPr="00380447">
        <w:rPr>
          <w:rFonts w:eastAsia="Aptos"/>
          <w:kern w:val="2"/>
          <w:lang w:val="" w:eastAsia="en-US"/>
        </w:rPr>
        <w:t xml:space="preserve"> when</w:t>
      </w:r>
      <w:r w:rsidRPr="00380447">
        <w:rPr>
          <w:rFonts w:eastAsia="Aptos"/>
          <w:kern w:val="2"/>
          <w:lang w:val="" w:eastAsia="en-US"/>
        </w:rPr>
        <w:t xml:space="preserve"> traces the ecological consequences of Cartesian dualism</w:t>
      </w:r>
      <w:r w:rsidR="007D7120" w:rsidRPr="00380447">
        <w:rPr>
          <w:rFonts w:eastAsia="Aptos"/>
          <w:kern w:val="2"/>
          <w:lang w:val="" w:eastAsia="en-US"/>
        </w:rPr>
        <w:t>.</w:t>
      </w:r>
      <w:r w:rsidRPr="00380447">
        <w:rPr>
          <w:rFonts w:eastAsia="Aptos"/>
          <w:kern w:val="2"/>
          <w:vertAlign w:val="superscript"/>
          <w:lang w:val="" w:eastAsia="en-US"/>
        </w:rPr>
        <w:footnoteReference w:id="21"/>
      </w:r>
      <w:r w:rsidR="007D7120" w:rsidRPr="00380447">
        <w:rPr>
          <w:rFonts w:eastAsia="Aptos"/>
          <w:kern w:val="2"/>
          <w:lang w:val="" w:eastAsia="en-US"/>
        </w:rPr>
        <w:t xml:space="preserve"> According to Mathews’</w:t>
      </w:r>
      <w:r w:rsidRPr="00380447">
        <w:rPr>
          <w:rFonts w:eastAsia="Aptos"/>
          <w:kern w:val="2"/>
          <w:lang w:val="" w:eastAsia="en-US"/>
        </w:rPr>
        <w:t xml:space="preserve"> </w:t>
      </w:r>
      <w:r w:rsidR="007D7120" w:rsidRPr="00380447">
        <w:rPr>
          <w:rFonts w:eastAsia="Aptos"/>
          <w:kern w:val="2"/>
          <w:lang w:val="" w:eastAsia="en-US"/>
        </w:rPr>
        <w:t>logic, the metaphysical withdrawal described during the discussion</w:t>
      </w:r>
      <w:r w:rsidRPr="00380447">
        <w:rPr>
          <w:rFonts w:eastAsia="Aptos"/>
          <w:kern w:val="2"/>
          <w:lang w:val="" w:eastAsia="en-US"/>
        </w:rPr>
        <w:t xml:space="preserve"> </w:t>
      </w:r>
      <w:r w:rsidR="007D7120" w:rsidRPr="00380447">
        <w:rPr>
          <w:rFonts w:eastAsia="Aptos"/>
          <w:kern w:val="2"/>
          <w:lang w:val="" w:eastAsia="en-US"/>
        </w:rPr>
        <w:t xml:space="preserve">may be the results of what she classifies </w:t>
      </w:r>
      <w:r w:rsidRPr="00380447">
        <w:rPr>
          <w:rFonts w:eastAsia="Aptos"/>
          <w:kern w:val="2"/>
          <w:lang w:val="" w:eastAsia="en-US"/>
        </w:rPr>
        <w:t>a</w:t>
      </w:r>
      <w:r w:rsidR="007D7120" w:rsidRPr="00380447">
        <w:rPr>
          <w:rFonts w:eastAsia="Aptos"/>
          <w:kern w:val="2"/>
          <w:lang w:val="" w:eastAsia="en-US"/>
        </w:rPr>
        <w:t>s</w:t>
      </w:r>
      <w:r w:rsidRPr="00380447">
        <w:rPr>
          <w:rFonts w:eastAsia="Aptos"/>
          <w:kern w:val="2"/>
          <w:lang w:val="" w:eastAsia="en-US"/>
        </w:rPr>
        <w:t xml:space="preserve"> metaphysics of disposability, where nature becomes inert standing reserve. </w:t>
      </w:r>
      <w:r w:rsidR="007D7120" w:rsidRPr="00380447">
        <w:rPr>
          <w:rFonts w:eastAsia="Aptos"/>
          <w:kern w:val="2"/>
          <w:lang w:val="" w:eastAsia="en-US"/>
        </w:rPr>
        <w:t xml:space="preserve">However, the </w:t>
      </w:r>
      <w:r w:rsidRPr="00380447">
        <w:rPr>
          <w:rFonts w:eastAsia="Aptos"/>
          <w:kern w:val="2"/>
          <w:lang w:val="" w:eastAsia="en-US"/>
        </w:rPr>
        <w:t>healers’ observations demonstrate the inverse: they inhabit a cosmology in which subjectivity is distributed across the more-than-human world. The land does not receive knowledge—it holds it. The plant does not deliver efficacy on demand—it consents.</w:t>
      </w:r>
      <w:r w:rsidR="007D7120" w:rsidRPr="00380447">
        <w:rPr>
          <w:rFonts w:eastAsia="Aptos"/>
          <w:kern w:val="2"/>
          <w:lang w:val="" w:eastAsia="en-US"/>
        </w:rPr>
        <w:t xml:space="preserve"> The metaphysics of disposability is a void idea in a </w:t>
      </w:r>
      <w:r w:rsidR="00147528" w:rsidRPr="00380447">
        <w:rPr>
          <w:rFonts w:eastAsia="Aptos"/>
          <w:kern w:val="2"/>
          <w:lang w:val="" w:eastAsia="en-US"/>
        </w:rPr>
        <w:t xml:space="preserve">theoretical paradigm </w:t>
      </w:r>
      <w:r w:rsidR="007D7120" w:rsidRPr="00380447">
        <w:rPr>
          <w:rFonts w:eastAsia="Aptos"/>
          <w:kern w:val="2"/>
          <w:lang w:val="" w:eastAsia="en-US"/>
        </w:rPr>
        <w:t>where nature was never a standing reserve.</w:t>
      </w:r>
      <w:r w:rsidRPr="00380447">
        <w:rPr>
          <w:rFonts w:eastAsia="Aptos"/>
          <w:kern w:val="2"/>
          <w:lang w:val="" w:eastAsia="en-US"/>
        </w:rPr>
        <w:t xml:space="preserve"> Healing </w:t>
      </w:r>
      <w:r w:rsidR="007D7120" w:rsidRPr="00380447">
        <w:rPr>
          <w:rFonts w:eastAsia="Aptos"/>
          <w:kern w:val="2"/>
          <w:lang w:val="" w:eastAsia="en-US"/>
        </w:rPr>
        <w:t xml:space="preserve">for THPAZ members </w:t>
      </w:r>
      <w:r w:rsidRPr="00380447">
        <w:rPr>
          <w:rFonts w:eastAsia="Aptos"/>
          <w:kern w:val="2"/>
          <w:lang w:val="" w:eastAsia="en-US"/>
        </w:rPr>
        <w:t xml:space="preserve">does not result from proper technique alone—it unfolds through the </w:t>
      </w:r>
      <w:r w:rsidR="007D7120" w:rsidRPr="00380447">
        <w:rPr>
          <w:rFonts w:eastAsia="Aptos"/>
          <w:kern w:val="2"/>
          <w:lang w:val="" w:eastAsia="en-US"/>
        </w:rPr>
        <w:t xml:space="preserve">intangible </w:t>
      </w:r>
      <w:r w:rsidRPr="00380447">
        <w:rPr>
          <w:rFonts w:eastAsia="Aptos"/>
          <w:kern w:val="2"/>
          <w:lang w:val="" w:eastAsia="en-US"/>
        </w:rPr>
        <w:t>cooperation of spirit, healer, and terrain.</w:t>
      </w:r>
    </w:p>
    <w:p w14:paraId="4B0BE504"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 xml:space="preserve">This understanding of </w:t>
      </w:r>
      <w:r w:rsidR="00147528" w:rsidRPr="00380447">
        <w:rPr>
          <w:rFonts w:eastAsia="Aptos"/>
          <w:kern w:val="2"/>
          <w:lang w:val="" w:eastAsia="en-US"/>
        </w:rPr>
        <w:t>natures</w:t>
      </w:r>
      <w:bookmarkStart w:id="11" w:name="_Hlk197087023"/>
      <w:r w:rsidR="00147528" w:rsidRPr="00380447">
        <w:rPr>
          <w:rFonts w:eastAsia="Aptos"/>
          <w:kern w:val="2"/>
          <w:lang w:val="" w:eastAsia="en-US"/>
        </w:rPr>
        <w:t>’</w:t>
      </w:r>
      <w:bookmarkEnd w:id="11"/>
      <w:r w:rsidR="00A87133" w:rsidRPr="00380447">
        <w:rPr>
          <w:rFonts w:eastAsia="Aptos"/>
          <w:kern w:val="2"/>
          <w:lang w:val="" w:eastAsia="en-US"/>
        </w:rPr>
        <w:t xml:space="preserve"> </w:t>
      </w:r>
      <w:r w:rsidR="00147528" w:rsidRPr="00380447">
        <w:rPr>
          <w:rFonts w:eastAsia="Aptos"/>
          <w:kern w:val="2"/>
          <w:lang w:val="" w:eastAsia="en-US"/>
        </w:rPr>
        <w:t xml:space="preserve">capacity to </w:t>
      </w:r>
      <w:r w:rsidRPr="00380447">
        <w:rPr>
          <w:rFonts w:eastAsia="Aptos"/>
          <w:kern w:val="2"/>
          <w:lang w:val="" w:eastAsia="en-US"/>
        </w:rPr>
        <w:t>refus</w:t>
      </w:r>
      <w:r w:rsidR="00147528" w:rsidRPr="00380447">
        <w:rPr>
          <w:rFonts w:eastAsia="Aptos"/>
          <w:kern w:val="2"/>
          <w:lang w:val="" w:eastAsia="en-US"/>
        </w:rPr>
        <w:t xml:space="preserve">e </w:t>
      </w:r>
      <w:r w:rsidRPr="00380447">
        <w:rPr>
          <w:rFonts w:eastAsia="Aptos"/>
          <w:kern w:val="2"/>
          <w:lang w:val="" w:eastAsia="en-US"/>
        </w:rPr>
        <w:t>also applies to human beings. When asked what happens if someone resists the ancestral call to become a healer, one participant responded simply: “That sickness will kill you. No matter what medicines you take, it won’t cure it.” Refusal here is not read as a psychological state, but as a cosmological error that manifests as illness. The consequence is not metaphorical; it is the body registering a break in spiritual obligation. The illness is diagnostic: it indicates the disintegration of one’s relationship to the cosmological order.</w:t>
      </w:r>
      <w:r w:rsidR="00147528" w:rsidRPr="00380447">
        <w:rPr>
          <w:rFonts w:eastAsia="Aptos"/>
          <w:kern w:val="2"/>
          <w:lang w:val="" w:eastAsia="en-US"/>
        </w:rPr>
        <w:t xml:space="preserve"> </w:t>
      </w:r>
      <w:r w:rsidR="00A87133" w:rsidRPr="00380447">
        <w:rPr>
          <w:rFonts w:eastAsia="Aptos"/>
          <w:kern w:val="2"/>
          <w:lang w:val="" w:eastAsia="en-US"/>
        </w:rPr>
        <w:t xml:space="preserve">Fellow traditional healer, Mutwa, </w:t>
      </w:r>
      <w:r w:rsidR="00147528" w:rsidRPr="00380447">
        <w:rPr>
          <w:rFonts w:eastAsia="Aptos"/>
          <w:kern w:val="2"/>
          <w:lang w:val="" w:eastAsia="en-US"/>
        </w:rPr>
        <w:t xml:space="preserve">also frequently </w:t>
      </w:r>
      <w:r w:rsidRPr="00380447">
        <w:rPr>
          <w:rFonts w:eastAsia="Aptos"/>
          <w:kern w:val="2"/>
          <w:lang w:val="" w:eastAsia="en-US"/>
        </w:rPr>
        <w:t xml:space="preserve"> describe</w:t>
      </w:r>
      <w:r w:rsidR="00147528" w:rsidRPr="00380447">
        <w:rPr>
          <w:rFonts w:eastAsia="Aptos"/>
          <w:kern w:val="2"/>
          <w:lang w:val="" w:eastAsia="en-US"/>
        </w:rPr>
        <w:t>d</w:t>
      </w:r>
      <w:r w:rsidRPr="00380447">
        <w:rPr>
          <w:rFonts w:eastAsia="Aptos"/>
          <w:kern w:val="2"/>
          <w:lang w:val="" w:eastAsia="en-US"/>
        </w:rPr>
        <w:t xml:space="preserve"> </w:t>
      </w:r>
      <w:r w:rsidR="00A87133" w:rsidRPr="00380447">
        <w:rPr>
          <w:rFonts w:eastAsia="Aptos"/>
          <w:kern w:val="2"/>
          <w:lang w:val="" w:eastAsia="en-US"/>
        </w:rPr>
        <w:t>instances where</w:t>
      </w:r>
      <w:r w:rsidRPr="00380447">
        <w:rPr>
          <w:rFonts w:eastAsia="Aptos"/>
          <w:kern w:val="2"/>
          <w:lang w:val="" w:eastAsia="en-US"/>
        </w:rPr>
        <w:t xml:space="preserve"> illness </w:t>
      </w:r>
      <w:r w:rsidR="00A87133" w:rsidRPr="00380447">
        <w:rPr>
          <w:rFonts w:eastAsia="Aptos"/>
          <w:kern w:val="2"/>
          <w:lang w:val="" w:eastAsia="en-US"/>
        </w:rPr>
        <w:t>was only</w:t>
      </w:r>
      <w:r w:rsidRPr="00380447">
        <w:rPr>
          <w:rFonts w:eastAsia="Aptos"/>
          <w:kern w:val="2"/>
          <w:lang w:val="" w:eastAsia="en-US"/>
        </w:rPr>
        <w:t xml:space="preserve"> resolved after accepting the path laid out by the ancestors. The pain, the collapse, and the eventual healing are all moments in a pedagogical sequence governed by spiritual instruction.</w:t>
      </w:r>
    </w:p>
    <w:p w14:paraId="225DB1DB"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 xml:space="preserve">To </w:t>
      </w:r>
      <w:r w:rsidR="00A87133" w:rsidRPr="00380447">
        <w:rPr>
          <w:rFonts w:eastAsia="Aptos"/>
          <w:kern w:val="2"/>
          <w:lang w:val="" w:eastAsia="en-US"/>
        </w:rPr>
        <w:t>better interpret</w:t>
      </w:r>
      <w:r w:rsidRPr="00380447">
        <w:rPr>
          <w:rFonts w:eastAsia="Aptos"/>
          <w:kern w:val="2"/>
          <w:lang w:val="" w:eastAsia="en-US"/>
        </w:rPr>
        <w:t xml:space="preserve"> </w:t>
      </w:r>
      <w:r w:rsidR="00A87133" w:rsidRPr="00380447">
        <w:rPr>
          <w:rFonts w:eastAsia="Aptos"/>
          <w:kern w:val="2"/>
          <w:lang w:val="" w:eastAsia="en-US"/>
        </w:rPr>
        <w:t>the healers’</w:t>
      </w:r>
      <w:r w:rsidRPr="00380447">
        <w:rPr>
          <w:rFonts w:eastAsia="Aptos"/>
          <w:kern w:val="2"/>
          <w:lang w:val="" w:eastAsia="en-US"/>
        </w:rPr>
        <w:t xml:space="preserve"> epistemological model, Chilisa’s framework of relational accountability is essential</w:t>
      </w:r>
      <w:r w:rsidR="00A87133" w:rsidRPr="00380447">
        <w:rPr>
          <w:rFonts w:eastAsia="Aptos"/>
          <w:kern w:val="2"/>
          <w:lang w:val="" w:eastAsia="en-US"/>
        </w:rPr>
        <w:t>.</w:t>
      </w:r>
      <w:r w:rsidRPr="00380447">
        <w:rPr>
          <w:rFonts w:eastAsia="Aptos"/>
          <w:kern w:val="2"/>
          <w:vertAlign w:val="superscript"/>
          <w:lang w:val="" w:eastAsia="en-US"/>
        </w:rPr>
        <w:footnoteReference w:id="22"/>
      </w:r>
      <w:r w:rsidR="00A87133" w:rsidRPr="00380447">
        <w:rPr>
          <w:rFonts w:eastAsia="Aptos"/>
          <w:kern w:val="2"/>
          <w:lang w:val="" w:eastAsia="en-US"/>
        </w:rPr>
        <w:t xml:space="preserve"> One must approach the cosmologies as</w:t>
      </w:r>
      <w:r w:rsidRPr="00380447">
        <w:rPr>
          <w:rFonts w:eastAsia="Aptos"/>
          <w:kern w:val="2"/>
          <w:lang w:val="" w:eastAsia="en-US"/>
        </w:rPr>
        <w:t xml:space="preserve"> system</w:t>
      </w:r>
      <w:r w:rsidR="00A87133" w:rsidRPr="00380447">
        <w:rPr>
          <w:rFonts w:eastAsia="Aptos"/>
          <w:kern w:val="2"/>
          <w:lang w:val="" w:eastAsia="en-US"/>
        </w:rPr>
        <w:t>s</w:t>
      </w:r>
      <w:r w:rsidRPr="00380447">
        <w:rPr>
          <w:rFonts w:eastAsia="Aptos"/>
          <w:kern w:val="2"/>
          <w:lang w:val="" w:eastAsia="en-US"/>
        </w:rPr>
        <w:t xml:space="preserve"> of knowledge grounded in obligations to the living, the dead, the unborn, and the land itself.</w:t>
      </w:r>
      <w:r w:rsidR="00A87133" w:rsidRPr="00380447">
        <w:rPr>
          <w:rFonts w:eastAsia="Aptos"/>
          <w:kern w:val="2"/>
          <w:lang w:val="" w:eastAsia="en-US"/>
        </w:rPr>
        <w:t xml:space="preserve"> K</w:t>
      </w:r>
      <w:r w:rsidRPr="00380447">
        <w:rPr>
          <w:rFonts w:eastAsia="Aptos"/>
          <w:kern w:val="2"/>
          <w:lang w:val="" w:eastAsia="en-US"/>
        </w:rPr>
        <w:t xml:space="preserve">nowledge, in this system, emerges through maintaining </w:t>
      </w:r>
      <w:r w:rsidR="00A9226E" w:rsidRPr="00380447">
        <w:rPr>
          <w:rFonts w:eastAsia="Aptos"/>
          <w:kern w:val="2"/>
          <w:lang w:val="" w:eastAsia="en-US"/>
        </w:rPr>
        <w:t>naturally existing</w:t>
      </w:r>
      <w:r w:rsidRPr="00380447">
        <w:rPr>
          <w:rFonts w:eastAsia="Aptos"/>
          <w:kern w:val="2"/>
          <w:lang w:val="" w:eastAsia="en-US"/>
        </w:rPr>
        <w:t xml:space="preserve"> relationships</w:t>
      </w:r>
      <w:r w:rsidR="00A9226E" w:rsidRPr="00380447">
        <w:rPr>
          <w:rFonts w:eastAsia="Aptos"/>
          <w:kern w:val="2"/>
          <w:lang w:val="" w:eastAsia="en-US"/>
        </w:rPr>
        <w:t xml:space="preserve"> with the planet</w:t>
      </w:r>
      <w:r w:rsidRPr="00380447">
        <w:rPr>
          <w:rFonts w:eastAsia="Aptos"/>
          <w:kern w:val="2"/>
          <w:lang w:val="" w:eastAsia="en-US"/>
        </w:rPr>
        <w:t>. The assertion that “no medicine will help you” until the calling is accepted becomes legible within this framework: healing requires realignment with ancestral duty, not symptom management. When obligation is neglected, the disorder is not private—it affects a larger field of ethical and spiritual coherence.</w:t>
      </w:r>
    </w:p>
    <w:p w14:paraId="7F7CEB82"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 xml:space="preserve">This </w:t>
      </w:r>
      <w:r w:rsidR="00A9226E" w:rsidRPr="00380447">
        <w:rPr>
          <w:rFonts w:eastAsia="Aptos"/>
          <w:kern w:val="2"/>
          <w:lang w:val="" w:eastAsia="en-US"/>
        </w:rPr>
        <w:t xml:space="preserve">is the </w:t>
      </w:r>
      <w:r w:rsidRPr="00380447">
        <w:rPr>
          <w:rFonts w:eastAsia="Aptos"/>
          <w:kern w:val="2"/>
          <w:lang w:val="" w:eastAsia="en-US"/>
        </w:rPr>
        <w:t xml:space="preserve">logic </w:t>
      </w:r>
      <w:r w:rsidR="00A9226E" w:rsidRPr="00380447">
        <w:rPr>
          <w:rFonts w:eastAsia="Aptos"/>
          <w:kern w:val="2"/>
          <w:lang w:val="" w:eastAsia="en-US"/>
        </w:rPr>
        <w:t>which</w:t>
      </w:r>
      <w:r w:rsidRPr="00380447">
        <w:rPr>
          <w:rFonts w:eastAsia="Aptos"/>
          <w:kern w:val="2"/>
          <w:lang w:val="" w:eastAsia="en-US"/>
        </w:rPr>
        <w:t xml:space="preserve"> governs environmental relationships. Harvesting is conditioned by cosmological principles that structure how, when, and under what conditions land may be engaged. “What we take, we must give,” said one elder. This reciprocity is an ethical technology for maintaining the flow of spiritual and ecological vitality. These practices function as what Mathews might </w:t>
      </w:r>
      <w:r w:rsidR="00A9226E" w:rsidRPr="00380447">
        <w:rPr>
          <w:rFonts w:eastAsia="Aptos"/>
          <w:kern w:val="2"/>
          <w:lang w:val="" w:eastAsia="en-US"/>
        </w:rPr>
        <w:t>identify as</w:t>
      </w:r>
      <w:r w:rsidRPr="00380447">
        <w:rPr>
          <w:rFonts w:eastAsia="Aptos"/>
          <w:kern w:val="2"/>
          <w:lang w:val="" w:eastAsia="en-US"/>
        </w:rPr>
        <w:t xml:space="preserve"> rituals of intersubjectivity—modes of engaging with the world that acknowledge the agency of nonhuman beings and bind the healer into a web of mutual responsibility.</w:t>
      </w:r>
      <w:r w:rsidRPr="00380447">
        <w:rPr>
          <w:rFonts w:eastAsia="Aptos"/>
          <w:kern w:val="2"/>
          <w:vertAlign w:val="superscript"/>
          <w:lang w:val="" w:eastAsia="en-US"/>
        </w:rPr>
        <w:footnoteReference w:id="23"/>
      </w:r>
    </w:p>
    <w:p w14:paraId="7663C8F8"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 xml:space="preserve">The consequences of violating these protocols are observable. Participants linked spiritual and ecological degradation, describing how medicines had “stopped working” in areas where land had been fenced, rivers diverted, or sacred sites developed. One healer interpreted these </w:t>
      </w:r>
      <w:r w:rsidRPr="00380447">
        <w:rPr>
          <w:rFonts w:eastAsia="Aptos"/>
          <w:kern w:val="2"/>
          <w:lang w:val="" w:eastAsia="en-US"/>
        </w:rPr>
        <w:lastRenderedPageBreak/>
        <w:t>breakdowns as a warning: “Maybe the spirits are telling us we need to change.” This statement is diagnostic. The land and spirits are registering a breach in the ethical order. Healers do not separate ecological decline from spiritual disapproval—the two are read as co-expressive. Healing becomes possible again only through re-establishing relational alignment.</w:t>
      </w:r>
    </w:p>
    <w:p w14:paraId="6D21BDEA"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 xml:space="preserve">This logic appears not only in everyday practice but in institutional documents. </w:t>
      </w:r>
      <w:r w:rsidR="00A9226E" w:rsidRPr="00380447">
        <w:rPr>
          <w:rFonts w:eastAsia="Aptos"/>
          <w:kern w:val="2"/>
          <w:lang w:val="" w:eastAsia="en-US"/>
        </w:rPr>
        <w:t xml:space="preserve">A review of </w:t>
      </w:r>
      <w:r w:rsidRPr="00380447">
        <w:rPr>
          <w:rFonts w:eastAsia="Aptos"/>
          <w:kern w:val="2"/>
          <w:lang w:val="" w:eastAsia="en-US"/>
        </w:rPr>
        <w:t>THPAZ’s Code of Ethics invokes integrity, respect for ancestral instruction, and cosmological responsibility. Even as the organisation translates healing into terms legible to policy and biomedical systems, it affirms that the source of therapeutic legitimacy lies elsewhere—in ancestral law and ecological fidelity. That tension—between formalising knowledge and preserving its cosmological core—remains unresolved. Yet participants were clear: no institution could substitute for the authority of land and spirit.</w:t>
      </w:r>
    </w:p>
    <w:p w14:paraId="427FA288" w14:textId="77777777" w:rsidR="00A9226E" w:rsidRPr="00380447" w:rsidRDefault="00000000" w:rsidP="00917C4D">
      <w:pPr>
        <w:spacing w:after="160" w:line="278" w:lineRule="auto"/>
        <w:rPr>
          <w:rFonts w:eastAsia="Aptos"/>
          <w:kern w:val="2"/>
          <w:lang w:val="" w:eastAsia="en-US"/>
        </w:rPr>
      </w:pPr>
      <w:r w:rsidRPr="00380447">
        <w:rPr>
          <w:rFonts w:eastAsia="Aptos"/>
          <w:kern w:val="2"/>
          <w:lang w:val="" w:eastAsia="en-US"/>
        </w:rPr>
        <w:t>The</w:t>
      </w:r>
      <w:r w:rsidR="00917C4D" w:rsidRPr="00380447">
        <w:rPr>
          <w:rFonts w:eastAsia="Aptos"/>
          <w:kern w:val="2"/>
          <w:lang w:val="" w:eastAsia="en-US"/>
        </w:rPr>
        <w:t xml:space="preserve"> accounts </w:t>
      </w:r>
      <w:r w:rsidRPr="00380447">
        <w:rPr>
          <w:rFonts w:eastAsia="Aptos"/>
          <w:kern w:val="2"/>
          <w:lang w:val="" w:eastAsia="en-US"/>
        </w:rPr>
        <w:t xml:space="preserve">shared </w:t>
      </w:r>
      <w:r w:rsidR="00917C4D" w:rsidRPr="00380447">
        <w:rPr>
          <w:rFonts w:eastAsia="Aptos"/>
          <w:kern w:val="2"/>
          <w:lang w:val="" w:eastAsia="en-US"/>
        </w:rPr>
        <w:t xml:space="preserve">reframe what counts as knowledge. Participants do not describe healing as a skill to be mastered, but as a practice governed by ritual, spiritual timing, and environmental responsiveness. </w:t>
      </w:r>
      <w:r w:rsidRPr="00380447">
        <w:rPr>
          <w:rFonts w:eastAsia="Aptos"/>
          <w:kern w:val="2"/>
          <w:lang w:val="" w:eastAsia="en-US"/>
        </w:rPr>
        <w:t xml:space="preserve"> </w:t>
      </w:r>
      <w:r w:rsidR="00917C4D" w:rsidRPr="00380447">
        <w:rPr>
          <w:rFonts w:eastAsia="Aptos"/>
          <w:kern w:val="2"/>
          <w:lang w:val="" w:eastAsia="en-US"/>
        </w:rPr>
        <w:t>Such an ontology demands a</w:t>
      </w:r>
      <w:r w:rsidRPr="00380447">
        <w:rPr>
          <w:rFonts w:eastAsia="Aptos"/>
          <w:kern w:val="2"/>
          <w:lang w:val="" w:eastAsia="en-US"/>
        </w:rPr>
        <w:t xml:space="preserve"> decolonial and Afrocentric</w:t>
      </w:r>
      <w:r w:rsidR="00917C4D" w:rsidRPr="00380447">
        <w:rPr>
          <w:rFonts w:eastAsia="Aptos"/>
          <w:kern w:val="2"/>
          <w:lang w:val="" w:eastAsia="en-US"/>
        </w:rPr>
        <w:t xml:space="preserve"> theory of knowledge production. Paulin Hountondji’s critique of how African thinkers have been positioned as data-providers rather than theorists becomes especially relevant here. </w:t>
      </w:r>
      <w:r w:rsidRPr="00380447">
        <w:rPr>
          <w:rFonts w:eastAsia="Aptos"/>
          <w:kern w:val="2"/>
          <w:lang w:val="" w:eastAsia="en-US"/>
        </w:rPr>
        <w:t xml:space="preserve">When </w:t>
      </w:r>
      <w:r w:rsidR="00917C4D" w:rsidRPr="00380447">
        <w:rPr>
          <w:rFonts w:eastAsia="Aptos"/>
          <w:kern w:val="2"/>
          <w:lang w:val="" w:eastAsia="en-US"/>
        </w:rPr>
        <w:t>he argues that colonial knowledge regimes extracted insight from Indigenous practitioners while denying them conceptual authorship</w:t>
      </w:r>
      <w:r w:rsidRPr="00380447">
        <w:rPr>
          <w:rFonts w:eastAsia="Aptos"/>
          <w:kern w:val="2"/>
          <w:lang w:val="" w:eastAsia="en-US"/>
        </w:rPr>
        <w:t>, the words of word of Mutwa in his later years gain increased profoundness:</w:t>
      </w:r>
    </w:p>
    <w:p w14:paraId="358B243B" w14:textId="77777777" w:rsidR="00A9226E" w:rsidRPr="00380447" w:rsidRDefault="00000000" w:rsidP="00917C4D">
      <w:pPr>
        <w:spacing w:after="160" w:line="278" w:lineRule="auto"/>
        <w:rPr>
          <w:rFonts w:eastAsia="Aptos"/>
          <w:kern w:val="2"/>
          <w:lang w:val="" w:eastAsia="en-US"/>
        </w:rPr>
      </w:pPr>
      <w:r w:rsidRPr="00380447">
        <w:rPr>
          <w:rFonts w:eastAsia="Aptos"/>
          <w:kern w:val="2"/>
          <w:lang w:val="" w:eastAsia="en-US"/>
        </w:rPr>
        <w:t>“I am one of the scums of this earth, a creature rejected and ridiculed by university professors, professors who later came sneaking into my home seeking the very information that they ridiculed me for revealing.”</w:t>
      </w:r>
      <w:r w:rsidRPr="00380447">
        <w:rPr>
          <w:rFonts w:eastAsia="Aptos"/>
          <w:kern w:val="2"/>
          <w:vertAlign w:val="superscript"/>
          <w:lang w:val="" w:eastAsia="en-US"/>
        </w:rPr>
        <w:footnoteReference w:id="24"/>
      </w:r>
    </w:p>
    <w:p w14:paraId="35F9C9B2"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Like Mutwa</w:t>
      </w:r>
      <w:r w:rsidR="003E0690" w:rsidRPr="00380447">
        <w:rPr>
          <w:rFonts w:eastAsia="Aptos"/>
          <w:kern w:val="2"/>
          <w:lang w:val="" w:eastAsia="en-US"/>
        </w:rPr>
        <w:t xml:space="preserve">, </w:t>
      </w:r>
      <w:r w:rsidRPr="00380447">
        <w:rPr>
          <w:rFonts w:eastAsia="Aptos"/>
          <w:kern w:val="2"/>
          <w:lang w:val="" w:eastAsia="en-US"/>
        </w:rPr>
        <w:t>the healers in this study do not await theoretical validation. They already produce theory through diagnostic practice, ecological attunement, and ritual repetition. Their knowledge is internally coherent, experimentally applied, and epistemologically rigorous. The statement, “The medicine may be strong, but if the land is not ready, it will not work,” encapsulates an entire system of reasoning in which ontology and efficacy are inseparable. Theory here is not located in abstraction, but in the relational rhythms of practice. The land does not merely host theory—it participates in its articulation. Hountondji’s call for intellectual sovereignty materializes in the work these healers are already doing. They are active interpreters of change, adapting ritual protocols in response to environmental and spiritual disturbance. They do not merely preserve ancestral knowledge—they test and refine it in the face of urbanisation, resource extraction, and climate variability.</w:t>
      </w:r>
    </w:p>
    <w:p w14:paraId="4ABB7879"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t xml:space="preserve">The healer’s practice, then, is simultaneously </w:t>
      </w:r>
      <w:r w:rsidR="003E0690" w:rsidRPr="00380447">
        <w:rPr>
          <w:rFonts w:eastAsia="Aptos"/>
          <w:kern w:val="2"/>
          <w:lang w:val="" w:eastAsia="en-US"/>
        </w:rPr>
        <w:t xml:space="preserve">environmentally conscious, </w:t>
      </w:r>
      <w:r w:rsidRPr="00380447">
        <w:rPr>
          <w:rFonts w:eastAsia="Aptos"/>
          <w:kern w:val="2"/>
          <w:lang w:val="" w:eastAsia="en-US"/>
        </w:rPr>
        <w:t xml:space="preserve">diagnostic, and epistemological. When medicines stop working or spirits withdraw, they are the </w:t>
      </w:r>
      <w:r w:rsidR="003E0690" w:rsidRPr="00380447">
        <w:rPr>
          <w:rFonts w:eastAsia="Aptos"/>
          <w:kern w:val="2"/>
          <w:lang w:val="" w:eastAsia="en-US"/>
        </w:rPr>
        <w:t xml:space="preserve">planetary </w:t>
      </w:r>
      <w:r w:rsidRPr="00380447">
        <w:rPr>
          <w:rFonts w:eastAsia="Aptos"/>
          <w:kern w:val="2"/>
          <w:lang w:val="" w:eastAsia="en-US"/>
        </w:rPr>
        <w:t>system speaking. The world communicates its distress through ritual failure. The healer’s task is to listen, interpret, and act.</w:t>
      </w:r>
    </w:p>
    <w:p w14:paraId="15098663" w14:textId="77777777" w:rsidR="00917C4D" w:rsidRPr="00380447" w:rsidRDefault="00000000" w:rsidP="00917C4D">
      <w:pPr>
        <w:spacing w:after="160" w:line="278" w:lineRule="auto"/>
        <w:rPr>
          <w:rFonts w:eastAsia="Aptos"/>
          <w:kern w:val="2"/>
          <w:lang w:val="" w:eastAsia="en-US"/>
        </w:rPr>
      </w:pPr>
      <w:r w:rsidRPr="00380447">
        <w:rPr>
          <w:rFonts w:eastAsia="Aptos"/>
          <w:kern w:val="2"/>
          <w:lang w:val="" w:eastAsia="en-US"/>
        </w:rPr>
        <w:lastRenderedPageBreak/>
        <w:t>This research confirms that cosmology is not background to healing</w:t>
      </w:r>
      <w:r w:rsidR="003E0690" w:rsidRPr="00380447">
        <w:rPr>
          <w:rFonts w:eastAsia="Aptos"/>
          <w:kern w:val="2"/>
          <w:lang w:val="" w:eastAsia="en-US"/>
        </w:rPr>
        <w:t xml:space="preserve"> people and the land for THPAZ members</w:t>
      </w:r>
      <w:r w:rsidRPr="00380447">
        <w:rPr>
          <w:rFonts w:eastAsia="Aptos"/>
          <w:kern w:val="2"/>
          <w:lang w:val="" w:eastAsia="en-US"/>
        </w:rPr>
        <w:t xml:space="preserve">—it is its structure. The frameworks articulated by </w:t>
      </w:r>
      <w:r w:rsidR="003E0690" w:rsidRPr="00380447">
        <w:rPr>
          <w:rFonts w:eastAsia="Aptos"/>
          <w:kern w:val="2"/>
          <w:lang w:val="" w:eastAsia="en-US"/>
        </w:rPr>
        <w:t>practitioners</w:t>
      </w:r>
      <w:r w:rsidRPr="00380447">
        <w:rPr>
          <w:rFonts w:eastAsia="Aptos"/>
          <w:kern w:val="2"/>
          <w:lang w:val="" w:eastAsia="en-US"/>
        </w:rPr>
        <w:t xml:space="preserve"> are paradigms in themselves. They generate knowledge, enforce</w:t>
      </w:r>
      <w:r w:rsidR="003E0690" w:rsidRPr="00380447">
        <w:rPr>
          <w:rFonts w:eastAsia="Aptos"/>
          <w:kern w:val="2"/>
          <w:lang w:val="" w:eastAsia="en-US"/>
        </w:rPr>
        <w:t xml:space="preserve"> environmentally</w:t>
      </w:r>
      <w:r w:rsidRPr="00380447">
        <w:rPr>
          <w:rFonts w:eastAsia="Aptos"/>
          <w:kern w:val="2"/>
          <w:lang w:val="" w:eastAsia="en-US"/>
        </w:rPr>
        <w:t xml:space="preserve"> ethical boundaries, </w:t>
      </w:r>
      <w:r w:rsidR="003E0690" w:rsidRPr="00380447">
        <w:rPr>
          <w:rFonts w:eastAsia="Aptos"/>
          <w:kern w:val="2"/>
          <w:lang w:val="" w:eastAsia="en-US"/>
        </w:rPr>
        <w:t>through their understanding of</w:t>
      </w:r>
      <w:r w:rsidRPr="00380447">
        <w:rPr>
          <w:rFonts w:eastAsia="Aptos"/>
          <w:kern w:val="2"/>
          <w:lang w:val="" w:eastAsia="en-US"/>
        </w:rPr>
        <w:t xml:space="preserve"> how healing can occur. What emerges is not a body of belief</w:t>
      </w:r>
      <w:r w:rsidR="003E0690" w:rsidRPr="00380447">
        <w:rPr>
          <w:rFonts w:eastAsia="Aptos"/>
          <w:kern w:val="2"/>
          <w:lang w:val="" w:eastAsia="en-US"/>
        </w:rPr>
        <w:t xml:space="preserve"> about ecologies</w:t>
      </w:r>
      <w:r w:rsidRPr="00380447">
        <w:rPr>
          <w:rFonts w:eastAsia="Aptos"/>
          <w:kern w:val="2"/>
          <w:lang w:val="" w:eastAsia="en-US"/>
        </w:rPr>
        <w:t>, but a mode of thought—attuned to a world that remembers, reacts, and responds.</w:t>
      </w:r>
    </w:p>
    <w:p w14:paraId="297541EF" w14:textId="77777777" w:rsidR="00273C20" w:rsidRPr="00380447" w:rsidRDefault="00000000" w:rsidP="00273C20">
      <w:pPr>
        <w:pStyle w:val="Heading1"/>
        <w:keepLines/>
        <w:spacing w:before="360" w:after="80" w:line="278" w:lineRule="auto"/>
        <w:rPr>
          <w:rFonts w:ascii="Times New Roman" w:eastAsia="Times New Roman" w:hAnsi="Times New Roman" w:cs="Times New Roman"/>
          <w:b w:val="0"/>
          <w:bCs w:val="0"/>
          <w:kern w:val="2"/>
          <w:sz w:val="40"/>
          <w:szCs w:val="40"/>
          <w:lang w:val="" w:eastAsia=""/>
        </w:rPr>
      </w:pPr>
      <w:r w:rsidRPr="00380447">
        <w:rPr>
          <w:rFonts w:ascii="Times New Roman" w:eastAsia="Times New Roman" w:hAnsi="Times New Roman" w:cs="Times New Roman"/>
          <w:b w:val="0"/>
          <w:bCs w:val="0"/>
          <w:kern w:val="2"/>
          <w:sz w:val="40"/>
          <w:szCs w:val="40"/>
          <w:lang w:val="" w:eastAsia=""/>
        </w:rPr>
        <w:t>Conclusion</w:t>
      </w:r>
    </w:p>
    <w:p w14:paraId="126F299F" w14:textId="77777777" w:rsidR="00273C20" w:rsidRPr="005F67B9" w:rsidRDefault="00000000" w:rsidP="00273C20">
      <w:pPr>
        <w:spacing w:before="100" w:beforeAutospacing="1" w:after="100" w:afterAutospacing="1"/>
        <w:rPr>
          <w:rFonts w:eastAsia="Times New Roman"/>
          <w:lang w:val="" w:eastAsia=""/>
        </w:rPr>
      </w:pPr>
      <w:r w:rsidRPr="005F67B9">
        <w:rPr>
          <w:rFonts w:eastAsia="Times New Roman"/>
          <w:lang w:val="" w:eastAsia=""/>
        </w:rPr>
        <w:t>This research has traced the contours of healer epistemologies in Lusaka Province</w:t>
      </w:r>
      <w:r>
        <w:rPr>
          <w:rFonts w:eastAsia="Times New Roman"/>
          <w:lang w:val="" w:eastAsia=""/>
        </w:rPr>
        <w:t xml:space="preserve"> to demonstrate how </w:t>
      </w:r>
      <w:r w:rsidRPr="00380447">
        <w:rPr>
          <w:rFonts w:eastAsia="Aptos"/>
          <w:kern w:val="2"/>
          <w:lang w:val="" w:eastAsia="en-US"/>
        </w:rPr>
        <w:t>cosmological worldviews inform environmental understandings.</w:t>
      </w:r>
      <w:r w:rsidRPr="005F67B9">
        <w:rPr>
          <w:rFonts w:eastAsia="Times New Roman"/>
          <w:lang w:val="" w:eastAsia=""/>
        </w:rPr>
        <w:t xml:space="preserve"> Rather than extracting general themes, it has followed the structure of healer logic—attentive to refusal, precision, and place-based coherence. In doing so, it foregrounds a system of knowledge that does not seek assimilation into dominant frameworks, but instead asserts its own analytic, diagnostic, and ethical forms.</w:t>
      </w:r>
    </w:p>
    <w:p w14:paraId="4D9C6A4A" w14:textId="77777777" w:rsidR="00273C20" w:rsidRPr="005F67B9" w:rsidRDefault="00000000" w:rsidP="00273C20">
      <w:pPr>
        <w:spacing w:before="100" w:beforeAutospacing="1" w:after="100" w:afterAutospacing="1"/>
        <w:rPr>
          <w:rFonts w:eastAsia="Times New Roman"/>
          <w:lang w:val="" w:eastAsia=""/>
        </w:rPr>
      </w:pPr>
      <w:r w:rsidRPr="005F67B9">
        <w:rPr>
          <w:rFonts w:eastAsia="Times New Roman"/>
          <w:lang w:val="" w:eastAsia=""/>
        </w:rPr>
        <w:t xml:space="preserve">At the same time, the study’s scope presents several limitations. Its geographic focus is narrow, and while this enabled depth and relational trust, it also means that findings cannot be assumed to reflect healer cosmologies elsewhere in Zambia or the region. The reliance on participants affiliated with THPAZ may have shaped how healing was described, especially in institutional or policy contexts. Furthermore, while the study prioritised narrative and relational data, it could not </w:t>
      </w:r>
      <w:r>
        <w:rPr>
          <w:rFonts w:eastAsia="Times New Roman"/>
          <w:lang w:val="" w:eastAsia=""/>
        </w:rPr>
        <w:t xml:space="preserve">fully </w:t>
      </w:r>
      <w:r w:rsidRPr="005F67B9">
        <w:rPr>
          <w:rFonts w:eastAsia="Times New Roman"/>
          <w:lang w:val="" w:eastAsia=""/>
        </w:rPr>
        <w:t>trace how these cosmologies shift over time, especially in response to accelerated urbanisation and climate change. The absence of longitudinal insight limits what can be said about the durability or transformation of healer ethics under ongoing ecological pressure.</w:t>
      </w:r>
    </w:p>
    <w:p w14:paraId="04A67533" w14:textId="77777777" w:rsidR="00273C20" w:rsidRPr="005F67B9" w:rsidRDefault="00000000" w:rsidP="00273C20">
      <w:pPr>
        <w:spacing w:before="100" w:beforeAutospacing="1" w:after="100" w:afterAutospacing="1"/>
        <w:rPr>
          <w:rFonts w:eastAsia="Times New Roman"/>
          <w:lang w:val="" w:eastAsia=""/>
        </w:rPr>
      </w:pPr>
      <w:r w:rsidRPr="005F67B9">
        <w:rPr>
          <w:rFonts w:eastAsia="Times New Roman"/>
          <w:lang w:val="" w:eastAsia=""/>
        </w:rPr>
        <w:t xml:space="preserve">Future research might extend this work by engaging healer knowledge systems across multiple provinces, tracing differences in landscape-based ritual protocols, or comparing institutional and non-institutional practitioners. Studies that follow healers across time—documenting how practices adapt, how refusal is navigated, or how spiritual authority is contested—would add depth to understandings of how cosmology functions under duress. </w:t>
      </w:r>
    </w:p>
    <w:p w14:paraId="00EAD09E" w14:textId="77777777" w:rsidR="00917C4D" w:rsidRPr="00917C4D" w:rsidRDefault="00000000" w:rsidP="00273C20">
      <w:pPr>
        <w:spacing w:before="100" w:beforeAutospacing="1" w:after="100" w:afterAutospacing="1"/>
        <w:rPr>
          <w:rFonts w:eastAsia="Times New Roman"/>
          <w:lang w:val="" w:eastAsia=""/>
        </w:rPr>
      </w:pPr>
      <w:r w:rsidRPr="005F67B9">
        <w:rPr>
          <w:rFonts w:eastAsia="Times New Roman"/>
          <w:lang w:val="" w:eastAsia=""/>
        </w:rPr>
        <w:t>Ultimately, the aim is not to add Indigenous knowledge to existing models, but to continue developing methods and theoretical orientations that are accountable to the epistemologies being studied. This research affirms that such epistemologies do not require reinterpretation. They require room to think, act, and speak on their own terms—and for scholarship to learn how to listen accordingly.</w:t>
      </w:r>
    </w:p>
    <w:p w14:paraId="4B51DB85" w14:textId="77777777" w:rsidR="00413AE9" w:rsidRPr="00380447" w:rsidRDefault="00000000">
      <w:pPr>
        <w:spacing w:after="160" w:line="278" w:lineRule="auto"/>
        <w:rPr>
          <w:rFonts w:ascii="Aptos" w:eastAsia="Aptos" w:hAnsi="Aptos"/>
          <w:kern w:val="2"/>
          <w:lang w:val="" w:eastAsia="en-US"/>
        </w:rPr>
      </w:pPr>
      <w:r w:rsidRPr="00380447">
        <w:rPr>
          <w:rFonts w:ascii="Aptos" w:eastAsia="Aptos" w:hAnsi="Aptos" w:cstheme="minorBidi"/>
          <w:kern w:val="2"/>
          <w:lang w:val="" w:eastAsia="en-US"/>
        </w:rPr>
        <w:br w:type="page"/>
      </w:r>
    </w:p>
    <w:p w14:paraId="1E5F57E9" w14:textId="77777777" w:rsidR="00413AE9" w:rsidRPr="00380447" w:rsidRDefault="00000000" w:rsidP="00413AE9">
      <w:pPr>
        <w:pStyle w:val="Heading1"/>
        <w:keepLines/>
        <w:spacing w:before="360" w:after="80" w:line="278" w:lineRule="auto"/>
        <w:rPr>
          <w:rFonts w:ascii="Times New Roman" w:eastAsia="Times New Roman" w:hAnsi="Times New Roman" w:cs="Times New Roman"/>
          <w:b w:val="0"/>
          <w:bCs w:val="0"/>
          <w:kern w:val="2"/>
          <w:sz w:val="40"/>
          <w:szCs w:val="40"/>
          <w:lang w:val="" w:eastAsia="en-US"/>
        </w:rPr>
      </w:pPr>
      <w:r w:rsidRPr="00380447">
        <w:rPr>
          <w:rFonts w:ascii="Times New Roman" w:eastAsiaTheme="majorEastAsia" w:hAnsi="Times New Roman" w:cs="Times New Roman"/>
          <w:b w:val="0"/>
          <w:bCs w:val="0"/>
          <w:kern w:val="2"/>
          <w:sz w:val="40"/>
          <w:szCs w:val="40"/>
          <w:lang w:val="" w:eastAsia="en-US"/>
        </w:rPr>
        <w:t>Bibliography</w:t>
      </w:r>
    </w:p>
    <w:p w14:paraId="4ABC3560" w14:textId="77777777" w:rsidR="00413AE9" w:rsidRPr="00380447" w:rsidRDefault="00413AE9" w:rsidP="00413AE9">
      <w:pPr>
        <w:ind w:left="720" w:hanging="720"/>
        <w:rPr>
          <w:rFonts w:ascii="Aptos" w:eastAsia="Aptos" w:hAnsi="Aptos"/>
          <w:kern w:val="2"/>
          <w:lang w:val="" w:eastAsia="en-US"/>
        </w:rPr>
      </w:pPr>
    </w:p>
    <w:p w14:paraId="31587267" w14:textId="77777777" w:rsidR="00413AE9" w:rsidRPr="00380447" w:rsidRDefault="00000000" w:rsidP="00413AE9">
      <w:pPr>
        <w:ind w:left="720" w:hanging="720"/>
        <w:rPr>
          <w:rFonts w:eastAsia="Aptos"/>
          <w:kern w:val="2"/>
          <w:lang w:val="" w:eastAsia="en-US"/>
        </w:rPr>
      </w:pPr>
      <w:r w:rsidRPr="00380447">
        <w:rPr>
          <w:rFonts w:eastAsia="Aptos"/>
          <w:kern w:val="2"/>
          <w:lang w:val="" w:eastAsia="en-US"/>
        </w:rPr>
        <w:fldChar w:fldCharType="begin"/>
      </w:r>
      <w:r w:rsidRPr="00380447">
        <w:rPr>
          <w:rFonts w:eastAsia="Aptos"/>
          <w:kern w:val="2"/>
          <w:lang w:val="" w:eastAsia="en-US"/>
        </w:rPr>
        <w:instrText xml:space="preserve"> ADDIN ZOTERO_BIBL {"uncited":[],"omitted":[],"custom":[]} CSL_BIBLIOGRAPHY </w:instrText>
      </w:r>
      <w:r w:rsidRPr="00380447">
        <w:rPr>
          <w:rFonts w:eastAsia="Aptos"/>
          <w:kern w:val="2"/>
          <w:lang w:val="" w:eastAsia="en-US"/>
        </w:rPr>
        <w:fldChar w:fldCharType="separate"/>
      </w:r>
      <w:r w:rsidRPr="00380447">
        <w:rPr>
          <w:rFonts w:eastAsia="Aptos"/>
          <w:kern w:val="2"/>
          <w:lang w:val="" w:eastAsia="en-US"/>
        </w:rPr>
        <w:t xml:space="preserve">Campion, Nicholas. </w:t>
      </w:r>
      <w:r w:rsidRPr="00380447">
        <w:rPr>
          <w:rFonts w:eastAsia="Aptos"/>
          <w:i/>
          <w:iCs/>
          <w:kern w:val="2"/>
          <w:lang w:val="" w:eastAsia="en-US"/>
        </w:rPr>
        <w:t>Astrology and Cosmology in the World’s Religions</w:t>
      </w:r>
      <w:r w:rsidRPr="00380447">
        <w:rPr>
          <w:rFonts w:eastAsia="Aptos"/>
          <w:kern w:val="2"/>
          <w:lang w:val="" w:eastAsia="en-US"/>
        </w:rPr>
        <w:t>. U.K: NYU Press, 2012.</w:t>
      </w:r>
    </w:p>
    <w:p w14:paraId="29299AAF" w14:textId="77777777" w:rsidR="00413AE9" w:rsidRPr="00380447" w:rsidRDefault="00000000" w:rsidP="00413AE9">
      <w:pPr>
        <w:ind w:left="720" w:hanging="720"/>
        <w:rPr>
          <w:rFonts w:eastAsia="Aptos"/>
          <w:kern w:val="2"/>
          <w:lang w:val="" w:eastAsia="en-US"/>
        </w:rPr>
      </w:pPr>
      <w:r w:rsidRPr="00380447">
        <w:rPr>
          <w:rFonts w:eastAsia="Aptos"/>
          <w:kern w:val="2"/>
          <w:lang w:val="" w:eastAsia="en-US"/>
        </w:rPr>
        <w:t xml:space="preserve">———. ‘The Importance of Cosmology in Culture: Contexts and Consequences’. In </w:t>
      </w:r>
      <w:r w:rsidRPr="00380447">
        <w:rPr>
          <w:rFonts w:eastAsia="Aptos"/>
          <w:i/>
          <w:iCs/>
          <w:kern w:val="2"/>
          <w:lang w:val="" w:eastAsia="en-US"/>
        </w:rPr>
        <w:t>Trends in Modern Cosmology</w:t>
      </w:r>
      <w:r w:rsidRPr="00380447">
        <w:rPr>
          <w:rFonts w:eastAsia="Aptos"/>
          <w:kern w:val="2"/>
          <w:lang w:val="" w:eastAsia="en-US"/>
        </w:rPr>
        <w:t>, edited by Fabio Scardigli. Croatia: InTechOpen, 2017.</w:t>
      </w:r>
    </w:p>
    <w:p w14:paraId="3C1FE711" w14:textId="77777777" w:rsidR="00413AE9" w:rsidRPr="00380447" w:rsidRDefault="00000000" w:rsidP="00413AE9">
      <w:pPr>
        <w:ind w:left="720" w:hanging="720"/>
        <w:rPr>
          <w:rFonts w:eastAsia="Aptos"/>
          <w:kern w:val="2"/>
          <w:lang w:val="" w:eastAsia="en-US"/>
        </w:rPr>
      </w:pPr>
      <w:r w:rsidRPr="00380447">
        <w:rPr>
          <w:rFonts w:eastAsia="Aptos"/>
          <w:kern w:val="2"/>
          <w:lang w:val="" w:eastAsia="en-US"/>
        </w:rPr>
        <w:t xml:space="preserve">Chanza, Nelson, and Anton De Wit. ‘Epistemological and Methodological Framework for Indigenous Knowledge in Climate Science’. </w:t>
      </w:r>
      <w:r w:rsidRPr="00380447">
        <w:rPr>
          <w:rFonts w:eastAsia="Aptos"/>
          <w:i/>
          <w:iCs/>
          <w:kern w:val="2"/>
          <w:lang w:val="" w:eastAsia="en-US"/>
        </w:rPr>
        <w:t>Indilinga: African Journal of Indigenous Knowledge Systems</w:t>
      </w:r>
      <w:r w:rsidRPr="00380447">
        <w:rPr>
          <w:rFonts w:eastAsia="Aptos"/>
          <w:kern w:val="2"/>
          <w:lang w:val="" w:eastAsia="en-US"/>
        </w:rPr>
        <w:t xml:space="preserve"> 12, no. 2 (2013): 203–18.</w:t>
      </w:r>
    </w:p>
    <w:p w14:paraId="2EF0598F" w14:textId="77777777" w:rsidR="00413AE9" w:rsidRPr="00380447" w:rsidRDefault="00000000" w:rsidP="00413AE9">
      <w:pPr>
        <w:ind w:left="720" w:hanging="720"/>
        <w:rPr>
          <w:rFonts w:eastAsia="Aptos"/>
          <w:kern w:val="2"/>
          <w:lang w:val="" w:eastAsia="en-US"/>
        </w:rPr>
      </w:pPr>
      <w:r w:rsidRPr="00380447">
        <w:rPr>
          <w:rFonts w:eastAsia="Aptos"/>
          <w:kern w:val="2"/>
          <w:lang w:val="" w:eastAsia="en-US"/>
        </w:rPr>
        <w:t xml:space="preserve">Chilisa, Bagele. </w:t>
      </w:r>
      <w:r w:rsidRPr="00380447">
        <w:rPr>
          <w:rFonts w:eastAsia="Aptos"/>
          <w:i/>
          <w:iCs/>
          <w:kern w:val="2"/>
          <w:lang w:val="" w:eastAsia="en-US"/>
        </w:rPr>
        <w:t>Indigenous Research Methodologies</w:t>
      </w:r>
      <w:r w:rsidRPr="00380447">
        <w:rPr>
          <w:rFonts w:eastAsia="Aptos"/>
          <w:kern w:val="2"/>
          <w:lang w:val="" w:eastAsia="en-US"/>
        </w:rPr>
        <w:t>. U.S.A: SAGE Publications, Inc., 2012.</w:t>
      </w:r>
    </w:p>
    <w:p w14:paraId="55A88961" w14:textId="77777777" w:rsidR="00413AE9" w:rsidRPr="00380447" w:rsidRDefault="00000000" w:rsidP="00413AE9">
      <w:pPr>
        <w:ind w:left="720" w:hanging="720"/>
        <w:rPr>
          <w:rFonts w:eastAsia="Aptos"/>
          <w:kern w:val="2"/>
          <w:lang w:val="" w:eastAsia="en-US"/>
        </w:rPr>
      </w:pPr>
      <w:r w:rsidRPr="00380447">
        <w:rPr>
          <w:rFonts w:eastAsia="Aptos"/>
          <w:i/>
          <w:iCs/>
          <w:kern w:val="2"/>
          <w:lang w:val="" w:eastAsia="en-US"/>
        </w:rPr>
        <w:t>Credo Mutwa Presents: The True History of Africa</w:t>
      </w:r>
      <w:r w:rsidRPr="00380447">
        <w:rPr>
          <w:rFonts w:eastAsia="Aptos"/>
          <w:kern w:val="2"/>
          <w:lang w:val="" w:eastAsia="en-US"/>
        </w:rPr>
        <w:t>. Transcript of video presentation. South Africa, 2008. https://peuplesawa.com/fr/bnnews.php?nid=1665&amp;profil=0&amp;seite=6&amp;sites=0&amp;vip=0.</w:t>
      </w:r>
    </w:p>
    <w:p w14:paraId="3DAB448D" w14:textId="77777777" w:rsidR="00413AE9" w:rsidRPr="00380447" w:rsidRDefault="00000000" w:rsidP="00413AE9">
      <w:pPr>
        <w:ind w:left="720" w:hanging="720"/>
        <w:rPr>
          <w:rFonts w:eastAsia="Aptos"/>
          <w:kern w:val="2"/>
          <w:lang w:val="" w:eastAsia="en-US"/>
        </w:rPr>
      </w:pPr>
      <w:r w:rsidRPr="00380447">
        <w:rPr>
          <w:rFonts w:eastAsia="Aptos"/>
          <w:kern w:val="2"/>
          <w:lang w:val="" w:eastAsia="en-US"/>
        </w:rPr>
        <w:t xml:space="preserve">Donda, Steve, and Chikondi Manyungwa-Pasani. ‘Understanding Indigenous Knowledge: Its Role and Potential in Fisheries Resources Management in Malawi’. </w:t>
      </w:r>
      <w:r w:rsidRPr="00380447">
        <w:rPr>
          <w:rFonts w:eastAsia="Aptos"/>
          <w:i/>
          <w:iCs/>
          <w:kern w:val="2"/>
          <w:lang w:val="" w:eastAsia="en-US"/>
        </w:rPr>
        <w:t>Aquatic Ecosystem Health &amp; Management</w:t>
      </w:r>
      <w:r w:rsidRPr="00380447">
        <w:rPr>
          <w:rFonts w:eastAsia="Aptos"/>
          <w:kern w:val="2"/>
          <w:lang w:val="" w:eastAsia="en-US"/>
        </w:rPr>
        <w:t xml:space="preserve"> 21, no. 2 (2018): 176–84.</w:t>
      </w:r>
    </w:p>
    <w:p w14:paraId="6E71A7CB" w14:textId="77777777" w:rsidR="00413AE9" w:rsidRPr="00380447" w:rsidRDefault="00000000" w:rsidP="00413AE9">
      <w:pPr>
        <w:ind w:left="720" w:hanging="720"/>
        <w:rPr>
          <w:rFonts w:eastAsia="Aptos"/>
          <w:kern w:val="2"/>
          <w:lang w:val="" w:eastAsia="en-US"/>
        </w:rPr>
      </w:pPr>
      <w:r w:rsidRPr="00380447">
        <w:rPr>
          <w:rFonts w:eastAsia="Aptos"/>
          <w:kern w:val="2"/>
          <w:lang w:val="" w:eastAsia="en-US"/>
        </w:rPr>
        <w:t xml:space="preserve">Hountondji, Paulin J. </w:t>
      </w:r>
      <w:r w:rsidRPr="00380447">
        <w:rPr>
          <w:rFonts w:eastAsia="Aptos"/>
          <w:i/>
          <w:iCs/>
          <w:kern w:val="2"/>
          <w:lang w:val="" w:eastAsia="en-US"/>
        </w:rPr>
        <w:t>The Struggle for Meaning: Reflections on Philosophy, Culture, and Democracy in Africa</w:t>
      </w:r>
      <w:r w:rsidRPr="00380447">
        <w:rPr>
          <w:rFonts w:eastAsia="Aptos"/>
          <w:kern w:val="2"/>
          <w:lang w:val="" w:eastAsia="en-US"/>
        </w:rPr>
        <w:t>. Translated by John Conteh-Morgan. U.S.A: Center for International Studies Ohio University, 2002.</w:t>
      </w:r>
    </w:p>
    <w:p w14:paraId="193EF708" w14:textId="77777777" w:rsidR="00413AE9" w:rsidRPr="00380447" w:rsidRDefault="00000000" w:rsidP="00413AE9">
      <w:pPr>
        <w:ind w:left="720" w:hanging="720"/>
        <w:rPr>
          <w:rFonts w:eastAsia="Aptos"/>
          <w:kern w:val="2"/>
          <w:lang w:val="" w:eastAsia="en-US"/>
        </w:rPr>
      </w:pPr>
      <w:r w:rsidRPr="00380447">
        <w:rPr>
          <w:rFonts w:eastAsia="Aptos"/>
          <w:kern w:val="2"/>
          <w:lang w:val="" w:eastAsia="en-US"/>
        </w:rPr>
        <w:t xml:space="preserve">Mathews, Freya. </w:t>
      </w:r>
      <w:r w:rsidRPr="00380447">
        <w:rPr>
          <w:rFonts w:eastAsia="Aptos"/>
          <w:i/>
          <w:iCs/>
          <w:kern w:val="2"/>
          <w:lang w:val="" w:eastAsia="en-US"/>
        </w:rPr>
        <w:t>For Love of Matter: A Contemporary Panpsychism</w:t>
      </w:r>
      <w:r w:rsidRPr="00380447">
        <w:rPr>
          <w:rFonts w:eastAsia="Aptos"/>
          <w:kern w:val="2"/>
          <w:lang w:val="" w:eastAsia="en-US"/>
        </w:rPr>
        <w:t>. U.S.A: State University of New York Press, 2003.</w:t>
      </w:r>
    </w:p>
    <w:p w14:paraId="1F97B11F" w14:textId="77777777" w:rsidR="00413AE9" w:rsidRPr="00380447" w:rsidRDefault="00000000" w:rsidP="00413AE9">
      <w:pPr>
        <w:ind w:left="720" w:hanging="720"/>
        <w:rPr>
          <w:rFonts w:eastAsia="Aptos"/>
          <w:kern w:val="2"/>
          <w:lang w:val="" w:eastAsia="en-US"/>
        </w:rPr>
      </w:pPr>
      <w:r w:rsidRPr="00380447">
        <w:rPr>
          <w:rFonts w:eastAsia="Aptos"/>
          <w:kern w:val="2"/>
          <w:lang w:val="" w:eastAsia="en-US"/>
        </w:rPr>
        <w:t>Mutwa, Vusamazulu Credo. Great Zulu Shaman and Elder Credo Mutwa on Alien Abduction and Reptiles. Interview by Rick Martin. Written Interview from ‘The Spectrum’ newspaper, 1999. https://www.bibliotecapleyades.net/esp_credo_mutwa03.htm.</w:t>
      </w:r>
    </w:p>
    <w:p w14:paraId="1972A31E" w14:textId="77777777" w:rsidR="00037741" w:rsidRPr="00380447" w:rsidRDefault="00000000">
      <w:pPr>
        <w:spacing w:after="160" w:line="278" w:lineRule="auto"/>
        <w:rPr>
          <w:rFonts w:ascii="Aptos" w:eastAsia="Aptos" w:hAnsi="Aptos"/>
          <w:kern w:val="2"/>
          <w:lang w:val="" w:eastAsia="en-US"/>
        </w:rPr>
      </w:pPr>
      <w:r w:rsidRPr="00380447">
        <w:rPr>
          <w:rFonts w:eastAsia="Aptos"/>
          <w:kern w:val="2"/>
          <w:lang w:val="" w:eastAsia="en-US"/>
        </w:rPr>
        <w:fldChar w:fldCharType="end"/>
      </w:r>
    </w:p>
    <w:sectPr w:rsidR="00037741" w:rsidRPr="00380447">
      <w:footerReference w:type="default" r:id="rId1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E3B152" w14:textId="77777777" w:rsidR="00590B5A" w:rsidRDefault="00590B5A">
      <w:r>
        <w:separator/>
      </w:r>
    </w:p>
  </w:endnote>
  <w:endnote w:type="continuationSeparator" w:id="0">
    <w:p w14:paraId="4963DA33" w14:textId="77777777" w:rsidR="00590B5A" w:rsidRDefault="00590B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lbertus">
    <w:panose1 w:val="00000000000000000000"/>
    <w:charset w:val="00"/>
    <w:family w:val="roman"/>
    <w:notTrueType/>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E0DF9BE" w14:textId="77777777" w:rsidR="009C1A08" w:rsidRPr="00337A70" w:rsidRDefault="00000000">
    <w:pPr>
      <w:pStyle w:val="Footer"/>
      <w:rPr>
        <w:rFonts w:ascii="Trebuchet MS" w:hAnsi="Trebuchet MS"/>
        <w:sz w:val="18"/>
        <w:szCs w:val="18"/>
      </w:rPr>
    </w:pPr>
    <w:r w:rsidRPr="00337A70">
      <w:rPr>
        <w:rFonts w:ascii="Trebuchet MS" w:hAnsi="Trebuchet MS"/>
        <w:sz w:val="18"/>
        <w:szCs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8654940"/>
      <w:docPartObj>
        <w:docPartGallery w:val="Page Numbers (Bottom of Page)"/>
        <w:docPartUnique/>
      </w:docPartObj>
    </w:sdtPr>
    <w:sdtContent>
      <w:p w14:paraId="6AFF4868" w14:textId="77777777" w:rsidR="00413AE9" w:rsidRPr="00380447" w:rsidRDefault="00000000">
        <w:pPr>
          <w:tabs>
            <w:tab w:val="center" w:pos="4513"/>
            <w:tab w:val="right" w:pos="9026"/>
          </w:tabs>
          <w:jc w:val="right"/>
          <w:rPr>
            <w:rFonts w:ascii="Aptos" w:eastAsia="Aptos" w:hAnsi="Aptos"/>
            <w:kern w:val="2"/>
            <w:lang w:val="" w:eastAsia="en-US"/>
          </w:rPr>
        </w:pPr>
        <w:r w:rsidRPr="00380447">
          <w:rPr>
            <w:rFonts w:ascii="Aptos" w:eastAsia="Aptos" w:hAnsi="Aptos" w:cstheme="minorBidi"/>
            <w:kern w:val="2"/>
            <w:lang w:val="" w:eastAsia="en-US"/>
          </w:rPr>
          <w:fldChar w:fldCharType="begin"/>
        </w:r>
        <w:r w:rsidRPr="00380447">
          <w:rPr>
            <w:rFonts w:ascii="Aptos" w:eastAsia="Aptos" w:hAnsi="Aptos" w:cstheme="minorBidi"/>
            <w:kern w:val="2"/>
            <w:lang w:val="" w:eastAsia="en-US"/>
          </w:rPr>
          <w:instrText>PAGE   \* MERGEFORMAT</w:instrText>
        </w:r>
        <w:r w:rsidRPr="00380447">
          <w:rPr>
            <w:rFonts w:ascii="Aptos" w:eastAsia="Aptos" w:hAnsi="Aptos" w:cstheme="minorBidi"/>
            <w:kern w:val="2"/>
            <w:lang w:val="" w:eastAsia="en-US"/>
          </w:rPr>
          <w:fldChar w:fldCharType="separate"/>
        </w:r>
        <w:r w:rsidRPr="00380447">
          <w:rPr>
            <w:rFonts w:ascii="Aptos" w:eastAsia="Aptos" w:hAnsi="Aptos" w:cstheme="minorBidi"/>
            <w:kern w:val="2"/>
            <w:lang w:eastAsia="en-US"/>
          </w:rPr>
          <w:t>2</w:t>
        </w:r>
        <w:r w:rsidRPr="00380447">
          <w:rPr>
            <w:rFonts w:ascii="Aptos" w:eastAsia="Aptos" w:hAnsi="Aptos" w:cstheme="minorBidi"/>
            <w:kern w:val="2"/>
            <w:lang w:val="" w:eastAsia="en-US"/>
          </w:rPr>
          <w:fldChar w:fldCharType="end"/>
        </w:r>
      </w:p>
    </w:sdtContent>
  </w:sdt>
  <w:p w14:paraId="5E899DC3" w14:textId="77777777" w:rsidR="00413AE9" w:rsidRPr="00380447" w:rsidRDefault="00413AE9">
    <w:pPr>
      <w:tabs>
        <w:tab w:val="center" w:pos="4513"/>
        <w:tab w:val="right" w:pos="9026"/>
      </w:tabs>
      <w:rPr>
        <w:rFonts w:ascii="Aptos" w:eastAsia="Aptos" w:hAnsi="Aptos"/>
        <w:kern w:val="2"/>
        <w:lang w:val="" w:eastAsia="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7D62C6" w14:textId="77777777" w:rsidR="00590B5A" w:rsidRPr="00380447" w:rsidRDefault="00590B5A" w:rsidP="00037741">
      <w:pPr>
        <w:rPr>
          <w:rFonts w:ascii="Aptos" w:eastAsia="Aptos" w:hAnsi="Aptos"/>
          <w:kern w:val="2"/>
          <w:lang w:val="" w:eastAsia="en-US"/>
        </w:rPr>
      </w:pPr>
      <w:r w:rsidRPr="00380447">
        <w:rPr>
          <w:rFonts w:ascii="Aptos" w:eastAsia="Aptos" w:hAnsi="Aptos" w:cstheme="minorBidi"/>
          <w:kern w:val="2"/>
          <w:lang w:val="" w:eastAsia="en-US"/>
        </w:rPr>
        <w:separator/>
      </w:r>
    </w:p>
  </w:footnote>
  <w:footnote w:type="continuationSeparator" w:id="0">
    <w:p w14:paraId="51C5B82F" w14:textId="77777777" w:rsidR="00590B5A" w:rsidRDefault="00590B5A" w:rsidP="00AD5D5A">
      <w:r>
        <w:continuationSeparator/>
      </w:r>
    </w:p>
  </w:footnote>
  <w:footnote w:id="1">
    <w:p w14:paraId="1616843A" w14:textId="77777777" w:rsidR="00037741" w:rsidRPr="00B62DBA" w:rsidRDefault="00000000" w:rsidP="00037741">
      <w:pPr>
        <w:pStyle w:val="FootnoteText"/>
        <w:rPr>
          <w:rFonts w:ascii="Times New Roman" w:hAnsi="Times New Roman" w:cs="Times New Roman"/>
          <w:lang w:val="en-GB"/>
        </w:rPr>
      </w:pPr>
      <w:r w:rsidRPr="00B62DBA">
        <w:rPr>
          <w:rStyle w:val="FootnoteReference"/>
          <w:rFonts w:ascii="Times New Roman" w:hAnsi="Times New Roman" w:cs="Times New Roman"/>
        </w:rPr>
        <w:footnoteRef/>
      </w:r>
      <w:r w:rsidRPr="00B62DBA">
        <w:rPr>
          <w:rFonts w:ascii="Times New Roman" w:hAnsi="Times New Roman" w:cs="Times New Roman"/>
        </w:rPr>
        <w:t xml:space="preserve"> </w:t>
      </w:r>
      <w:r w:rsidRPr="00B62DBA">
        <w:rPr>
          <w:rFonts w:ascii="Times New Roman" w:hAnsi="Times New Roman" w:cs="Times New Roman"/>
        </w:rPr>
        <w:fldChar w:fldCharType="begin"/>
      </w:r>
      <w:r w:rsidR="004106A4">
        <w:rPr>
          <w:rFonts w:ascii="Times New Roman" w:hAnsi="Times New Roman" w:cs="Times New Roman"/>
        </w:rPr>
        <w:instrText xml:space="preserve"> ADDIN ZOTERO_ITEM CSL_CITATION {"citationID":"E6ocOKv2","properties":{"formattedCitation":"Nelson Chanza and Anton De Wit, \\uc0\\u8216{}Epistemological and Methodological Framework for Indigenous Knowledge in Climate Science\\uc0\\u8217{}, {\\i{}Indilinga: African Journal of Indigenous Knowledge Systems} 12, no. 2 (2013): 203\\uc0\\u8211{}18.","plainCitation":"Nelson Chanza and Anton De Wit, ‘Epistemological and Methodological Framework for Indigenous Knowledge in Climate Science’, Indilinga: African Journal of Indigenous Knowledge Systems 12, no. 2 (2013): 203–18.","dontUpdate":true,"noteIndex":1},"citationItems":[{"id":92,"uris":["http://zotero.org/users/16253413/items/U5VVAAQZ"],"itemData":{"id":92,"type":"article-journal","container-title":"Indilinga: African Journal of Indigenous Knowledge Systems","issue":"2","page":"203-218","title":"Epistemological and Methodological Framework for Indigenous Knowledge in Climate Science","volume":"12","author":[{"family":"Chanza","given":"Nelson"},{"family":"De Wit","given":"Anton"}],"issued":{"date-parts":[["2013"]]}}}],"schema":"https://github.com/citation-style-language/schema/raw/master/csl-citation.json"} </w:instrText>
      </w:r>
      <w:r w:rsidRPr="00B62DBA">
        <w:rPr>
          <w:rFonts w:ascii="Times New Roman" w:hAnsi="Times New Roman" w:cs="Times New Roman"/>
        </w:rPr>
        <w:fldChar w:fldCharType="separate"/>
      </w:r>
      <w:r w:rsidRPr="00B62DBA">
        <w:rPr>
          <w:rFonts w:ascii="Times New Roman" w:hAnsi="Times New Roman" w:cs="Times New Roman"/>
          <w:kern w:val="0"/>
        </w:rPr>
        <w:t xml:space="preserve">Nelson Chanza and Anton De Wit, </w:t>
      </w:r>
      <w:r>
        <w:rPr>
          <w:rFonts w:ascii="Times New Roman" w:hAnsi="Times New Roman" w:cs="Times New Roman"/>
          <w:kern w:val="0"/>
        </w:rPr>
        <w:t>"</w:t>
      </w:r>
      <w:r w:rsidRPr="00B62DBA">
        <w:rPr>
          <w:rFonts w:ascii="Times New Roman" w:hAnsi="Times New Roman" w:cs="Times New Roman"/>
          <w:kern w:val="0"/>
        </w:rPr>
        <w:t>Epistemological and Methodological Framework for Indigenous Knowledge in Climate Science</w:t>
      </w:r>
      <w:r>
        <w:rPr>
          <w:rFonts w:ascii="Times New Roman" w:hAnsi="Times New Roman" w:cs="Times New Roman"/>
          <w:kern w:val="0"/>
        </w:rPr>
        <w:t xml:space="preserve">," </w:t>
      </w:r>
      <w:r w:rsidRPr="00B62DBA">
        <w:rPr>
          <w:rFonts w:ascii="Times New Roman" w:hAnsi="Times New Roman" w:cs="Times New Roman"/>
          <w:kern w:val="0"/>
        </w:rPr>
        <w:t xml:space="preserve"> </w:t>
      </w:r>
      <w:r w:rsidRPr="00B62DBA">
        <w:rPr>
          <w:rFonts w:ascii="Times New Roman" w:hAnsi="Times New Roman" w:cs="Times New Roman"/>
          <w:i/>
          <w:iCs/>
          <w:kern w:val="0"/>
        </w:rPr>
        <w:t>Indilinga: African Journal of Indigenous Knowledge Systems</w:t>
      </w:r>
      <w:r w:rsidRPr="00B62DBA">
        <w:rPr>
          <w:rFonts w:ascii="Times New Roman" w:hAnsi="Times New Roman" w:cs="Times New Roman"/>
          <w:kern w:val="0"/>
        </w:rPr>
        <w:t xml:space="preserve"> 12, no. 2 (2013): p203–p</w:t>
      </w:r>
      <w:r w:rsidR="004106A4">
        <w:rPr>
          <w:rFonts w:ascii="Times New Roman" w:hAnsi="Times New Roman" w:cs="Times New Roman"/>
          <w:kern w:val="0"/>
        </w:rPr>
        <w:t>2</w:t>
      </w:r>
      <w:r w:rsidRPr="00B62DBA">
        <w:rPr>
          <w:rFonts w:ascii="Times New Roman" w:hAnsi="Times New Roman" w:cs="Times New Roman"/>
          <w:kern w:val="0"/>
        </w:rPr>
        <w:t>18.</w:t>
      </w:r>
      <w:r w:rsidRPr="00B62DBA">
        <w:rPr>
          <w:rFonts w:ascii="Times New Roman" w:hAnsi="Times New Roman" w:cs="Times New Roman"/>
        </w:rPr>
        <w:fldChar w:fldCharType="end"/>
      </w:r>
    </w:p>
  </w:footnote>
  <w:footnote w:id="2">
    <w:p w14:paraId="78DB5CF7" w14:textId="77777777" w:rsidR="00037741" w:rsidRPr="00290589" w:rsidRDefault="00000000" w:rsidP="00037741">
      <w:pPr>
        <w:pStyle w:val="FootnoteText"/>
        <w:rPr>
          <w:rFonts w:ascii="Times New Roman" w:hAnsi="Times New Roman" w:cs="Times New Roman"/>
          <w:lang w:val="en-GB"/>
        </w:rPr>
      </w:pPr>
      <w:r w:rsidRPr="00290589">
        <w:rPr>
          <w:rStyle w:val="FootnoteReference"/>
          <w:rFonts w:ascii="Times New Roman" w:hAnsi="Times New Roman" w:cs="Times New Roman"/>
        </w:rPr>
        <w:footnoteRef/>
      </w:r>
      <w:r w:rsidRPr="00290589">
        <w:rPr>
          <w:rFonts w:ascii="Times New Roman" w:hAnsi="Times New Roman" w:cs="Times New Roman"/>
        </w:rPr>
        <w:t xml:space="preserve"> </w:t>
      </w:r>
      <w:r w:rsidRPr="00290589">
        <w:rPr>
          <w:rFonts w:ascii="Times New Roman" w:hAnsi="Times New Roman" w:cs="Times New Roman"/>
        </w:rPr>
        <w:fldChar w:fldCharType="begin"/>
      </w:r>
      <w:r w:rsidR="004106A4">
        <w:rPr>
          <w:rFonts w:ascii="Times New Roman" w:hAnsi="Times New Roman" w:cs="Times New Roman"/>
        </w:rPr>
        <w:instrText xml:space="preserve"> ADDIN ZOTERO_ITEM CSL_CITATION {"citationID":"4ht9Ga54","properties":{"formattedCitation":"Steve Donda and Chikondi Manyungwa-Pasani, \\uc0\\u8216{}Understanding Indigenous Knowledge: Its Role and Potential in Fisheries Resources Management in Malawi\\uc0\\u8217{}, {\\i{}Aquatic Ecosystem Health &amp; Management} 21, no. 2 (2018): 176\\uc0\\u8211{}84.","plainCitation":"Steve Donda and Chikondi Manyungwa-Pasani, ‘Understanding Indigenous Knowledge: Its Role and Potential in Fisheries Resources Management in Malawi’, Aquatic Ecosystem Health &amp; Management 21, no. 2 (2018): 176–84.","dontUpdate":true,"noteIndex":2},"citationItems":[{"id":98,"uris":["http://zotero.org/users/16253413/items/PBIWAMR8"],"itemData":{"id":98,"type":"article-journal","container-title":"Aquatic Ecosystem Health &amp; Management","issue":"2","page":"176-184","title":"Understanding Indigenous Knowledge: Its Role and Potential in Fisheries Resources Management in Malawi","volume":"21","author":[{"family":"Donda","given":"Steve"},{"family":"Manyungwa-Pasani","given":"Chikondi"}],"issued":{"date-parts":[["2018"]]}}}],"schema":"https://github.com/citation-style-language/schema/raw/master/csl-citation.json"} </w:instrText>
      </w:r>
      <w:r w:rsidRPr="00290589">
        <w:rPr>
          <w:rFonts w:ascii="Times New Roman" w:hAnsi="Times New Roman" w:cs="Times New Roman"/>
        </w:rPr>
        <w:fldChar w:fldCharType="separate"/>
      </w:r>
      <w:r w:rsidRPr="00290589">
        <w:rPr>
          <w:rFonts w:ascii="Times New Roman" w:hAnsi="Times New Roman" w:cs="Times New Roman"/>
          <w:kern w:val="0"/>
        </w:rPr>
        <w:t xml:space="preserve">Steve Donda and Chikondi Manyungwa-Pasani, "Understanding Indigenous Knowledge: Its Role and Potential in Fisheries Resources Management in Malawi," </w:t>
      </w:r>
      <w:r w:rsidRPr="00290589">
        <w:rPr>
          <w:rFonts w:ascii="Times New Roman" w:hAnsi="Times New Roman" w:cs="Times New Roman"/>
          <w:i/>
          <w:iCs/>
          <w:kern w:val="0"/>
        </w:rPr>
        <w:t>Aquatic Ecosystem Health &amp; Management</w:t>
      </w:r>
      <w:r w:rsidRPr="00290589">
        <w:rPr>
          <w:rFonts w:ascii="Times New Roman" w:hAnsi="Times New Roman" w:cs="Times New Roman"/>
          <w:kern w:val="0"/>
        </w:rPr>
        <w:t xml:space="preserve"> 21, no. 2 (2018): p176–p84.</w:t>
      </w:r>
      <w:r w:rsidRPr="00290589">
        <w:rPr>
          <w:rFonts w:ascii="Times New Roman" w:hAnsi="Times New Roman" w:cs="Times New Roman"/>
        </w:rPr>
        <w:fldChar w:fldCharType="end"/>
      </w:r>
    </w:p>
  </w:footnote>
  <w:footnote w:id="3">
    <w:p w14:paraId="128A5CE7" w14:textId="77777777" w:rsidR="00037741" w:rsidRPr="00290589" w:rsidRDefault="00000000" w:rsidP="00037741">
      <w:pPr>
        <w:pStyle w:val="FootnoteText"/>
        <w:rPr>
          <w:rFonts w:ascii="Times New Roman" w:hAnsi="Times New Roman" w:cs="Times New Roman"/>
          <w:lang w:val="en-GB"/>
        </w:rPr>
      </w:pPr>
      <w:r w:rsidRPr="00290589">
        <w:rPr>
          <w:rStyle w:val="FootnoteReference"/>
          <w:rFonts w:ascii="Times New Roman" w:hAnsi="Times New Roman" w:cs="Times New Roman"/>
        </w:rPr>
        <w:footnoteRef/>
      </w:r>
      <w:r w:rsidRPr="00290589">
        <w:rPr>
          <w:rFonts w:ascii="Times New Roman" w:hAnsi="Times New Roman" w:cs="Times New Roman"/>
        </w:rPr>
        <w:t xml:space="preserve"> </w:t>
      </w:r>
      <w:r w:rsidRPr="00290589">
        <w:rPr>
          <w:rFonts w:ascii="Times New Roman" w:hAnsi="Times New Roman" w:cs="Times New Roman"/>
        </w:rPr>
        <w:fldChar w:fldCharType="begin"/>
      </w:r>
      <w:r w:rsidR="004106A4">
        <w:rPr>
          <w:rFonts w:ascii="Times New Roman" w:hAnsi="Times New Roman" w:cs="Times New Roman"/>
        </w:rPr>
        <w:instrText xml:space="preserve"> ADDIN ZOTERO_ITEM CSL_CITATION {"citationID":"Gi73o8YD","properties":{"formattedCitation":"Nicholas Campion, {\\i{}Astrology and Cosmology in the World\\uc0\\u8217{}s Religions} (U.K: NYU Press, 2012).","plainCitation":"Nicholas Campion, Astrology and Cosmology in the World’s Religions (U.K: NYU Press, 2012).","dontUpdate":true,"noteIndex":3},"citationItems":[{"id":100,"uris":["http://zotero.org/users/16253413/items/GKQ2G93G"],"itemData":{"id":100,"type":"book","event-place":"U.K","publisher":"NYU Press","publisher-place":"U.K","title":"Astrology and Cosmology in the World’s Religions","author":[{"family":"Campion","given":"Nicholas"}],"issued":{"date-parts":[["2012"]]}}}],"schema":"https://github.com/citation-style-language/schema/raw/master/csl-citation.json"} </w:instrText>
      </w:r>
      <w:r w:rsidRPr="00290589">
        <w:rPr>
          <w:rFonts w:ascii="Times New Roman" w:hAnsi="Times New Roman" w:cs="Times New Roman"/>
        </w:rPr>
        <w:fldChar w:fldCharType="separate"/>
      </w:r>
      <w:r w:rsidRPr="00290589">
        <w:rPr>
          <w:rFonts w:ascii="Times New Roman" w:hAnsi="Times New Roman" w:cs="Times New Roman"/>
          <w:kern w:val="0"/>
        </w:rPr>
        <w:t xml:space="preserve">Nicholas Campion, </w:t>
      </w:r>
      <w:r w:rsidRPr="00290589">
        <w:rPr>
          <w:rFonts w:ascii="Times New Roman" w:hAnsi="Times New Roman" w:cs="Times New Roman"/>
          <w:i/>
          <w:iCs/>
          <w:kern w:val="0"/>
        </w:rPr>
        <w:t>Astrology and Cosmology in the World’s Religions</w:t>
      </w:r>
      <w:r w:rsidRPr="00290589">
        <w:rPr>
          <w:rFonts w:ascii="Times New Roman" w:hAnsi="Times New Roman" w:cs="Times New Roman"/>
          <w:kern w:val="0"/>
        </w:rPr>
        <w:t xml:space="preserve"> (U.K: NYU Press, 2012), p1-p10.</w:t>
      </w:r>
      <w:r w:rsidRPr="00290589">
        <w:rPr>
          <w:rFonts w:ascii="Times New Roman" w:hAnsi="Times New Roman" w:cs="Times New Roman"/>
        </w:rPr>
        <w:fldChar w:fldCharType="end"/>
      </w:r>
    </w:p>
  </w:footnote>
  <w:footnote w:id="4">
    <w:p w14:paraId="611AD66B" w14:textId="77777777" w:rsidR="00037741" w:rsidRPr="00290589" w:rsidRDefault="00000000" w:rsidP="00037741">
      <w:pPr>
        <w:pStyle w:val="FootnoteText"/>
        <w:rPr>
          <w:rFonts w:ascii="Times New Roman" w:hAnsi="Times New Roman" w:cs="Times New Roman"/>
          <w:lang w:val="en-GB"/>
        </w:rPr>
      </w:pPr>
      <w:r w:rsidRPr="00290589">
        <w:rPr>
          <w:rStyle w:val="FootnoteReference"/>
          <w:rFonts w:ascii="Times New Roman" w:hAnsi="Times New Roman" w:cs="Times New Roman"/>
        </w:rPr>
        <w:footnoteRef/>
      </w:r>
      <w:r w:rsidRPr="00290589">
        <w:rPr>
          <w:rFonts w:ascii="Times New Roman" w:hAnsi="Times New Roman" w:cs="Times New Roman"/>
        </w:rPr>
        <w:t xml:space="preserve"> </w:t>
      </w:r>
      <w:r w:rsidRPr="00290589">
        <w:rPr>
          <w:rFonts w:ascii="Times New Roman" w:hAnsi="Times New Roman" w:cs="Times New Roman"/>
          <w:lang w:val="en-GB"/>
        </w:rPr>
        <w:t>Ibid., p16.</w:t>
      </w:r>
    </w:p>
  </w:footnote>
  <w:footnote w:id="5">
    <w:p w14:paraId="5DA0B22B" w14:textId="77777777" w:rsidR="00037741" w:rsidRPr="00290589" w:rsidRDefault="00000000" w:rsidP="00037741">
      <w:pPr>
        <w:pStyle w:val="FootnoteText"/>
        <w:rPr>
          <w:rFonts w:ascii="Times New Roman" w:hAnsi="Times New Roman" w:cs="Times New Roman"/>
          <w:lang w:val="en-GB"/>
        </w:rPr>
      </w:pPr>
      <w:r w:rsidRPr="00290589">
        <w:rPr>
          <w:rStyle w:val="FootnoteReference"/>
          <w:rFonts w:ascii="Times New Roman" w:hAnsi="Times New Roman" w:cs="Times New Roman"/>
        </w:rPr>
        <w:footnoteRef/>
      </w:r>
      <w:r w:rsidRPr="00290589">
        <w:rPr>
          <w:rFonts w:ascii="Times New Roman" w:hAnsi="Times New Roman" w:cs="Times New Roman"/>
        </w:rPr>
        <w:t xml:space="preserve"> </w:t>
      </w:r>
      <w:r w:rsidRPr="00290589">
        <w:rPr>
          <w:rFonts w:ascii="Times New Roman" w:hAnsi="Times New Roman" w:cs="Times New Roman"/>
        </w:rPr>
        <w:fldChar w:fldCharType="begin"/>
      </w:r>
      <w:r w:rsidR="004106A4">
        <w:rPr>
          <w:rFonts w:ascii="Times New Roman" w:hAnsi="Times New Roman" w:cs="Times New Roman"/>
        </w:rPr>
        <w:instrText xml:space="preserve"> ADDIN ZOTERO_ITEM CSL_CITATION {"citationID":"ULPjA9CR","properties":{"formattedCitation":"Nicholas Campion, \\uc0\\u8216{}The Importance of Cosmology in Culture: Contexts and Consequences\\uc0\\u8217{}, in {\\i{}Trends in Modern Cosmology}, ed. Fabio Scardigli (Croatia: InTechOpen, 2017).","plainCitation":"Nicholas Campion, ‘The Importance of Cosmology in Culture: Contexts and Consequences’, in Trends in Modern Cosmology, ed. Fabio Scardigli (Croatia: InTechOpen, 2017).","dontUpdate":true,"noteIndex":5},"citationItems":[{"id":101,"uris":["http://zotero.org/users/16253413/items/DXTR3W6T"],"itemData":{"id":101,"type":"chapter","container-title":"Trends in Modern Cosmology","event-place":"Croatia","publisher":"InTechOpen","publisher-place":"Croatia","title":"The Importance of Cosmology in Culture: Contexts and Consequences","author":[{"family":"Campion","given":"Nicholas"}],"editor":[{"family":"Scardigli","given":"Fabio"}],"issued":{"date-parts":[["2017"]]}}}],"schema":"https://github.com/citation-style-language/schema/raw/master/csl-citation.json"} </w:instrText>
      </w:r>
      <w:r w:rsidRPr="00290589">
        <w:rPr>
          <w:rFonts w:ascii="Times New Roman" w:hAnsi="Times New Roman" w:cs="Times New Roman"/>
        </w:rPr>
        <w:fldChar w:fldCharType="separate"/>
      </w:r>
      <w:r w:rsidRPr="00290589">
        <w:rPr>
          <w:rFonts w:ascii="Times New Roman" w:hAnsi="Times New Roman" w:cs="Times New Roman"/>
          <w:kern w:val="0"/>
        </w:rPr>
        <w:t xml:space="preserve">Nicholas Campion, "The Importance of Cosmology in Culture: Contexts and Consequences," in </w:t>
      </w:r>
      <w:r w:rsidRPr="00290589">
        <w:rPr>
          <w:rFonts w:ascii="Times New Roman" w:hAnsi="Times New Roman" w:cs="Times New Roman"/>
          <w:i/>
          <w:iCs/>
          <w:kern w:val="0"/>
        </w:rPr>
        <w:t>Trends in Modern Cosmology</w:t>
      </w:r>
      <w:r w:rsidRPr="00290589">
        <w:rPr>
          <w:rFonts w:ascii="Times New Roman" w:hAnsi="Times New Roman" w:cs="Times New Roman"/>
          <w:kern w:val="0"/>
        </w:rPr>
        <w:t>, ed. Fabio Scardigli (Croatia: InTechOpen, 2017).</w:t>
      </w:r>
      <w:r w:rsidRPr="00290589">
        <w:rPr>
          <w:rFonts w:ascii="Times New Roman" w:hAnsi="Times New Roman" w:cs="Times New Roman"/>
        </w:rPr>
        <w:fldChar w:fldCharType="end"/>
      </w:r>
    </w:p>
  </w:footnote>
  <w:footnote w:id="6">
    <w:p w14:paraId="78DFF9A7" w14:textId="77777777" w:rsidR="00037741" w:rsidRPr="00290589" w:rsidRDefault="00000000" w:rsidP="00037741">
      <w:pPr>
        <w:pStyle w:val="FootnoteText"/>
        <w:rPr>
          <w:rFonts w:ascii="Times New Roman" w:hAnsi="Times New Roman" w:cs="Times New Roman"/>
          <w:lang w:val="en-GB"/>
        </w:rPr>
      </w:pPr>
      <w:r w:rsidRPr="00290589">
        <w:rPr>
          <w:rStyle w:val="FootnoteReference"/>
          <w:rFonts w:ascii="Times New Roman" w:hAnsi="Times New Roman" w:cs="Times New Roman"/>
        </w:rPr>
        <w:footnoteRef/>
      </w:r>
      <w:r w:rsidRPr="00290589">
        <w:rPr>
          <w:rFonts w:ascii="Times New Roman" w:hAnsi="Times New Roman" w:cs="Times New Roman"/>
        </w:rPr>
        <w:t xml:space="preserve"> </w:t>
      </w:r>
      <w:r w:rsidRPr="00290589">
        <w:rPr>
          <w:rFonts w:ascii="Times New Roman" w:hAnsi="Times New Roman" w:cs="Times New Roman"/>
          <w:lang w:val="en-GB"/>
        </w:rPr>
        <w:t>Ibid.</w:t>
      </w:r>
    </w:p>
  </w:footnote>
  <w:footnote w:id="7">
    <w:p w14:paraId="43797A4C" w14:textId="77777777" w:rsidR="00037741" w:rsidRPr="00290589" w:rsidRDefault="00000000" w:rsidP="00037741">
      <w:pPr>
        <w:pStyle w:val="FootnoteText"/>
        <w:rPr>
          <w:rFonts w:ascii="Times New Roman" w:hAnsi="Times New Roman" w:cs="Times New Roman"/>
          <w:lang w:val="en-GB"/>
        </w:rPr>
      </w:pPr>
      <w:r w:rsidRPr="00290589">
        <w:rPr>
          <w:rStyle w:val="FootnoteReference"/>
          <w:rFonts w:ascii="Times New Roman" w:hAnsi="Times New Roman" w:cs="Times New Roman"/>
        </w:rPr>
        <w:footnoteRef/>
      </w:r>
      <w:r w:rsidRPr="00290589">
        <w:rPr>
          <w:rFonts w:ascii="Times New Roman" w:hAnsi="Times New Roman" w:cs="Times New Roman"/>
        </w:rPr>
        <w:t xml:space="preserve"> </w:t>
      </w:r>
      <w:bookmarkStart w:id="7" w:name="_Hlk197074804"/>
      <w:r w:rsidRPr="00290589">
        <w:rPr>
          <w:rFonts w:ascii="Times New Roman" w:hAnsi="Times New Roman" w:cs="Times New Roman"/>
        </w:rPr>
        <w:fldChar w:fldCharType="begin"/>
      </w:r>
      <w:r>
        <w:rPr>
          <w:rFonts w:ascii="Times New Roman" w:hAnsi="Times New Roman" w:cs="Times New Roman"/>
        </w:rPr>
        <w:instrText xml:space="preserve"> ADDIN ZOTERO_ITEM CSL_CITATION {"citationID":"5FLtn9Rl","properties":{"formattedCitation":"Freya Mathews, {\\i{}For Love of Matter: A Contemporary Panpsychism} (U.S.A: State University of New York Press, 2003).","plainCitation":"Freya Mathews, For Love of Matter: A Contemporary Panpsychism (U.S.A: State University of New York Press, 2003).","dontUpdate":true,"noteIndex":7},"citationItems":[{"id":102,"uris":["http://zotero.org/users/16253413/items/HBU7Z657"],"itemData":{"id":102,"type":"book","event-place":"U.S.A","publisher":"State University of New York Press","publisher-place":"U.S.A","title":"For Love of Matter: A Contemporary Panpsychism","author":[{"family":"Mathews","given":"Freya"}],"issued":{"date-parts":[["2003"]]}}}],"schema":"https://github.com/citation-style-language/schema/raw/master/csl-citation.json"} </w:instrText>
      </w:r>
      <w:r w:rsidRPr="00290589">
        <w:rPr>
          <w:rFonts w:ascii="Times New Roman" w:hAnsi="Times New Roman" w:cs="Times New Roman"/>
        </w:rPr>
        <w:fldChar w:fldCharType="separate"/>
      </w:r>
      <w:r w:rsidRPr="00290589">
        <w:rPr>
          <w:rFonts w:ascii="Times New Roman" w:hAnsi="Times New Roman" w:cs="Times New Roman"/>
          <w:kern w:val="0"/>
        </w:rPr>
        <w:t xml:space="preserve">Freya Mathews, </w:t>
      </w:r>
      <w:r w:rsidRPr="00290589">
        <w:rPr>
          <w:rFonts w:ascii="Times New Roman" w:hAnsi="Times New Roman" w:cs="Times New Roman"/>
          <w:i/>
          <w:iCs/>
          <w:kern w:val="0"/>
        </w:rPr>
        <w:t>For Love of Matter: A Contemporary Panpsychism</w:t>
      </w:r>
      <w:r w:rsidRPr="00290589">
        <w:rPr>
          <w:rFonts w:ascii="Times New Roman" w:hAnsi="Times New Roman" w:cs="Times New Roman"/>
          <w:kern w:val="0"/>
        </w:rPr>
        <w:t xml:space="preserve"> (U.S.A: State University of New York Press, 2003), p1-p13.</w:t>
      </w:r>
      <w:r w:rsidRPr="00290589">
        <w:rPr>
          <w:rFonts w:ascii="Times New Roman" w:hAnsi="Times New Roman" w:cs="Times New Roman"/>
        </w:rPr>
        <w:fldChar w:fldCharType="end"/>
      </w:r>
      <w:bookmarkEnd w:id="7"/>
    </w:p>
  </w:footnote>
  <w:footnote w:id="8">
    <w:p w14:paraId="26558E8D" w14:textId="77777777" w:rsidR="00037741" w:rsidRPr="00290589" w:rsidRDefault="00000000" w:rsidP="00037741">
      <w:pPr>
        <w:pStyle w:val="FootnoteText"/>
        <w:rPr>
          <w:lang w:val="en-GB"/>
        </w:rPr>
      </w:pPr>
      <w:r w:rsidRPr="00290589">
        <w:rPr>
          <w:rStyle w:val="FootnoteReference"/>
          <w:rFonts w:ascii="Times New Roman" w:hAnsi="Times New Roman" w:cs="Times New Roman"/>
        </w:rPr>
        <w:footnoteRef/>
      </w:r>
      <w:r w:rsidRPr="00290589">
        <w:rPr>
          <w:rFonts w:ascii="Times New Roman" w:hAnsi="Times New Roman" w:cs="Times New Roman"/>
        </w:rPr>
        <w:t xml:space="preserve"> </w:t>
      </w:r>
      <w:r w:rsidRPr="00290589">
        <w:rPr>
          <w:rFonts w:ascii="Times New Roman" w:hAnsi="Times New Roman" w:cs="Times New Roman"/>
          <w:lang w:val="en-GB"/>
        </w:rPr>
        <w:t>Ibid.</w:t>
      </w:r>
    </w:p>
  </w:footnote>
  <w:footnote w:id="9">
    <w:p w14:paraId="3B4A8200"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rPr>
        <w:fldChar w:fldCharType="begin"/>
      </w:r>
      <w:r w:rsidRPr="00DE5A04">
        <w:rPr>
          <w:rFonts w:ascii="Times New Roman" w:hAnsi="Times New Roman" w:cs="Times New Roman"/>
        </w:rPr>
        <w:instrText xml:space="preserve"> ADDIN ZOTERO_ITEM CSL_CITATION {"citationID":"PjVPVnVN","properties":{"formattedCitation":"Mathews, {\\i{}For Love of Matter: A Contemporary Panpsychism}.","plainCitation":"Mathews, For Love of Matter: A Contemporary Panpsychism.","noteIndex":9},"citationItems":[{"id":102,"uris":["http://zotero.org/users/16253413/items/HBU7Z657"],"itemData":{"id":102,"type":"book","event-place":"U.S.A","publisher":"State University of New York Press","publisher-place":"U.S.A","title":"For Love of Matter: A Contemporary Panpsychism","author":[{"family":"Mathews","given":"Freya"}],"issued":{"date-parts":[["2003"]]}}}],"schema":"https://github.com/citation-style-language/schema/raw/master/csl-citation.json"} </w:instrText>
      </w:r>
      <w:r w:rsidRPr="00DE5A04">
        <w:rPr>
          <w:rFonts w:ascii="Times New Roman" w:hAnsi="Times New Roman" w:cs="Times New Roman"/>
        </w:rPr>
        <w:fldChar w:fldCharType="separate"/>
      </w:r>
      <w:r w:rsidRPr="00DE5A04">
        <w:rPr>
          <w:rFonts w:ascii="Times New Roman" w:hAnsi="Times New Roman" w:cs="Times New Roman"/>
          <w:kern w:val="0"/>
        </w:rPr>
        <w:t xml:space="preserve">Mathews, </w:t>
      </w:r>
      <w:r w:rsidRPr="00DE5A04">
        <w:rPr>
          <w:rFonts w:ascii="Times New Roman" w:hAnsi="Times New Roman" w:cs="Times New Roman"/>
          <w:i/>
          <w:iCs/>
          <w:kern w:val="0"/>
        </w:rPr>
        <w:t>For Love of Matter: A Contemporary Panpsychism</w:t>
      </w:r>
      <w:r w:rsidRPr="00DE5A04">
        <w:rPr>
          <w:rFonts w:ascii="Times New Roman" w:hAnsi="Times New Roman" w:cs="Times New Roman"/>
          <w:kern w:val="0"/>
        </w:rPr>
        <w:t>.</w:t>
      </w:r>
      <w:r w:rsidRPr="00DE5A04">
        <w:rPr>
          <w:rFonts w:ascii="Times New Roman" w:hAnsi="Times New Roman" w:cs="Times New Roman"/>
          <w:lang w:val="en-GB"/>
        </w:rPr>
        <w:fldChar w:fldCharType="end"/>
      </w:r>
    </w:p>
  </w:footnote>
  <w:footnote w:id="10">
    <w:p w14:paraId="346A1E7B"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rPr>
        <w:fldChar w:fldCharType="begin"/>
      </w:r>
      <w:r w:rsidRPr="00DE5A04">
        <w:rPr>
          <w:rFonts w:ascii="Times New Roman" w:hAnsi="Times New Roman" w:cs="Times New Roman"/>
        </w:rPr>
        <w:instrText xml:space="preserve"> ADDIN ZOTERO_ITEM CSL_CITATION {"citationID":"8SqlRo2X","properties":{"formattedCitation":"Paulin J. Hountondji, {\\i{}The Struggle for Meaning: Reflections on Philosophy, Culture, and Democracy in Africa}, trans. John Conteh-Morgan (U.S.A: Center for International Studies Ohio University, 2002).","plainCitation":"Paulin J. Hountondji, The Struggle for Meaning: Reflections on Philosophy, Culture, and Democracy in Africa, trans. John Conteh-Morgan (U.S.A: Center for International Studies Ohio University, 2002).","noteIndex":10},"citationItems":[{"id":103,"uris":["http://zotero.org/users/16253413/items/7GU33BKY"],"itemData":{"id":103,"type":"book","event-place":"U.S.A","publisher":"Center for International Studies Ohio University","publisher-place":"U.S.A","title":"The Struggle for Meaning: Reflections on Philosophy, Culture, and Democracy in Africa","author":[{"family":"Hountondji","given":"Paulin J."}],"translator":[{"family":"Conteh-Morgan","given":"John"}],"issued":{"date-parts":[["2002"]]}}}],"schema":"https://github.com/citation-style-language/schema/raw/master/csl-citation.json"} </w:instrText>
      </w:r>
      <w:r w:rsidRPr="00DE5A04">
        <w:rPr>
          <w:rFonts w:ascii="Times New Roman" w:hAnsi="Times New Roman" w:cs="Times New Roman"/>
        </w:rPr>
        <w:fldChar w:fldCharType="separate"/>
      </w:r>
      <w:r w:rsidRPr="00DE5A04">
        <w:rPr>
          <w:rFonts w:ascii="Times New Roman" w:hAnsi="Times New Roman" w:cs="Times New Roman"/>
          <w:kern w:val="0"/>
        </w:rPr>
        <w:t xml:space="preserve">Paulin J. Hountondji, </w:t>
      </w:r>
      <w:r w:rsidRPr="00DE5A04">
        <w:rPr>
          <w:rFonts w:ascii="Times New Roman" w:hAnsi="Times New Roman" w:cs="Times New Roman"/>
          <w:i/>
          <w:iCs/>
          <w:kern w:val="0"/>
        </w:rPr>
        <w:t>The Struggle for Meaning: Reflections on Philosophy, Culture, and Democracy in Africa</w:t>
      </w:r>
      <w:r w:rsidRPr="00DE5A04">
        <w:rPr>
          <w:rFonts w:ascii="Times New Roman" w:hAnsi="Times New Roman" w:cs="Times New Roman"/>
          <w:kern w:val="0"/>
        </w:rPr>
        <w:t>, trans. John Conteh-Morgan (U.S.A: Center for International Studies Ohio University, 2002).</w:t>
      </w:r>
      <w:r w:rsidRPr="00DE5A04">
        <w:rPr>
          <w:rFonts w:ascii="Times New Roman" w:hAnsi="Times New Roman" w:cs="Times New Roman"/>
        </w:rPr>
        <w:fldChar w:fldCharType="end"/>
      </w:r>
    </w:p>
  </w:footnote>
  <w:footnote w:id="11">
    <w:p w14:paraId="66201E69"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lang w:val="en-GB"/>
        </w:rPr>
        <w:t>Ibid., p138-p139.</w:t>
      </w:r>
    </w:p>
  </w:footnote>
  <w:footnote w:id="12">
    <w:p w14:paraId="793B9827"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lang w:val="en-GB"/>
        </w:rPr>
        <w:t>Ibid., p212-p215.</w:t>
      </w:r>
    </w:p>
  </w:footnote>
  <w:footnote w:id="13">
    <w:p w14:paraId="7E491397"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lang w:val="en-GB"/>
        </w:rPr>
        <w:t>Ibid., p247-p270.</w:t>
      </w:r>
    </w:p>
  </w:footnote>
  <w:footnote w:id="14">
    <w:p w14:paraId="548178C5"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lang w:val="en-GB"/>
        </w:rPr>
        <w:t>Ibid., p251-p252.</w:t>
      </w:r>
    </w:p>
  </w:footnote>
  <w:footnote w:id="15">
    <w:p w14:paraId="06031395"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lang w:val="en-GB"/>
        </w:rPr>
        <w:t>Ibid., p282.</w:t>
      </w:r>
    </w:p>
  </w:footnote>
  <w:footnote w:id="16">
    <w:p w14:paraId="3F12F1D4"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rPr>
        <w:fldChar w:fldCharType="begin"/>
      </w:r>
      <w:r w:rsidRPr="00DE5A04">
        <w:rPr>
          <w:rFonts w:ascii="Times New Roman" w:hAnsi="Times New Roman" w:cs="Times New Roman"/>
        </w:rPr>
        <w:instrText xml:space="preserve"> ADDIN ZOTERO_ITEM CSL_CITATION {"citationID":"gyQosNnd","properties":{"formattedCitation":"Bagele Chilisa, {\\i{}Indigenous Research Methodologies} (U.S.A: SAGE Publications, Inc., 2012).","plainCitation":"Bagele Chilisa, Indigenous Research Methodologies (U.S.A: SAGE Publications, Inc., 2012).","noteIndex":16},"citationItems":[{"id":95,"uris":["http://zotero.org/users/16253413/items/D2K7TYH2"],"itemData":{"id":95,"type":"book","event-place":"U.S.A","publisher":"SAGE Publications, Inc.","publisher-place":"U.S.A","title":"Indigenous Research Methodologies","author":[{"family":"Chilisa","given":"Bagele"}],"issued":{"date-parts":[["2012"]]}}}],"schema":"https://github.com/citation-style-language/schema/raw/master/csl-citation.json"} </w:instrText>
      </w:r>
      <w:r w:rsidRPr="00DE5A04">
        <w:rPr>
          <w:rFonts w:ascii="Times New Roman" w:hAnsi="Times New Roman" w:cs="Times New Roman"/>
        </w:rPr>
        <w:fldChar w:fldCharType="separate"/>
      </w:r>
      <w:r w:rsidRPr="00DE5A04">
        <w:rPr>
          <w:rFonts w:ascii="Times New Roman" w:hAnsi="Times New Roman" w:cs="Times New Roman"/>
          <w:kern w:val="0"/>
        </w:rPr>
        <w:t xml:space="preserve">Bagele Chilisa, </w:t>
      </w:r>
      <w:r w:rsidRPr="00DE5A04">
        <w:rPr>
          <w:rFonts w:ascii="Times New Roman" w:hAnsi="Times New Roman" w:cs="Times New Roman"/>
          <w:i/>
          <w:iCs/>
          <w:kern w:val="0"/>
        </w:rPr>
        <w:t>Indigenous Research Methodologies</w:t>
      </w:r>
      <w:r w:rsidRPr="00DE5A04">
        <w:rPr>
          <w:rFonts w:ascii="Times New Roman" w:hAnsi="Times New Roman" w:cs="Times New Roman"/>
          <w:kern w:val="0"/>
        </w:rPr>
        <w:t xml:space="preserve"> (U.S.A: SAGE Publications, Inc., 2012).</w:t>
      </w:r>
      <w:r w:rsidRPr="00DE5A04">
        <w:rPr>
          <w:rFonts w:ascii="Times New Roman" w:hAnsi="Times New Roman" w:cs="Times New Roman"/>
        </w:rPr>
        <w:fldChar w:fldCharType="end"/>
      </w:r>
    </w:p>
  </w:footnote>
  <w:footnote w:id="17">
    <w:p w14:paraId="54D41C6B" w14:textId="77777777" w:rsidR="00037741" w:rsidRPr="00DE5A04" w:rsidRDefault="00000000" w:rsidP="00037741">
      <w:pPr>
        <w:pStyle w:val="FootnoteText"/>
        <w:rPr>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lang w:val="en-GB"/>
        </w:rPr>
        <w:t>Ibid., p20-p23.</w:t>
      </w:r>
    </w:p>
  </w:footnote>
  <w:footnote w:id="18">
    <w:p w14:paraId="68531CDF" w14:textId="77777777" w:rsidR="00037741" w:rsidRPr="00DE5A04" w:rsidRDefault="00000000" w:rsidP="00037741">
      <w:pPr>
        <w:pStyle w:val="FootnoteText"/>
        <w:rPr>
          <w:rFonts w:ascii="Times New Roman" w:hAnsi="Times New Roman" w:cs="Times New Roman"/>
          <w:lang w:val="en-GB"/>
        </w:rPr>
      </w:pPr>
      <w:r w:rsidRPr="00DE5A04">
        <w:rPr>
          <w:rStyle w:val="FootnoteReference"/>
          <w:rFonts w:ascii="Times New Roman" w:hAnsi="Times New Roman" w:cs="Times New Roman"/>
        </w:rPr>
        <w:footnoteRef/>
      </w:r>
      <w:r w:rsidRPr="00DE5A04">
        <w:rPr>
          <w:rFonts w:ascii="Times New Roman" w:hAnsi="Times New Roman" w:cs="Times New Roman"/>
        </w:rPr>
        <w:t xml:space="preserve"> </w:t>
      </w:r>
      <w:r w:rsidRPr="00DE5A04">
        <w:rPr>
          <w:rFonts w:ascii="Times New Roman" w:hAnsi="Times New Roman" w:cs="Times New Roman"/>
        </w:rPr>
        <w:t>Ibid.</w:t>
      </w:r>
    </w:p>
  </w:footnote>
  <w:footnote w:id="19">
    <w:p w14:paraId="57877558" w14:textId="77777777" w:rsidR="00037741" w:rsidRPr="00AB1E17" w:rsidRDefault="00000000" w:rsidP="00037741">
      <w:pPr>
        <w:pStyle w:val="FootnoteText"/>
        <w:rPr>
          <w:rFonts w:ascii="Times New Roman" w:hAnsi="Times New Roman" w:cs="Times New Roman"/>
          <w:lang w:val="en-GB"/>
        </w:rPr>
      </w:pPr>
      <w:r w:rsidRPr="00AB1E17">
        <w:rPr>
          <w:rStyle w:val="FootnoteReference"/>
          <w:rFonts w:ascii="Times New Roman" w:hAnsi="Times New Roman" w:cs="Times New Roman"/>
        </w:rPr>
        <w:footnoteRef/>
      </w:r>
      <w:r w:rsidRPr="00AB1E17">
        <w:rPr>
          <w:rFonts w:ascii="Times New Roman" w:hAnsi="Times New Roman" w:cs="Times New Roman"/>
        </w:rPr>
        <w:t xml:space="preserve"> </w:t>
      </w:r>
      <w:r w:rsidRPr="00AB1E17">
        <w:rPr>
          <w:rFonts w:ascii="Times New Roman" w:hAnsi="Times New Roman" w:cs="Times New Roman"/>
        </w:rPr>
        <w:fldChar w:fldCharType="begin"/>
      </w:r>
      <w:r w:rsidRPr="00AB1E17">
        <w:rPr>
          <w:rFonts w:ascii="Times New Roman" w:hAnsi="Times New Roman" w:cs="Times New Roman"/>
        </w:rPr>
        <w:instrText xml:space="preserve"> ADDIN ZOTERO_ITEM CSL_CITATION {"citationID":"M8cSkMbc","properties":{"formattedCitation":"Vusamazulu Credo Mutwa, Great Zulu Shaman and Elder Credo Mutwa on Alien Abduction and Reptiles, interview by Rick Martin, Written Interview from \\uc0\\u8216{}The Spectrum\\uc0\\u8217{} newspaper, 1999, https://www.bibliotecapleyades.net/esp_credo_mutwa03.htm.","plainCitation":"Vusamazulu Credo Mutwa, Great Zulu Shaman and Elder Credo Mutwa on Alien Abduction and Reptiles, interview by Rick Martin, Written Interview from ‘The Spectrum’ newspaper, 1999, https://www.bibliotecapleyades.net/esp_credo_mutwa03.htm.","noteIndex":19},"citationItems":[{"id":104,"uris":["http://zotero.org/users/16253413/items/RU2DNB87"],"itemData":{"id":104,"type":"interview","medium":"Written Interview from \"The Spectrum\" newspaper","title":"Great Zulu Shaman and Elder Credo Mutwa on Alien Abduction and Reptiles","URL":"https://www.bibliotecapleyades.net/esp_credo_mutwa03.htm","author":[{"family":"Mutwa","given":"Vusamazulu Credo"}],"interviewer":[{"family":"Martin","given":"Rick"}],"issued":{"date-parts":[["1999"]]}}}],"schema":"https://github.com/citation-style-language/schema/raw/master/csl-citation.json"} </w:instrText>
      </w:r>
      <w:r w:rsidRPr="00AB1E17">
        <w:rPr>
          <w:rFonts w:ascii="Times New Roman" w:hAnsi="Times New Roman" w:cs="Times New Roman"/>
        </w:rPr>
        <w:fldChar w:fldCharType="separate"/>
      </w:r>
      <w:r w:rsidRPr="00AB1E17">
        <w:rPr>
          <w:rFonts w:ascii="Times New Roman" w:hAnsi="Times New Roman" w:cs="Times New Roman"/>
          <w:kern w:val="0"/>
        </w:rPr>
        <w:t>Vusamazulu Credo Mutwa, Great Zulu Shaman and Elder Credo Mutwa on Alien Abduction and Reptiles, interview by Rick Martin, Written Interview from ‘The Spectrum’ newspaper, 1999, https://www.bibliotecapleyades.net/esp_credo_mutwa03.htm.</w:t>
      </w:r>
      <w:r w:rsidRPr="00AB1E17">
        <w:rPr>
          <w:rFonts w:ascii="Times New Roman" w:hAnsi="Times New Roman" w:cs="Times New Roman"/>
        </w:rPr>
        <w:fldChar w:fldCharType="end"/>
      </w:r>
    </w:p>
  </w:footnote>
  <w:footnote w:id="20">
    <w:p w14:paraId="02ADA51D" w14:textId="77777777" w:rsidR="004106A4" w:rsidRPr="007D7120" w:rsidRDefault="00000000">
      <w:pPr>
        <w:pStyle w:val="FootnoteText"/>
        <w:rPr>
          <w:rFonts w:ascii="Times New Roman" w:hAnsi="Times New Roman" w:cs="Times New Roman"/>
          <w:lang w:val="en-GB"/>
        </w:rPr>
      </w:pPr>
      <w:r w:rsidRPr="007D7120">
        <w:rPr>
          <w:rStyle w:val="FootnoteReference"/>
          <w:rFonts w:ascii="Times New Roman" w:hAnsi="Times New Roman" w:cs="Times New Roman"/>
        </w:rPr>
        <w:footnoteRef/>
      </w:r>
      <w:r w:rsidRPr="007D7120">
        <w:rPr>
          <w:rFonts w:ascii="Times New Roman" w:hAnsi="Times New Roman" w:cs="Times New Roman"/>
        </w:rPr>
        <w:t xml:space="preserve"> </w:t>
      </w:r>
      <w:r w:rsidRPr="007D7120">
        <w:rPr>
          <w:rFonts w:ascii="Times New Roman" w:hAnsi="Times New Roman" w:cs="Times New Roman"/>
        </w:rPr>
        <w:fldChar w:fldCharType="begin"/>
      </w:r>
      <w:r w:rsidRPr="007D7120">
        <w:rPr>
          <w:rFonts w:ascii="Times New Roman" w:hAnsi="Times New Roman" w:cs="Times New Roman"/>
        </w:rPr>
        <w:instrText xml:space="preserve"> ADDIN ZOTERO_ITEM CSL_CITATION {"citationID":"3kf2IPF0","properties":{"formattedCitation":"Chanza and De Wit, \\uc0\\u8216{}Epistemological and Methodological Framework for Indigenous Knowledge in Climate Science\\uc0\\u8217{}.","plainCitation":"Chanza and De Wit, ‘Epistemological and Methodological Framework for Indigenous Knowledge in Climate Science’.","noteIndex":20},"citationItems":[{"id":92,"uris":["http://zotero.org/users/16253413/items/U5VVAAQZ"],"itemData":{"id":92,"type":"article-journal","container-title":"Indilinga: African Journal of Indigenous Knowledge Systems","issue":"2","page":"203-218","title":"Epistemological and Methodological Framework for Indigenous Knowledge in Climate Science","volume":"12","author":[{"family":"Chanza","given":"Nelson"},{"family":"De Wit","given":"Anton"}],"issued":{"date-parts":[["2013"]]}}}],"schema":"https://github.com/citation-style-language/schema/raw/master/csl-citation.json"} </w:instrText>
      </w:r>
      <w:r w:rsidRPr="007D7120">
        <w:rPr>
          <w:rFonts w:ascii="Times New Roman" w:hAnsi="Times New Roman" w:cs="Times New Roman"/>
        </w:rPr>
        <w:fldChar w:fldCharType="separate"/>
      </w:r>
      <w:r w:rsidRPr="007D7120">
        <w:rPr>
          <w:rFonts w:ascii="Times New Roman" w:hAnsi="Times New Roman" w:cs="Times New Roman"/>
          <w:kern w:val="0"/>
        </w:rPr>
        <w:t>Chanza and De Wit, "Epistemological and Methodological Framework for Indigenous Knowledge in Climate Science," p209.</w:t>
      </w:r>
      <w:r w:rsidRPr="007D7120">
        <w:rPr>
          <w:rFonts w:ascii="Times New Roman" w:hAnsi="Times New Roman" w:cs="Times New Roman"/>
        </w:rPr>
        <w:fldChar w:fldCharType="end"/>
      </w:r>
    </w:p>
  </w:footnote>
  <w:footnote w:id="21">
    <w:p w14:paraId="5AA3EB7A" w14:textId="77777777" w:rsidR="007D7120" w:rsidRPr="00A9226E" w:rsidRDefault="00000000">
      <w:pPr>
        <w:pStyle w:val="FootnoteText"/>
        <w:rPr>
          <w:rFonts w:ascii="Times New Roman" w:hAnsi="Times New Roman" w:cs="Times New Roman"/>
          <w:lang w:val="en-GB"/>
        </w:rPr>
      </w:pPr>
      <w:r w:rsidRPr="00A9226E">
        <w:rPr>
          <w:rStyle w:val="FootnoteReference"/>
          <w:rFonts w:ascii="Times New Roman" w:hAnsi="Times New Roman" w:cs="Times New Roman"/>
        </w:rPr>
        <w:footnoteRef/>
      </w:r>
      <w:r w:rsidRPr="00A9226E">
        <w:rPr>
          <w:rFonts w:ascii="Times New Roman" w:hAnsi="Times New Roman" w:cs="Times New Roman"/>
        </w:rPr>
        <w:t xml:space="preserve"> </w:t>
      </w:r>
      <w:r w:rsidRPr="00A9226E">
        <w:rPr>
          <w:rFonts w:ascii="Times New Roman" w:hAnsi="Times New Roman" w:cs="Times New Roman"/>
        </w:rPr>
        <w:fldChar w:fldCharType="begin"/>
      </w:r>
      <w:r w:rsidRPr="00A9226E">
        <w:rPr>
          <w:rFonts w:ascii="Times New Roman" w:hAnsi="Times New Roman" w:cs="Times New Roman"/>
        </w:rPr>
        <w:instrText xml:space="preserve"> ADDIN ZOTERO_ITEM CSL_CITATION {"citationID":"UgulQT9V","properties":{"formattedCitation":"Mathews, {\\i{}For Love of Matter: A Contemporary Panpsychism}.","plainCitation":"Mathews, For Love of Matter: A Contemporary Panpsychism.","noteIndex":21},"citationItems":[{"id":102,"uris":["http://zotero.org/users/16253413/items/HBU7Z657"],"itemData":{"id":102,"type":"book","event-place":"U.S.A","publisher":"State University of New York Press","publisher-place":"U.S.A","title":"For Love of Matter: A Contemporary Panpsychism","author":[{"family":"Mathews","given":"Freya"}],"issued":{"date-parts":[["2003"]]}}}],"schema":"https://github.com/citation-style-language/schema/raw/master/csl-citation.json"} </w:instrText>
      </w:r>
      <w:r w:rsidRPr="00A9226E">
        <w:rPr>
          <w:rFonts w:ascii="Times New Roman" w:hAnsi="Times New Roman" w:cs="Times New Roman"/>
        </w:rPr>
        <w:fldChar w:fldCharType="separate"/>
      </w:r>
      <w:r w:rsidRPr="00A9226E">
        <w:rPr>
          <w:rFonts w:ascii="Times New Roman" w:hAnsi="Times New Roman" w:cs="Times New Roman"/>
          <w:kern w:val="0"/>
        </w:rPr>
        <w:t xml:space="preserve">Mathews, </w:t>
      </w:r>
      <w:r w:rsidRPr="00A9226E">
        <w:rPr>
          <w:rFonts w:ascii="Times New Roman" w:hAnsi="Times New Roman" w:cs="Times New Roman"/>
          <w:i/>
          <w:iCs/>
          <w:kern w:val="0"/>
        </w:rPr>
        <w:t>For Love of Matter: A Contemporary Panpsychism</w:t>
      </w:r>
      <w:r w:rsidRPr="00A9226E">
        <w:rPr>
          <w:rFonts w:ascii="Times New Roman" w:hAnsi="Times New Roman" w:cs="Times New Roman"/>
          <w:kern w:val="0"/>
        </w:rPr>
        <w:t>, p1-p13.</w:t>
      </w:r>
      <w:r w:rsidRPr="00A9226E">
        <w:rPr>
          <w:rFonts w:ascii="Times New Roman" w:hAnsi="Times New Roman" w:cs="Times New Roman"/>
        </w:rPr>
        <w:fldChar w:fldCharType="end"/>
      </w:r>
    </w:p>
  </w:footnote>
  <w:footnote w:id="22">
    <w:p w14:paraId="5D8D8C06" w14:textId="77777777" w:rsidR="00A87133" w:rsidRPr="00A9226E" w:rsidRDefault="00000000">
      <w:pPr>
        <w:pStyle w:val="FootnoteText"/>
        <w:rPr>
          <w:rFonts w:ascii="Times New Roman" w:hAnsi="Times New Roman" w:cs="Times New Roman"/>
          <w:lang w:val="en-GB"/>
        </w:rPr>
      </w:pPr>
      <w:r w:rsidRPr="00A9226E">
        <w:rPr>
          <w:rStyle w:val="FootnoteReference"/>
          <w:rFonts w:ascii="Times New Roman" w:hAnsi="Times New Roman" w:cs="Times New Roman"/>
        </w:rPr>
        <w:footnoteRef/>
      </w:r>
      <w:r w:rsidRPr="00A9226E">
        <w:rPr>
          <w:rFonts w:ascii="Times New Roman" w:hAnsi="Times New Roman" w:cs="Times New Roman"/>
        </w:rPr>
        <w:t xml:space="preserve"> </w:t>
      </w:r>
      <w:r w:rsidRPr="00A9226E">
        <w:rPr>
          <w:rFonts w:ascii="Times New Roman" w:hAnsi="Times New Roman" w:cs="Times New Roman"/>
        </w:rPr>
        <w:fldChar w:fldCharType="begin"/>
      </w:r>
      <w:r w:rsidRPr="00A9226E">
        <w:rPr>
          <w:rFonts w:ascii="Times New Roman" w:hAnsi="Times New Roman" w:cs="Times New Roman"/>
        </w:rPr>
        <w:instrText xml:space="preserve"> ADDIN ZOTERO_ITEM CSL_CITATION {"citationID":"kBLU81ZM","properties":{"formattedCitation":"Chilisa, {\\i{}Indigenous Research Methodologies}.","plainCitation":"Chilisa, Indigenous Research Methodologies.","noteIndex":22},"citationItems":[{"id":95,"uris":["http://zotero.org/users/16253413/items/D2K7TYH2"],"itemData":{"id":95,"type":"book","event-place":"U.S.A","publisher":"SAGE Publications, Inc.","publisher-place":"U.S.A","title":"Indigenous Research Methodologies","author":[{"family":"Chilisa","given":"Bagele"}],"issued":{"date-parts":[["2012"]]}}}],"schema":"https://github.com/citation-style-language/schema/raw/master/csl-citation.json"} </w:instrText>
      </w:r>
      <w:r w:rsidRPr="00A9226E">
        <w:rPr>
          <w:rFonts w:ascii="Times New Roman" w:hAnsi="Times New Roman" w:cs="Times New Roman"/>
        </w:rPr>
        <w:fldChar w:fldCharType="separate"/>
      </w:r>
      <w:r w:rsidRPr="00A9226E">
        <w:rPr>
          <w:rFonts w:ascii="Times New Roman" w:hAnsi="Times New Roman" w:cs="Times New Roman"/>
          <w:kern w:val="0"/>
        </w:rPr>
        <w:t xml:space="preserve">Chilisa, </w:t>
      </w:r>
      <w:r w:rsidRPr="00A9226E">
        <w:rPr>
          <w:rFonts w:ascii="Times New Roman" w:hAnsi="Times New Roman" w:cs="Times New Roman"/>
          <w:i/>
          <w:iCs/>
          <w:kern w:val="0"/>
        </w:rPr>
        <w:t>Indigenous Research Methodologies</w:t>
      </w:r>
      <w:r w:rsidRPr="00A9226E">
        <w:rPr>
          <w:rFonts w:ascii="Times New Roman" w:hAnsi="Times New Roman" w:cs="Times New Roman"/>
          <w:kern w:val="0"/>
        </w:rPr>
        <w:t>.</w:t>
      </w:r>
      <w:r w:rsidRPr="00A9226E">
        <w:rPr>
          <w:rFonts w:ascii="Times New Roman" w:hAnsi="Times New Roman" w:cs="Times New Roman"/>
        </w:rPr>
        <w:fldChar w:fldCharType="end"/>
      </w:r>
    </w:p>
  </w:footnote>
  <w:footnote w:id="23">
    <w:p w14:paraId="1A41B7D2" w14:textId="77777777" w:rsidR="00A9226E" w:rsidRPr="00A9226E" w:rsidRDefault="00000000">
      <w:pPr>
        <w:pStyle w:val="FootnoteText"/>
        <w:rPr>
          <w:lang w:val="en-GB"/>
        </w:rPr>
      </w:pPr>
      <w:r w:rsidRPr="00A9226E">
        <w:rPr>
          <w:rStyle w:val="FootnoteReference"/>
          <w:rFonts w:ascii="Times New Roman" w:hAnsi="Times New Roman" w:cs="Times New Roman"/>
        </w:rPr>
        <w:footnoteRef/>
      </w:r>
      <w:r w:rsidRPr="00A9226E">
        <w:rPr>
          <w:rFonts w:ascii="Times New Roman" w:hAnsi="Times New Roman" w:cs="Times New Roman"/>
        </w:rPr>
        <w:t xml:space="preserve"> </w:t>
      </w:r>
      <w:r w:rsidRPr="00A9226E">
        <w:rPr>
          <w:rFonts w:ascii="Times New Roman" w:hAnsi="Times New Roman" w:cs="Times New Roman"/>
        </w:rPr>
        <w:fldChar w:fldCharType="begin"/>
      </w:r>
      <w:r w:rsidRPr="00A9226E">
        <w:rPr>
          <w:rFonts w:ascii="Times New Roman" w:hAnsi="Times New Roman" w:cs="Times New Roman"/>
        </w:rPr>
        <w:instrText xml:space="preserve"> ADDIN ZOTERO_ITEM CSL_CITATION {"citationID":"rAr4advJ","properties":{"formattedCitation":"Mathews, {\\i{}For Love of Matter: A Contemporary Panpsychism}.","plainCitation":"Mathews, For Love of Matter: A Contemporary Panpsychism.","noteIndex":23},"citationItems":[{"id":102,"uris":["http://zotero.org/users/16253413/items/HBU7Z657"],"itemData":{"id":102,"type":"book","event-place":"U.S.A","publisher":"State University of New York Press","publisher-place":"U.S.A","title":"For Love of Matter: A Contemporary Panpsychism","author":[{"family":"Mathews","given":"Freya"}],"issued":{"date-parts":[["2003"]]}}}],"schema":"https://github.com/citation-style-language/schema/raw/master/csl-citation.json"} </w:instrText>
      </w:r>
      <w:r w:rsidRPr="00A9226E">
        <w:rPr>
          <w:rFonts w:ascii="Times New Roman" w:hAnsi="Times New Roman" w:cs="Times New Roman"/>
        </w:rPr>
        <w:fldChar w:fldCharType="separate"/>
      </w:r>
      <w:r w:rsidRPr="00A9226E">
        <w:rPr>
          <w:rFonts w:ascii="Times New Roman" w:hAnsi="Times New Roman" w:cs="Times New Roman"/>
          <w:kern w:val="0"/>
        </w:rPr>
        <w:t xml:space="preserve">Mathews, </w:t>
      </w:r>
      <w:r w:rsidRPr="00A9226E">
        <w:rPr>
          <w:rFonts w:ascii="Times New Roman" w:hAnsi="Times New Roman" w:cs="Times New Roman"/>
          <w:i/>
          <w:iCs/>
          <w:kern w:val="0"/>
        </w:rPr>
        <w:t>For Love of Matter: A Contemporary Panpsychism</w:t>
      </w:r>
      <w:r w:rsidRPr="00A9226E">
        <w:rPr>
          <w:rFonts w:ascii="Times New Roman" w:hAnsi="Times New Roman" w:cs="Times New Roman"/>
          <w:kern w:val="0"/>
        </w:rPr>
        <w:t>, p1-p13.</w:t>
      </w:r>
      <w:r w:rsidRPr="00A9226E">
        <w:rPr>
          <w:rFonts w:ascii="Times New Roman" w:hAnsi="Times New Roman" w:cs="Times New Roman"/>
        </w:rPr>
        <w:fldChar w:fldCharType="end"/>
      </w:r>
    </w:p>
  </w:footnote>
  <w:footnote w:id="24">
    <w:p w14:paraId="6635AD82" w14:textId="77777777" w:rsidR="00AA1B91" w:rsidRPr="003E0690" w:rsidRDefault="00000000">
      <w:pPr>
        <w:pStyle w:val="FootnoteText"/>
        <w:rPr>
          <w:rFonts w:ascii="Times New Roman" w:hAnsi="Times New Roman" w:cs="Times New Roman"/>
          <w:lang w:val="en-GB"/>
        </w:rPr>
      </w:pPr>
      <w:r w:rsidRPr="003E0690">
        <w:rPr>
          <w:rStyle w:val="FootnoteReference"/>
          <w:rFonts w:ascii="Times New Roman" w:hAnsi="Times New Roman" w:cs="Times New Roman"/>
        </w:rPr>
        <w:footnoteRef/>
      </w:r>
      <w:r w:rsidRPr="003E0690">
        <w:rPr>
          <w:rFonts w:ascii="Times New Roman" w:hAnsi="Times New Roman" w:cs="Times New Roman"/>
        </w:rPr>
        <w:t xml:space="preserve"> </w:t>
      </w:r>
      <w:r w:rsidRPr="003E0690">
        <w:rPr>
          <w:rFonts w:ascii="Times New Roman" w:hAnsi="Times New Roman" w:cs="Times New Roman"/>
        </w:rPr>
        <w:fldChar w:fldCharType="begin"/>
      </w:r>
      <w:r w:rsidRPr="003E0690">
        <w:rPr>
          <w:rFonts w:ascii="Times New Roman" w:hAnsi="Times New Roman" w:cs="Times New Roman"/>
        </w:rPr>
        <w:instrText xml:space="preserve"> ADDIN ZOTERO_ITEM CSL_CITATION {"citationID":"mlCbrGxL","properties":{"formattedCitation":"{\\i{}Credo Mutwa Presents: The True History of Africa}, Transcript of video presentation (South Africa, 2008), https://peuplesawa.com/fr/bnnews.php?nid=1665&amp;profil=0&amp;seite=6&amp;sites=0&amp;vip=0.","plainCitation":"Credo Mutwa Presents: The True History of Africa, Transcript of video presentation (South Africa, 2008), https://peuplesawa.com/fr/bnnews.php?nid=1665&amp;profil=0&amp;seite=6&amp;sites=0&amp;vip=0.","noteIndex":24},"citationItems":[{"id":106,"uris":["http://zotero.org/users/16253413/items/FG3GNVDI"],"itemData":{"id":106,"type":"motion_picture","event-place":"South Africa","medium":"Transcript of video presentation","publisher-place":"South Africa","title":"Credo Mutwa Presents: The True History of Africa","URL":"https://peuplesawa.com/fr/bnnews.php?nid=1665&amp;profil=0&amp;seite=6&amp;sites=0&amp;vip=0","contributor":[{"family":"Mutwa","given":"Vusamazulu Credo"}],"issued":{"date-parts":[["2008"]]}}}],"schema":"https://github.com/citation-style-language/schema/raw/master/csl-citation.json"} </w:instrText>
      </w:r>
      <w:r w:rsidRPr="003E0690">
        <w:rPr>
          <w:rFonts w:ascii="Times New Roman" w:hAnsi="Times New Roman" w:cs="Times New Roman"/>
        </w:rPr>
        <w:fldChar w:fldCharType="separate"/>
      </w:r>
      <w:r w:rsidRPr="003E0690">
        <w:rPr>
          <w:rFonts w:ascii="Times New Roman" w:hAnsi="Times New Roman" w:cs="Times New Roman"/>
          <w:i/>
          <w:iCs/>
          <w:kern w:val="0"/>
        </w:rPr>
        <w:t>Credo Mutwa Presents: The True History of Africa</w:t>
      </w:r>
      <w:r w:rsidRPr="003E0690">
        <w:rPr>
          <w:rFonts w:ascii="Times New Roman" w:hAnsi="Times New Roman" w:cs="Times New Roman"/>
          <w:kern w:val="0"/>
        </w:rPr>
        <w:t>, Transcript of video presentation (South Africa, 2008), https://peuplesawa.com/fr/bnnews.php?nid=1665&amp;profil=0&amp;seite=6&amp;sites=0&amp;vip=0.</w:t>
      </w:r>
      <w:r w:rsidRPr="003E0690">
        <w:rPr>
          <w:rFonts w:ascii="Times New Roman" w:hAnsi="Times New Roman" w:cs="Times New Roman"/>
        </w:rPr>
        <w:fldChar w:fldCharType="end"/>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FFFFFFFF"/>
    <w:lvl w:ilvl="0">
      <w:numFmt w:val="decimal"/>
      <w:lvlText w:val="*"/>
      <w:lvlJc w:val="left"/>
    </w:lvl>
  </w:abstractNum>
  <w:abstractNum w:abstractNumId="1" w15:restartNumberingAfterBreak="0">
    <w:nsid w:val="020D6C1B"/>
    <w:multiLevelType w:val="hybridMultilevel"/>
    <w:tmpl w:val="2AF8D06E"/>
    <w:lvl w:ilvl="0" w:tplc="6EC61AD0">
      <w:start w:val="1"/>
      <w:numFmt w:val="bullet"/>
      <w:lvlText w:val=""/>
      <w:lvlJc w:val="left"/>
      <w:pPr>
        <w:tabs>
          <w:tab w:val="num" w:pos="720"/>
        </w:tabs>
        <w:ind w:left="720" w:hanging="360"/>
      </w:pPr>
      <w:rPr>
        <w:rFonts w:ascii="Symbol" w:hAnsi="Symbol" w:hint="default"/>
      </w:rPr>
    </w:lvl>
    <w:lvl w:ilvl="1" w:tplc="0FA45FA2" w:tentative="1">
      <w:start w:val="1"/>
      <w:numFmt w:val="bullet"/>
      <w:lvlText w:val="o"/>
      <w:lvlJc w:val="left"/>
      <w:pPr>
        <w:tabs>
          <w:tab w:val="num" w:pos="1440"/>
        </w:tabs>
        <w:ind w:left="1440" w:hanging="360"/>
      </w:pPr>
      <w:rPr>
        <w:rFonts w:ascii="Courier New" w:hAnsi="Courier New" w:hint="default"/>
      </w:rPr>
    </w:lvl>
    <w:lvl w:ilvl="2" w:tplc="4B8EE792" w:tentative="1">
      <w:start w:val="1"/>
      <w:numFmt w:val="bullet"/>
      <w:lvlText w:val=""/>
      <w:lvlJc w:val="left"/>
      <w:pPr>
        <w:tabs>
          <w:tab w:val="num" w:pos="2160"/>
        </w:tabs>
        <w:ind w:left="2160" w:hanging="360"/>
      </w:pPr>
      <w:rPr>
        <w:rFonts w:ascii="Wingdings" w:hAnsi="Wingdings" w:hint="default"/>
      </w:rPr>
    </w:lvl>
    <w:lvl w:ilvl="3" w:tplc="7A4EA57A" w:tentative="1">
      <w:start w:val="1"/>
      <w:numFmt w:val="bullet"/>
      <w:lvlText w:val=""/>
      <w:lvlJc w:val="left"/>
      <w:pPr>
        <w:tabs>
          <w:tab w:val="num" w:pos="2880"/>
        </w:tabs>
        <w:ind w:left="2880" w:hanging="360"/>
      </w:pPr>
      <w:rPr>
        <w:rFonts w:ascii="Symbol" w:hAnsi="Symbol" w:hint="default"/>
      </w:rPr>
    </w:lvl>
    <w:lvl w:ilvl="4" w:tplc="A912C854" w:tentative="1">
      <w:start w:val="1"/>
      <w:numFmt w:val="bullet"/>
      <w:lvlText w:val="o"/>
      <w:lvlJc w:val="left"/>
      <w:pPr>
        <w:tabs>
          <w:tab w:val="num" w:pos="3600"/>
        </w:tabs>
        <w:ind w:left="3600" w:hanging="360"/>
      </w:pPr>
      <w:rPr>
        <w:rFonts w:ascii="Courier New" w:hAnsi="Courier New" w:hint="default"/>
      </w:rPr>
    </w:lvl>
    <w:lvl w:ilvl="5" w:tplc="DCD432EC" w:tentative="1">
      <w:start w:val="1"/>
      <w:numFmt w:val="bullet"/>
      <w:lvlText w:val=""/>
      <w:lvlJc w:val="left"/>
      <w:pPr>
        <w:tabs>
          <w:tab w:val="num" w:pos="4320"/>
        </w:tabs>
        <w:ind w:left="4320" w:hanging="360"/>
      </w:pPr>
      <w:rPr>
        <w:rFonts w:ascii="Wingdings" w:hAnsi="Wingdings" w:hint="default"/>
      </w:rPr>
    </w:lvl>
    <w:lvl w:ilvl="6" w:tplc="CF8E1AB4" w:tentative="1">
      <w:start w:val="1"/>
      <w:numFmt w:val="bullet"/>
      <w:lvlText w:val=""/>
      <w:lvlJc w:val="left"/>
      <w:pPr>
        <w:tabs>
          <w:tab w:val="num" w:pos="5040"/>
        </w:tabs>
        <w:ind w:left="5040" w:hanging="360"/>
      </w:pPr>
      <w:rPr>
        <w:rFonts w:ascii="Symbol" w:hAnsi="Symbol" w:hint="default"/>
      </w:rPr>
    </w:lvl>
    <w:lvl w:ilvl="7" w:tplc="D4EE4A26" w:tentative="1">
      <w:start w:val="1"/>
      <w:numFmt w:val="bullet"/>
      <w:lvlText w:val="o"/>
      <w:lvlJc w:val="left"/>
      <w:pPr>
        <w:tabs>
          <w:tab w:val="num" w:pos="5760"/>
        </w:tabs>
        <w:ind w:left="5760" w:hanging="360"/>
      </w:pPr>
      <w:rPr>
        <w:rFonts w:ascii="Courier New" w:hAnsi="Courier New" w:hint="default"/>
      </w:rPr>
    </w:lvl>
    <w:lvl w:ilvl="8" w:tplc="202A68BA"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2495603"/>
    <w:multiLevelType w:val="hybridMultilevel"/>
    <w:tmpl w:val="E842C998"/>
    <w:lvl w:ilvl="0" w:tplc="731205FC">
      <w:start w:val="1"/>
      <w:numFmt w:val="bullet"/>
      <w:lvlText w:val=""/>
      <w:lvlJc w:val="left"/>
      <w:pPr>
        <w:ind w:left="720" w:hanging="360"/>
      </w:pPr>
      <w:rPr>
        <w:rFonts w:ascii="Symbol" w:hAnsi="Symbol" w:hint="default"/>
      </w:rPr>
    </w:lvl>
    <w:lvl w:ilvl="1" w:tplc="0922C3EE" w:tentative="1">
      <w:start w:val="1"/>
      <w:numFmt w:val="bullet"/>
      <w:lvlText w:val="o"/>
      <w:lvlJc w:val="left"/>
      <w:pPr>
        <w:ind w:left="1440" w:hanging="360"/>
      </w:pPr>
      <w:rPr>
        <w:rFonts w:ascii="Courier New" w:hAnsi="Courier New" w:cs="Courier New" w:hint="default"/>
      </w:rPr>
    </w:lvl>
    <w:lvl w:ilvl="2" w:tplc="185CE57C" w:tentative="1">
      <w:start w:val="1"/>
      <w:numFmt w:val="bullet"/>
      <w:lvlText w:val=""/>
      <w:lvlJc w:val="left"/>
      <w:pPr>
        <w:ind w:left="2160" w:hanging="360"/>
      </w:pPr>
      <w:rPr>
        <w:rFonts w:ascii="Wingdings" w:hAnsi="Wingdings" w:hint="default"/>
      </w:rPr>
    </w:lvl>
    <w:lvl w:ilvl="3" w:tplc="835A8678" w:tentative="1">
      <w:start w:val="1"/>
      <w:numFmt w:val="bullet"/>
      <w:lvlText w:val=""/>
      <w:lvlJc w:val="left"/>
      <w:pPr>
        <w:ind w:left="2880" w:hanging="360"/>
      </w:pPr>
      <w:rPr>
        <w:rFonts w:ascii="Symbol" w:hAnsi="Symbol" w:hint="default"/>
      </w:rPr>
    </w:lvl>
    <w:lvl w:ilvl="4" w:tplc="30187668" w:tentative="1">
      <w:start w:val="1"/>
      <w:numFmt w:val="bullet"/>
      <w:lvlText w:val="o"/>
      <w:lvlJc w:val="left"/>
      <w:pPr>
        <w:ind w:left="3600" w:hanging="360"/>
      </w:pPr>
      <w:rPr>
        <w:rFonts w:ascii="Courier New" w:hAnsi="Courier New" w:cs="Courier New" w:hint="default"/>
      </w:rPr>
    </w:lvl>
    <w:lvl w:ilvl="5" w:tplc="E4EA942E" w:tentative="1">
      <w:start w:val="1"/>
      <w:numFmt w:val="bullet"/>
      <w:lvlText w:val=""/>
      <w:lvlJc w:val="left"/>
      <w:pPr>
        <w:ind w:left="4320" w:hanging="360"/>
      </w:pPr>
      <w:rPr>
        <w:rFonts w:ascii="Wingdings" w:hAnsi="Wingdings" w:hint="default"/>
      </w:rPr>
    </w:lvl>
    <w:lvl w:ilvl="6" w:tplc="103297A8" w:tentative="1">
      <w:start w:val="1"/>
      <w:numFmt w:val="bullet"/>
      <w:lvlText w:val=""/>
      <w:lvlJc w:val="left"/>
      <w:pPr>
        <w:ind w:left="5040" w:hanging="360"/>
      </w:pPr>
      <w:rPr>
        <w:rFonts w:ascii="Symbol" w:hAnsi="Symbol" w:hint="default"/>
      </w:rPr>
    </w:lvl>
    <w:lvl w:ilvl="7" w:tplc="97228E5A" w:tentative="1">
      <w:start w:val="1"/>
      <w:numFmt w:val="bullet"/>
      <w:lvlText w:val="o"/>
      <w:lvlJc w:val="left"/>
      <w:pPr>
        <w:ind w:left="5760" w:hanging="360"/>
      </w:pPr>
      <w:rPr>
        <w:rFonts w:ascii="Courier New" w:hAnsi="Courier New" w:cs="Courier New" w:hint="default"/>
      </w:rPr>
    </w:lvl>
    <w:lvl w:ilvl="8" w:tplc="C00AC844" w:tentative="1">
      <w:start w:val="1"/>
      <w:numFmt w:val="bullet"/>
      <w:lvlText w:val=""/>
      <w:lvlJc w:val="left"/>
      <w:pPr>
        <w:ind w:left="6480" w:hanging="360"/>
      </w:pPr>
      <w:rPr>
        <w:rFonts w:ascii="Wingdings" w:hAnsi="Wingdings" w:hint="default"/>
      </w:rPr>
    </w:lvl>
  </w:abstractNum>
  <w:abstractNum w:abstractNumId="3" w15:restartNumberingAfterBreak="0">
    <w:nsid w:val="108D2346"/>
    <w:multiLevelType w:val="hybridMultilevel"/>
    <w:tmpl w:val="31B41100"/>
    <w:lvl w:ilvl="0" w:tplc="855202E4">
      <w:start w:val="1"/>
      <w:numFmt w:val="bullet"/>
      <w:lvlText w:val=""/>
      <w:lvlJc w:val="left"/>
      <w:pPr>
        <w:tabs>
          <w:tab w:val="num" w:pos="1080"/>
        </w:tabs>
        <w:ind w:left="1080" w:hanging="360"/>
      </w:pPr>
      <w:rPr>
        <w:rFonts w:ascii="Symbol" w:hAnsi="Symbol" w:hint="default"/>
      </w:rPr>
    </w:lvl>
    <w:lvl w:ilvl="1" w:tplc="2102BCB0">
      <w:start w:val="1"/>
      <w:numFmt w:val="bullet"/>
      <w:lvlText w:val=""/>
      <w:lvlJc w:val="left"/>
      <w:pPr>
        <w:tabs>
          <w:tab w:val="num" w:pos="1800"/>
        </w:tabs>
        <w:ind w:left="1800" w:hanging="360"/>
      </w:pPr>
      <w:rPr>
        <w:rFonts w:ascii="Symbol" w:hAnsi="Symbol" w:hint="default"/>
      </w:rPr>
    </w:lvl>
    <w:lvl w:ilvl="2" w:tplc="58842EC0" w:tentative="1">
      <w:start w:val="1"/>
      <w:numFmt w:val="lowerRoman"/>
      <w:lvlText w:val="%3."/>
      <w:lvlJc w:val="right"/>
      <w:pPr>
        <w:tabs>
          <w:tab w:val="num" w:pos="2520"/>
        </w:tabs>
        <w:ind w:left="2520" w:hanging="180"/>
      </w:pPr>
    </w:lvl>
    <w:lvl w:ilvl="3" w:tplc="EFAAE688" w:tentative="1">
      <w:start w:val="1"/>
      <w:numFmt w:val="decimal"/>
      <w:lvlText w:val="%4."/>
      <w:lvlJc w:val="left"/>
      <w:pPr>
        <w:tabs>
          <w:tab w:val="num" w:pos="3240"/>
        </w:tabs>
        <w:ind w:left="3240" w:hanging="360"/>
      </w:pPr>
    </w:lvl>
    <w:lvl w:ilvl="4" w:tplc="75BADE66" w:tentative="1">
      <w:start w:val="1"/>
      <w:numFmt w:val="lowerLetter"/>
      <w:lvlText w:val="%5."/>
      <w:lvlJc w:val="left"/>
      <w:pPr>
        <w:tabs>
          <w:tab w:val="num" w:pos="3960"/>
        </w:tabs>
        <w:ind w:left="3960" w:hanging="360"/>
      </w:pPr>
    </w:lvl>
    <w:lvl w:ilvl="5" w:tplc="70500E10" w:tentative="1">
      <w:start w:val="1"/>
      <w:numFmt w:val="lowerRoman"/>
      <w:lvlText w:val="%6."/>
      <w:lvlJc w:val="right"/>
      <w:pPr>
        <w:tabs>
          <w:tab w:val="num" w:pos="4680"/>
        </w:tabs>
        <w:ind w:left="4680" w:hanging="180"/>
      </w:pPr>
    </w:lvl>
    <w:lvl w:ilvl="6" w:tplc="C122D17E" w:tentative="1">
      <w:start w:val="1"/>
      <w:numFmt w:val="decimal"/>
      <w:lvlText w:val="%7."/>
      <w:lvlJc w:val="left"/>
      <w:pPr>
        <w:tabs>
          <w:tab w:val="num" w:pos="5400"/>
        </w:tabs>
        <w:ind w:left="5400" w:hanging="360"/>
      </w:pPr>
    </w:lvl>
    <w:lvl w:ilvl="7" w:tplc="61346908" w:tentative="1">
      <w:start w:val="1"/>
      <w:numFmt w:val="lowerLetter"/>
      <w:lvlText w:val="%8."/>
      <w:lvlJc w:val="left"/>
      <w:pPr>
        <w:tabs>
          <w:tab w:val="num" w:pos="6120"/>
        </w:tabs>
        <w:ind w:left="6120" w:hanging="360"/>
      </w:pPr>
    </w:lvl>
    <w:lvl w:ilvl="8" w:tplc="C43EF87A" w:tentative="1">
      <w:start w:val="1"/>
      <w:numFmt w:val="lowerRoman"/>
      <w:lvlText w:val="%9."/>
      <w:lvlJc w:val="right"/>
      <w:pPr>
        <w:tabs>
          <w:tab w:val="num" w:pos="6840"/>
        </w:tabs>
        <w:ind w:left="6840" w:hanging="180"/>
      </w:pPr>
    </w:lvl>
  </w:abstractNum>
  <w:abstractNum w:abstractNumId="4" w15:restartNumberingAfterBreak="0">
    <w:nsid w:val="1A893302"/>
    <w:multiLevelType w:val="hybridMultilevel"/>
    <w:tmpl w:val="1464C418"/>
    <w:lvl w:ilvl="0" w:tplc="9C0E7666">
      <w:start w:val="1"/>
      <w:numFmt w:val="bullet"/>
      <w:lvlText w:val=""/>
      <w:lvlJc w:val="left"/>
      <w:pPr>
        <w:ind w:left="720" w:hanging="360"/>
      </w:pPr>
      <w:rPr>
        <w:rFonts w:ascii="Symbol" w:hAnsi="Symbol" w:hint="default"/>
      </w:rPr>
    </w:lvl>
    <w:lvl w:ilvl="1" w:tplc="9FC4C6F2" w:tentative="1">
      <w:start w:val="1"/>
      <w:numFmt w:val="bullet"/>
      <w:lvlText w:val="o"/>
      <w:lvlJc w:val="left"/>
      <w:pPr>
        <w:ind w:left="1440" w:hanging="360"/>
      </w:pPr>
      <w:rPr>
        <w:rFonts w:ascii="Courier New" w:hAnsi="Courier New" w:cs="Courier New" w:hint="default"/>
      </w:rPr>
    </w:lvl>
    <w:lvl w:ilvl="2" w:tplc="AE0A4B02" w:tentative="1">
      <w:start w:val="1"/>
      <w:numFmt w:val="bullet"/>
      <w:lvlText w:val=""/>
      <w:lvlJc w:val="left"/>
      <w:pPr>
        <w:ind w:left="2160" w:hanging="360"/>
      </w:pPr>
      <w:rPr>
        <w:rFonts w:ascii="Wingdings" w:hAnsi="Wingdings" w:hint="default"/>
      </w:rPr>
    </w:lvl>
    <w:lvl w:ilvl="3" w:tplc="FB4060B6" w:tentative="1">
      <w:start w:val="1"/>
      <w:numFmt w:val="bullet"/>
      <w:lvlText w:val=""/>
      <w:lvlJc w:val="left"/>
      <w:pPr>
        <w:ind w:left="2880" w:hanging="360"/>
      </w:pPr>
      <w:rPr>
        <w:rFonts w:ascii="Symbol" w:hAnsi="Symbol" w:hint="default"/>
      </w:rPr>
    </w:lvl>
    <w:lvl w:ilvl="4" w:tplc="7C0675E6" w:tentative="1">
      <w:start w:val="1"/>
      <w:numFmt w:val="bullet"/>
      <w:lvlText w:val="o"/>
      <w:lvlJc w:val="left"/>
      <w:pPr>
        <w:ind w:left="3600" w:hanging="360"/>
      </w:pPr>
      <w:rPr>
        <w:rFonts w:ascii="Courier New" w:hAnsi="Courier New" w:cs="Courier New" w:hint="default"/>
      </w:rPr>
    </w:lvl>
    <w:lvl w:ilvl="5" w:tplc="8242BB28" w:tentative="1">
      <w:start w:val="1"/>
      <w:numFmt w:val="bullet"/>
      <w:lvlText w:val=""/>
      <w:lvlJc w:val="left"/>
      <w:pPr>
        <w:ind w:left="4320" w:hanging="360"/>
      </w:pPr>
      <w:rPr>
        <w:rFonts w:ascii="Wingdings" w:hAnsi="Wingdings" w:hint="default"/>
      </w:rPr>
    </w:lvl>
    <w:lvl w:ilvl="6" w:tplc="6A10871C" w:tentative="1">
      <w:start w:val="1"/>
      <w:numFmt w:val="bullet"/>
      <w:lvlText w:val=""/>
      <w:lvlJc w:val="left"/>
      <w:pPr>
        <w:ind w:left="5040" w:hanging="360"/>
      </w:pPr>
      <w:rPr>
        <w:rFonts w:ascii="Symbol" w:hAnsi="Symbol" w:hint="default"/>
      </w:rPr>
    </w:lvl>
    <w:lvl w:ilvl="7" w:tplc="A5089A90" w:tentative="1">
      <w:start w:val="1"/>
      <w:numFmt w:val="bullet"/>
      <w:lvlText w:val="o"/>
      <w:lvlJc w:val="left"/>
      <w:pPr>
        <w:ind w:left="5760" w:hanging="360"/>
      </w:pPr>
      <w:rPr>
        <w:rFonts w:ascii="Courier New" w:hAnsi="Courier New" w:cs="Courier New" w:hint="default"/>
      </w:rPr>
    </w:lvl>
    <w:lvl w:ilvl="8" w:tplc="1FDE123C" w:tentative="1">
      <w:start w:val="1"/>
      <w:numFmt w:val="bullet"/>
      <w:lvlText w:val=""/>
      <w:lvlJc w:val="left"/>
      <w:pPr>
        <w:ind w:left="6480" w:hanging="360"/>
      </w:pPr>
      <w:rPr>
        <w:rFonts w:ascii="Wingdings" w:hAnsi="Wingdings" w:hint="default"/>
      </w:rPr>
    </w:lvl>
  </w:abstractNum>
  <w:abstractNum w:abstractNumId="5" w15:restartNumberingAfterBreak="0">
    <w:nsid w:val="1DE8119E"/>
    <w:multiLevelType w:val="hybridMultilevel"/>
    <w:tmpl w:val="2F4A88A0"/>
    <w:lvl w:ilvl="0" w:tplc="CB424CBC">
      <w:start w:val="1"/>
      <w:numFmt w:val="bullet"/>
      <w:lvlText w:val=""/>
      <w:lvlJc w:val="left"/>
      <w:pPr>
        <w:tabs>
          <w:tab w:val="num" w:pos="1080"/>
        </w:tabs>
        <w:ind w:left="1080" w:hanging="360"/>
      </w:pPr>
      <w:rPr>
        <w:rFonts w:ascii="Symbol" w:hAnsi="Symbol" w:hint="default"/>
      </w:rPr>
    </w:lvl>
    <w:lvl w:ilvl="1" w:tplc="38F6BAEC" w:tentative="1">
      <w:start w:val="1"/>
      <w:numFmt w:val="bullet"/>
      <w:lvlText w:val="o"/>
      <w:lvlJc w:val="left"/>
      <w:pPr>
        <w:tabs>
          <w:tab w:val="num" w:pos="1800"/>
        </w:tabs>
        <w:ind w:left="1800" w:hanging="360"/>
      </w:pPr>
      <w:rPr>
        <w:rFonts w:ascii="Courier New" w:hAnsi="Courier New" w:cs="Courier New" w:hint="default"/>
      </w:rPr>
    </w:lvl>
    <w:lvl w:ilvl="2" w:tplc="86D89D56" w:tentative="1">
      <w:start w:val="1"/>
      <w:numFmt w:val="bullet"/>
      <w:lvlText w:val=""/>
      <w:lvlJc w:val="left"/>
      <w:pPr>
        <w:tabs>
          <w:tab w:val="num" w:pos="2520"/>
        </w:tabs>
        <w:ind w:left="2520" w:hanging="360"/>
      </w:pPr>
      <w:rPr>
        <w:rFonts w:ascii="Wingdings" w:hAnsi="Wingdings" w:hint="default"/>
      </w:rPr>
    </w:lvl>
    <w:lvl w:ilvl="3" w:tplc="79949ED0" w:tentative="1">
      <w:start w:val="1"/>
      <w:numFmt w:val="bullet"/>
      <w:lvlText w:val=""/>
      <w:lvlJc w:val="left"/>
      <w:pPr>
        <w:tabs>
          <w:tab w:val="num" w:pos="3240"/>
        </w:tabs>
        <w:ind w:left="3240" w:hanging="360"/>
      </w:pPr>
      <w:rPr>
        <w:rFonts w:ascii="Symbol" w:hAnsi="Symbol" w:hint="default"/>
      </w:rPr>
    </w:lvl>
    <w:lvl w:ilvl="4" w:tplc="408A589A" w:tentative="1">
      <w:start w:val="1"/>
      <w:numFmt w:val="bullet"/>
      <w:lvlText w:val="o"/>
      <w:lvlJc w:val="left"/>
      <w:pPr>
        <w:tabs>
          <w:tab w:val="num" w:pos="3960"/>
        </w:tabs>
        <w:ind w:left="3960" w:hanging="360"/>
      </w:pPr>
      <w:rPr>
        <w:rFonts w:ascii="Courier New" w:hAnsi="Courier New" w:cs="Courier New" w:hint="default"/>
      </w:rPr>
    </w:lvl>
    <w:lvl w:ilvl="5" w:tplc="6EF2A070" w:tentative="1">
      <w:start w:val="1"/>
      <w:numFmt w:val="bullet"/>
      <w:lvlText w:val=""/>
      <w:lvlJc w:val="left"/>
      <w:pPr>
        <w:tabs>
          <w:tab w:val="num" w:pos="4680"/>
        </w:tabs>
        <w:ind w:left="4680" w:hanging="360"/>
      </w:pPr>
      <w:rPr>
        <w:rFonts w:ascii="Wingdings" w:hAnsi="Wingdings" w:hint="default"/>
      </w:rPr>
    </w:lvl>
    <w:lvl w:ilvl="6" w:tplc="56AC7506" w:tentative="1">
      <w:start w:val="1"/>
      <w:numFmt w:val="bullet"/>
      <w:lvlText w:val=""/>
      <w:lvlJc w:val="left"/>
      <w:pPr>
        <w:tabs>
          <w:tab w:val="num" w:pos="5400"/>
        </w:tabs>
        <w:ind w:left="5400" w:hanging="360"/>
      </w:pPr>
      <w:rPr>
        <w:rFonts w:ascii="Symbol" w:hAnsi="Symbol" w:hint="default"/>
      </w:rPr>
    </w:lvl>
    <w:lvl w:ilvl="7" w:tplc="C3ECC4DE" w:tentative="1">
      <w:start w:val="1"/>
      <w:numFmt w:val="bullet"/>
      <w:lvlText w:val="o"/>
      <w:lvlJc w:val="left"/>
      <w:pPr>
        <w:tabs>
          <w:tab w:val="num" w:pos="6120"/>
        </w:tabs>
        <w:ind w:left="6120" w:hanging="360"/>
      </w:pPr>
      <w:rPr>
        <w:rFonts w:ascii="Courier New" w:hAnsi="Courier New" w:cs="Courier New" w:hint="default"/>
      </w:rPr>
    </w:lvl>
    <w:lvl w:ilvl="8" w:tplc="ED3E09C8" w:tentative="1">
      <w:start w:val="1"/>
      <w:numFmt w:val="bullet"/>
      <w:lvlText w:val=""/>
      <w:lvlJc w:val="left"/>
      <w:pPr>
        <w:tabs>
          <w:tab w:val="num" w:pos="6840"/>
        </w:tabs>
        <w:ind w:left="6840" w:hanging="360"/>
      </w:pPr>
      <w:rPr>
        <w:rFonts w:ascii="Wingdings" w:hAnsi="Wingdings" w:hint="default"/>
      </w:rPr>
    </w:lvl>
  </w:abstractNum>
  <w:abstractNum w:abstractNumId="6" w15:restartNumberingAfterBreak="0">
    <w:nsid w:val="2C4D4F0F"/>
    <w:multiLevelType w:val="hybridMultilevel"/>
    <w:tmpl w:val="799262E0"/>
    <w:lvl w:ilvl="0" w:tplc="128869FE">
      <w:start w:val="1"/>
      <w:numFmt w:val="upperRoman"/>
      <w:lvlText w:val="%1."/>
      <w:lvlJc w:val="right"/>
      <w:pPr>
        <w:ind w:left="540" w:hanging="360"/>
      </w:pPr>
    </w:lvl>
    <w:lvl w:ilvl="1" w:tplc="A40AA426" w:tentative="1">
      <w:start w:val="1"/>
      <w:numFmt w:val="lowerLetter"/>
      <w:lvlText w:val="%2."/>
      <w:lvlJc w:val="left"/>
      <w:pPr>
        <w:ind w:left="1260" w:hanging="360"/>
      </w:pPr>
    </w:lvl>
    <w:lvl w:ilvl="2" w:tplc="B0727DA6" w:tentative="1">
      <w:start w:val="1"/>
      <w:numFmt w:val="lowerRoman"/>
      <w:lvlText w:val="%3."/>
      <w:lvlJc w:val="right"/>
      <w:pPr>
        <w:ind w:left="1980" w:hanging="180"/>
      </w:pPr>
    </w:lvl>
    <w:lvl w:ilvl="3" w:tplc="E3A4883A" w:tentative="1">
      <w:start w:val="1"/>
      <w:numFmt w:val="decimal"/>
      <w:lvlText w:val="%4."/>
      <w:lvlJc w:val="left"/>
      <w:pPr>
        <w:ind w:left="2700" w:hanging="360"/>
      </w:pPr>
    </w:lvl>
    <w:lvl w:ilvl="4" w:tplc="87703484" w:tentative="1">
      <w:start w:val="1"/>
      <w:numFmt w:val="lowerLetter"/>
      <w:lvlText w:val="%5."/>
      <w:lvlJc w:val="left"/>
      <w:pPr>
        <w:ind w:left="3420" w:hanging="360"/>
      </w:pPr>
    </w:lvl>
    <w:lvl w:ilvl="5" w:tplc="3154E544" w:tentative="1">
      <w:start w:val="1"/>
      <w:numFmt w:val="lowerRoman"/>
      <w:lvlText w:val="%6."/>
      <w:lvlJc w:val="right"/>
      <w:pPr>
        <w:ind w:left="4140" w:hanging="180"/>
      </w:pPr>
    </w:lvl>
    <w:lvl w:ilvl="6" w:tplc="E37CB320" w:tentative="1">
      <w:start w:val="1"/>
      <w:numFmt w:val="decimal"/>
      <w:lvlText w:val="%7."/>
      <w:lvlJc w:val="left"/>
      <w:pPr>
        <w:ind w:left="4860" w:hanging="360"/>
      </w:pPr>
    </w:lvl>
    <w:lvl w:ilvl="7" w:tplc="4A5289BA" w:tentative="1">
      <w:start w:val="1"/>
      <w:numFmt w:val="lowerLetter"/>
      <w:lvlText w:val="%8."/>
      <w:lvlJc w:val="left"/>
      <w:pPr>
        <w:ind w:left="5580" w:hanging="360"/>
      </w:pPr>
    </w:lvl>
    <w:lvl w:ilvl="8" w:tplc="14FA1D1E" w:tentative="1">
      <w:start w:val="1"/>
      <w:numFmt w:val="lowerRoman"/>
      <w:lvlText w:val="%9."/>
      <w:lvlJc w:val="right"/>
      <w:pPr>
        <w:ind w:left="6300" w:hanging="180"/>
      </w:pPr>
    </w:lvl>
  </w:abstractNum>
  <w:abstractNum w:abstractNumId="7" w15:restartNumberingAfterBreak="0">
    <w:nsid w:val="31900F40"/>
    <w:multiLevelType w:val="hybridMultilevel"/>
    <w:tmpl w:val="902A2690"/>
    <w:lvl w:ilvl="0" w:tplc="CAD0206C">
      <w:start w:val="1"/>
      <w:numFmt w:val="bullet"/>
      <w:lvlText w:val=""/>
      <w:lvlJc w:val="left"/>
      <w:pPr>
        <w:tabs>
          <w:tab w:val="num" w:pos="720"/>
        </w:tabs>
        <w:ind w:left="720" w:hanging="360"/>
      </w:pPr>
      <w:rPr>
        <w:rFonts w:ascii="Symbol" w:hAnsi="Symbol" w:hint="default"/>
      </w:rPr>
    </w:lvl>
    <w:lvl w:ilvl="1" w:tplc="4F361A50" w:tentative="1">
      <w:start w:val="1"/>
      <w:numFmt w:val="bullet"/>
      <w:lvlText w:val="o"/>
      <w:lvlJc w:val="left"/>
      <w:pPr>
        <w:tabs>
          <w:tab w:val="num" w:pos="1440"/>
        </w:tabs>
        <w:ind w:left="1440" w:hanging="360"/>
      </w:pPr>
      <w:rPr>
        <w:rFonts w:ascii="Courier New" w:hAnsi="Courier New" w:hint="default"/>
      </w:rPr>
    </w:lvl>
    <w:lvl w:ilvl="2" w:tplc="BA481100" w:tentative="1">
      <w:start w:val="1"/>
      <w:numFmt w:val="bullet"/>
      <w:lvlText w:val=""/>
      <w:lvlJc w:val="left"/>
      <w:pPr>
        <w:tabs>
          <w:tab w:val="num" w:pos="2160"/>
        </w:tabs>
        <w:ind w:left="2160" w:hanging="360"/>
      </w:pPr>
      <w:rPr>
        <w:rFonts w:ascii="Wingdings" w:hAnsi="Wingdings" w:hint="default"/>
      </w:rPr>
    </w:lvl>
    <w:lvl w:ilvl="3" w:tplc="8182C676" w:tentative="1">
      <w:start w:val="1"/>
      <w:numFmt w:val="bullet"/>
      <w:lvlText w:val=""/>
      <w:lvlJc w:val="left"/>
      <w:pPr>
        <w:tabs>
          <w:tab w:val="num" w:pos="2880"/>
        </w:tabs>
        <w:ind w:left="2880" w:hanging="360"/>
      </w:pPr>
      <w:rPr>
        <w:rFonts w:ascii="Symbol" w:hAnsi="Symbol" w:hint="default"/>
      </w:rPr>
    </w:lvl>
    <w:lvl w:ilvl="4" w:tplc="480EC9D8" w:tentative="1">
      <w:start w:val="1"/>
      <w:numFmt w:val="bullet"/>
      <w:lvlText w:val="o"/>
      <w:lvlJc w:val="left"/>
      <w:pPr>
        <w:tabs>
          <w:tab w:val="num" w:pos="3600"/>
        </w:tabs>
        <w:ind w:left="3600" w:hanging="360"/>
      </w:pPr>
      <w:rPr>
        <w:rFonts w:ascii="Courier New" w:hAnsi="Courier New" w:hint="default"/>
      </w:rPr>
    </w:lvl>
    <w:lvl w:ilvl="5" w:tplc="20B64F6A" w:tentative="1">
      <w:start w:val="1"/>
      <w:numFmt w:val="bullet"/>
      <w:lvlText w:val=""/>
      <w:lvlJc w:val="left"/>
      <w:pPr>
        <w:tabs>
          <w:tab w:val="num" w:pos="4320"/>
        </w:tabs>
        <w:ind w:left="4320" w:hanging="360"/>
      </w:pPr>
      <w:rPr>
        <w:rFonts w:ascii="Wingdings" w:hAnsi="Wingdings" w:hint="default"/>
      </w:rPr>
    </w:lvl>
    <w:lvl w:ilvl="6" w:tplc="EDAEC40C" w:tentative="1">
      <w:start w:val="1"/>
      <w:numFmt w:val="bullet"/>
      <w:lvlText w:val=""/>
      <w:lvlJc w:val="left"/>
      <w:pPr>
        <w:tabs>
          <w:tab w:val="num" w:pos="5040"/>
        </w:tabs>
        <w:ind w:left="5040" w:hanging="360"/>
      </w:pPr>
      <w:rPr>
        <w:rFonts w:ascii="Symbol" w:hAnsi="Symbol" w:hint="default"/>
      </w:rPr>
    </w:lvl>
    <w:lvl w:ilvl="7" w:tplc="9DECD344" w:tentative="1">
      <w:start w:val="1"/>
      <w:numFmt w:val="bullet"/>
      <w:lvlText w:val="o"/>
      <w:lvlJc w:val="left"/>
      <w:pPr>
        <w:tabs>
          <w:tab w:val="num" w:pos="5760"/>
        </w:tabs>
        <w:ind w:left="5760" w:hanging="360"/>
      </w:pPr>
      <w:rPr>
        <w:rFonts w:ascii="Courier New" w:hAnsi="Courier New" w:hint="default"/>
      </w:rPr>
    </w:lvl>
    <w:lvl w:ilvl="8" w:tplc="835CE9AE"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76313C9"/>
    <w:multiLevelType w:val="hybridMultilevel"/>
    <w:tmpl w:val="6CBA7B98"/>
    <w:lvl w:ilvl="0" w:tplc="93B88D80">
      <w:start w:val="1"/>
      <w:numFmt w:val="decimal"/>
      <w:lvlText w:val="%1."/>
      <w:lvlJc w:val="left"/>
      <w:pPr>
        <w:tabs>
          <w:tab w:val="num" w:pos="720"/>
        </w:tabs>
        <w:ind w:left="720" w:hanging="360"/>
      </w:pPr>
    </w:lvl>
    <w:lvl w:ilvl="1" w:tplc="061A6D76" w:tentative="1">
      <w:start w:val="1"/>
      <w:numFmt w:val="lowerLetter"/>
      <w:lvlText w:val="%2."/>
      <w:lvlJc w:val="left"/>
      <w:pPr>
        <w:tabs>
          <w:tab w:val="num" w:pos="1440"/>
        </w:tabs>
        <w:ind w:left="1440" w:hanging="360"/>
      </w:pPr>
    </w:lvl>
    <w:lvl w:ilvl="2" w:tplc="A598407A" w:tentative="1">
      <w:start w:val="1"/>
      <w:numFmt w:val="lowerRoman"/>
      <w:lvlText w:val="%3."/>
      <w:lvlJc w:val="right"/>
      <w:pPr>
        <w:tabs>
          <w:tab w:val="num" w:pos="2160"/>
        </w:tabs>
        <w:ind w:left="2160" w:hanging="180"/>
      </w:pPr>
    </w:lvl>
    <w:lvl w:ilvl="3" w:tplc="09B49920" w:tentative="1">
      <w:start w:val="1"/>
      <w:numFmt w:val="decimal"/>
      <w:lvlText w:val="%4."/>
      <w:lvlJc w:val="left"/>
      <w:pPr>
        <w:tabs>
          <w:tab w:val="num" w:pos="2880"/>
        </w:tabs>
        <w:ind w:left="2880" w:hanging="360"/>
      </w:pPr>
    </w:lvl>
    <w:lvl w:ilvl="4" w:tplc="FE1E921E" w:tentative="1">
      <w:start w:val="1"/>
      <w:numFmt w:val="lowerLetter"/>
      <w:lvlText w:val="%5."/>
      <w:lvlJc w:val="left"/>
      <w:pPr>
        <w:tabs>
          <w:tab w:val="num" w:pos="3600"/>
        </w:tabs>
        <w:ind w:left="3600" w:hanging="360"/>
      </w:pPr>
    </w:lvl>
    <w:lvl w:ilvl="5" w:tplc="29BC8D34" w:tentative="1">
      <w:start w:val="1"/>
      <w:numFmt w:val="lowerRoman"/>
      <w:lvlText w:val="%6."/>
      <w:lvlJc w:val="right"/>
      <w:pPr>
        <w:tabs>
          <w:tab w:val="num" w:pos="4320"/>
        </w:tabs>
        <w:ind w:left="4320" w:hanging="180"/>
      </w:pPr>
    </w:lvl>
    <w:lvl w:ilvl="6" w:tplc="86480E6C" w:tentative="1">
      <w:start w:val="1"/>
      <w:numFmt w:val="decimal"/>
      <w:lvlText w:val="%7."/>
      <w:lvlJc w:val="left"/>
      <w:pPr>
        <w:tabs>
          <w:tab w:val="num" w:pos="5040"/>
        </w:tabs>
        <w:ind w:left="5040" w:hanging="360"/>
      </w:pPr>
    </w:lvl>
    <w:lvl w:ilvl="7" w:tplc="9698A936" w:tentative="1">
      <w:start w:val="1"/>
      <w:numFmt w:val="lowerLetter"/>
      <w:lvlText w:val="%8."/>
      <w:lvlJc w:val="left"/>
      <w:pPr>
        <w:tabs>
          <w:tab w:val="num" w:pos="5760"/>
        </w:tabs>
        <w:ind w:left="5760" w:hanging="360"/>
      </w:pPr>
    </w:lvl>
    <w:lvl w:ilvl="8" w:tplc="2C24E4A6" w:tentative="1">
      <w:start w:val="1"/>
      <w:numFmt w:val="lowerRoman"/>
      <w:lvlText w:val="%9."/>
      <w:lvlJc w:val="right"/>
      <w:pPr>
        <w:tabs>
          <w:tab w:val="num" w:pos="6480"/>
        </w:tabs>
        <w:ind w:left="6480" w:hanging="180"/>
      </w:pPr>
    </w:lvl>
  </w:abstractNum>
  <w:abstractNum w:abstractNumId="9" w15:restartNumberingAfterBreak="0">
    <w:nsid w:val="3B5149EF"/>
    <w:multiLevelType w:val="hybridMultilevel"/>
    <w:tmpl w:val="173E0136"/>
    <w:lvl w:ilvl="0" w:tplc="57AA6E16">
      <w:start w:val="1"/>
      <w:numFmt w:val="lowerRoman"/>
      <w:lvlText w:val="(%1)"/>
      <w:lvlJc w:val="left"/>
      <w:pPr>
        <w:ind w:left="540" w:hanging="720"/>
      </w:pPr>
      <w:rPr>
        <w:rFonts w:hint="default"/>
        <w:sz w:val="20"/>
      </w:rPr>
    </w:lvl>
    <w:lvl w:ilvl="1" w:tplc="D4266136">
      <w:start w:val="1"/>
      <w:numFmt w:val="lowerLetter"/>
      <w:lvlText w:val="%2."/>
      <w:lvlJc w:val="left"/>
      <w:pPr>
        <w:ind w:left="900" w:hanging="360"/>
      </w:pPr>
    </w:lvl>
    <w:lvl w:ilvl="2" w:tplc="C020024E" w:tentative="1">
      <w:start w:val="1"/>
      <w:numFmt w:val="lowerRoman"/>
      <w:lvlText w:val="%3."/>
      <w:lvlJc w:val="right"/>
      <w:pPr>
        <w:ind w:left="1620" w:hanging="180"/>
      </w:pPr>
    </w:lvl>
    <w:lvl w:ilvl="3" w:tplc="AA7E3E52" w:tentative="1">
      <w:start w:val="1"/>
      <w:numFmt w:val="decimal"/>
      <w:lvlText w:val="%4."/>
      <w:lvlJc w:val="left"/>
      <w:pPr>
        <w:ind w:left="2340" w:hanging="360"/>
      </w:pPr>
    </w:lvl>
    <w:lvl w:ilvl="4" w:tplc="35A2CE34" w:tentative="1">
      <w:start w:val="1"/>
      <w:numFmt w:val="lowerLetter"/>
      <w:lvlText w:val="%5."/>
      <w:lvlJc w:val="left"/>
      <w:pPr>
        <w:ind w:left="3060" w:hanging="360"/>
      </w:pPr>
    </w:lvl>
    <w:lvl w:ilvl="5" w:tplc="1F184EDA" w:tentative="1">
      <w:start w:val="1"/>
      <w:numFmt w:val="lowerRoman"/>
      <w:lvlText w:val="%6."/>
      <w:lvlJc w:val="right"/>
      <w:pPr>
        <w:ind w:left="3780" w:hanging="180"/>
      </w:pPr>
    </w:lvl>
    <w:lvl w:ilvl="6" w:tplc="863E7A4C" w:tentative="1">
      <w:start w:val="1"/>
      <w:numFmt w:val="decimal"/>
      <w:lvlText w:val="%7."/>
      <w:lvlJc w:val="left"/>
      <w:pPr>
        <w:ind w:left="4500" w:hanging="360"/>
      </w:pPr>
    </w:lvl>
    <w:lvl w:ilvl="7" w:tplc="5D166D5E" w:tentative="1">
      <w:start w:val="1"/>
      <w:numFmt w:val="lowerLetter"/>
      <w:lvlText w:val="%8."/>
      <w:lvlJc w:val="left"/>
      <w:pPr>
        <w:ind w:left="5220" w:hanging="360"/>
      </w:pPr>
    </w:lvl>
    <w:lvl w:ilvl="8" w:tplc="1AC8CE2E" w:tentative="1">
      <w:start w:val="1"/>
      <w:numFmt w:val="lowerRoman"/>
      <w:lvlText w:val="%9."/>
      <w:lvlJc w:val="right"/>
      <w:pPr>
        <w:ind w:left="5940" w:hanging="180"/>
      </w:pPr>
    </w:lvl>
  </w:abstractNum>
  <w:abstractNum w:abstractNumId="10" w15:restartNumberingAfterBreak="0">
    <w:nsid w:val="3D411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1" w15:restartNumberingAfterBreak="0">
    <w:nsid w:val="45894E8A"/>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2" w15:restartNumberingAfterBreak="0">
    <w:nsid w:val="46F02AE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3" w15:restartNumberingAfterBreak="0">
    <w:nsid w:val="4AC93B2A"/>
    <w:multiLevelType w:val="hybridMultilevel"/>
    <w:tmpl w:val="726E56B0"/>
    <w:lvl w:ilvl="0" w:tplc="F3E64E58">
      <w:start w:val="1"/>
      <w:numFmt w:val="bullet"/>
      <w:lvlText w:val=""/>
      <w:lvlJc w:val="left"/>
      <w:pPr>
        <w:ind w:left="720" w:hanging="360"/>
      </w:pPr>
      <w:rPr>
        <w:rFonts w:ascii="Symbol" w:hAnsi="Symbol" w:hint="default"/>
      </w:rPr>
    </w:lvl>
    <w:lvl w:ilvl="1" w:tplc="148A5412" w:tentative="1">
      <w:start w:val="1"/>
      <w:numFmt w:val="bullet"/>
      <w:lvlText w:val="o"/>
      <w:lvlJc w:val="left"/>
      <w:pPr>
        <w:ind w:left="1440" w:hanging="360"/>
      </w:pPr>
      <w:rPr>
        <w:rFonts w:ascii="Courier New" w:hAnsi="Courier New" w:cs="Courier New" w:hint="default"/>
      </w:rPr>
    </w:lvl>
    <w:lvl w:ilvl="2" w:tplc="B5F4FD06" w:tentative="1">
      <w:start w:val="1"/>
      <w:numFmt w:val="bullet"/>
      <w:lvlText w:val=""/>
      <w:lvlJc w:val="left"/>
      <w:pPr>
        <w:ind w:left="2160" w:hanging="360"/>
      </w:pPr>
      <w:rPr>
        <w:rFonts w:ascii="Wingdings" w:hAnsi="Wingdings" w:hint="default"/>
      </w:rPr>
    </w:lvl>
    <w:lvl w:ilvl="3" w:tplc="7728D22A" w:tentative="1">
      <w:start w:val="1"/>
      <w:numFmt w:val="bullet"/>
      <w:lvlText w:val=""/>
      <w:lvlJc w:val="left"/>
      <w:pPr>
        <w:ind w:left="2880" w:hanging="360"/>
      </w:pPr>
      <w:rPr>
        <w:rFonts w:ascii="Symbol" w:hAnsi="Symbol" w:hint="default"/>
      </w:rPr>
    </w:lvl>
    <w:lvl w:ilvl="4" w:tplc="2E3C1AAA" w:tentative="1">
      <w:start w:val="1"/>
      <w:numFmt w:val="bullet"/>
      <w:lvlText w:val="o"/>
      <w:lvlJc w:val="left"/>
      <w:pPr>
        <w:ind w:left="3600" w:hanging="360"/>
      </w:pPr>
      <w:rPr>
        <w:rFonts w:ascii="Courier New" w:hAnsi="Courier New" w:cs="Courier New" w:hint="default"/>
      </w:rPr>
    </w:lvl>
    <w:lvl w:ilvl="5" w:tplc="43EE58D4" w:tentative="1">
      <w:start w:val="1"/>
      <w:numFmt w:val="bullet"/>
      <w:lvlText w:val=""/>
      <w:lvlJc w:val="left"/>
      <w:pPr>
        <w:ind w:left="4320" w:hanging="360"/>
      </w:pPr>
      <w:rPr>
        <w:rFonts w:ascii="Wingdings" w:hAnsi="Wingdings" w:hint="default"/>
      </w:rPr>
    </w:lvl>
    <w:lvl w:ilvl="6" w:tplc="26D288CA" w:tentative="1">
      <w:start w:val="1"/>
      <w:numFmt w:val="bullet"/>
      <w:lvlText w:val=""/>
      <w:lvlJc w:val="left"/>
      <w:pPr>
        <w:ind w:left="5040" w:hanging="360"/>
      </w:pPr>
      <w:rPr>
        <w:rFonts w:ascii="Symbol" w:hAnsi="Symbol" w:hint="default"/>
      </w:rPr>
    </w:lvl>
    <w:lvl w:ilvl="7" w:tplc="48E4D00C" w:tentative="1">
      <w:start w:val="1"/>
      <w:numFmt w:val="bullet"/>
      <w:lvlText w:val="o"/>
      <w:lvlJc w:val="left"/>
      <w:pPr>
        <w:ind w:left="5760" w:hanging="360"/>
      </w:pPr>
      <w:rPr>
        <w:rFonts w:ascii="Courier New" w:hAnsi="Courier New" w:cs="Courier New" w:hint="default"/>
      </w:rPr>
    </w:lvl>
    <w:lvl w:ilvl="8" w:tplc="DCC650E2" w:tentative="1">
      <w:start w:val="1"/>
      <w:numFmt w:val="bullet"/>
      <w:lvlText w:val=""/>
      <w:lvlJc w:val="left"/>
      <w:pPr>
        <w:ind w:left="6480" w:hanging="360"/>
      </w:pPr>
      <w:rPr>
        <w:rFonts w:ascii="Wingdings" w:hAnsi="Wingdings" w:hint="default"/>
      </w:rPr>
    </w:lvl>
  </w:abstractNum>
  <w:abstractNum w:abstractNumId="14" w15:restartNumberingAfterBreak="0">
    <w:nsid w:val="56A4107C"/>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5" w15:restartNumberingAfterBreak="0">
    <w:nsid w:val="580D3A84"/>
    <w:multiLevelType w:val="hybridMultilevel"/>
    <w:tmpl w:val="1BA6272E"/>
    <w:lvl w:ilvl="0" w:tplc="920093E0">
      <w:start w:val="1"/>
      <w:numFmt w:val="bullet"/>
      <w:lvlText w:val=""/>
      <w:lvlJc w:val="left"/>
      <w:pPr>
        <w:tabs>
          <w:tab w:val="num" w:pos="720"/>
        </w:tabs>
        <w:ind w:left="720" w:hanging="360"/>
      </w:pPr>
      <w:rPr>
        <w:rFonts w:ascii="Symbol" w:hAnsi="Symbol" w:hint="default"/>
      </w:rPr>
    </w:lvl>
    <w:lvl w:ilvl="1" w:tplc="6FF48674" w:tentative="1">
      <w:start w:val="1"/>
      <w:numFmt w:val="bullet"/>
      <w:lvlText w:val="o"/>
      <w:lvlJc w:val="left"/>
      <w:pPr>
        <w:tabs>
          <w:tab w:val="num" w:pos="1440"/>
        </w:tabs>
        <w:ind w:left="1440" w:hanging="360"/>
      </w:pPr>
      <w:rPr>
        <w:rFonts w:ascii="Courier New" w:hAnsi="Courier New" w:hint="default"/>
      </w:rPr>
    </w:lvl>
    <w:lvl w:ilvl="2" w:tplc="877E5FE0" w:tentative="1">
      <w:start w:val="1"/>
      <w:numFmt w:val="bullet"/>
      <w:lvlText w:val=""/>
      <w:lvlJc w:val="left"/>
      <w:pPr>
        <w:tabs>
          <w:tab w:val="num" w:pos="2160"/>
        </w:tabs>
        <w:ind w:left="2160" w:hanging="360"/>
      </w:pPr>
      <w:rPr>
        <w:rFonts w:ascii="Wingdings" w:hAnsi="Wingdings" w:hint="default"/>
      </w:rPr>
    </w:lvl>
    <w:lvl w:ilvl="3" w:tplc="824C3FEE" w:tentative="1">
      <w:start w:val="1"/>
      <w:numFmt w:val="bullet"/>
      <w:lvlText w:val=""/>
      <w:lvlJc w:val="left"/>
      <w:pPr>
        <w:tabs>
          <w:tab w:val="num" w:pos="2880"/>
        </w:tabs>
        <w:ind w:left="2880" w:hanging="360"/>
      </w:pPr>
      <w:rPr>
        <w:rFonts w:ascii="Symbol" w:hAnsi="Symbol" w:hint="default"/>
      </w:rPr>
    </w:lvl>
    <w:lvl w:ilvl="4" w:tplc="F8A2F934" w:tentative="1">
      <w:start w:val="1"/>
      <w:numFmt w:val="bullet"/>
      <w:lvlText w:val="o"/>
      <w:lvlJc w:val="left"/>
      <w:pPr>
        <w:tabs>
          <w:tab w:val="num" w:pos="3600"/>
        </w:tabs>
        <w:ind w:left="3600" w:hanging="360"/>
      </w:pPr>
      <w:rPr>
        <w:rFonts w:ascii="Courier New" w:hAnsi="Courier New" w:hint="default"/>
      </w:rPr>
    </w:lvl>
    <w:lvl w:ilvl="5" w:tplc="CFDA9A2A" w:tentative="1">
      <w:start w:val="1"/>
      <w:numFmt w:val="bullet"/>
      <w:lvlText w:val=""/>
      <w:lvlJc w:val="left"/>
      <w:pPr>
        <w:tabs>
          <w:tab w:val="num" w:pos="4320"/>
        </w:tabs>
        <w:ind w:left="4320" w:hanging="360"/>
      </w:pPr>
      <w:rPr>
        <w:rFonts w:ascii="Wingdings" w:hAnsi="Wingdings" w:hint="default"/>
      </w:rPr>
    </w:lvl>
    <w:lvl w:ilvl="6" w:tplc="CFB01DE4" w:tentative="1">
      <w:start w:val="1"/>
      <w:numFmt w:val="bullet"/>
      <w:lvlText w:val=""/>
      <w:lvlJc w:val="left"/>
      <w:pPr>
        <w:tabs>
          <w:tab w:val="num" w:pos="5040"/>
        </w:tabs>
        <w:ind w:left="5040" w:hanging="360"/>
      </w:pPr>
      <w:rPr>
        <w:rFonts w:ascii="Symbol" w:hAnsi="Symbol" w:hint="default"/>
      </w:rPr>
    </w:lvl>
    <w:lvl w:ilvl="7" w:tplc="37E6FB06" w:tentative="1">
      <w:start w:val="1"/>
      <w:numFmt w:val="bullet"/>
      <w:lvlText w:val="o"/>
      <w:lvlJc w:val="left"/>
      <w:pPr>
        <w:tabs>
          <w:tab w:val="num" w:pos="5760"/>
        </w:tabs>
        <w:ind w:left="5760" w:hanging="360"/>
      </w:pPr>
      <w:rPr>
        <w:rFonts w:ascii="Courier New" w:hAnsi="Courier New" w:hint="default"/>
      </w:rPr>
    </w:lvl>
    <w:lvl w:ilvl="8" w:tplc="A776F91A"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59A979B1"/>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17" w15:restartNumberingAfterBreak="0">
    <w:nsid w:val="5CCB20C1"/>
    <w:multiLevelType w:val="hybridMultilevel"/>
    <w:tmpl w:val="99225DD2"/>
    <w:lvl w:ilvl="0" w:tplc="5E008914">
      <w:start w:val="1"/>
      <w:numFmt w:val="bullet"/>
      <w:lvlText w:val=""/>
      <w:lvlJc w:val="left"/>
      <w:pPr>
        <w:tabs>
          <w:tab w:val="num" w:pos="1080"/>
        </w:tabs>
        <w:ind w:left="1080" w:hanging="360"/>
      </w:pPr>
      <w:rPr>
        <w:rFonts w:ascii="Symbol" w:hAnsi="Symbol" w:hint="default"/>
      </w:rPr>
    </w:lvl>
    <w:lvl w:ilvl="1" w:tplc="32900AF2" w:tentative="1">
      <w:start w:val="1"/>
      <w:numFmt w:val="bullet"/>
      <w:lvlText w:val="o"/>
      <w:lvlJc w:val="left"/>
      <w:pPr>
        <w:tabs>
          <w:tab w:val="num" w:pos="1800"/>
        </w:tabs>
        <w:ind w:left="1800" w:hanging="360"/>
      </w:pPr>
      <w:rPr>
        <w:rFonts w:ascii="Courier New" w:hAnsi="Courier New" w:hint="default"/>
      </w:rPr>
    </w:lvl>
    <w:lvl w:ilvl="2" w:tplc="2744D22E" w:tentative="1">
      <w:start w:val="1"/>
      <w:numFmt w:val="bullet"/>
      <w:lvlText w:val=""/>
      <w:lvlJc w:val="left"/>
      <w:pPr>
        <w:tabs>
          <w:tab w:val="num" w:pos="2520"/>
        </w:tabs>
        <w:ind w:left="2520" w:hanging="360"/>
      </w:pPr>
      <w:rPr>
        <w:rFonts w:ascii="Wingdings" w:hAnsi="Wingdings" w:hint="default"/>
      </w:rPr>
    </w:lvl>
    <w:lvl w:ilvl="3" w:tplc="E00A937E" w:tentative="1">
      <w:start w:val="1"/>
      <w:numFmt w:val="bullet"/>
      <w:lvlText w:val=""/>
      <w:lvlJc w:val="left"/>
      <w:pPr>
        <w:tabs>
          <w:tab w:val="num" w:pos="3240"/>
        </w:tabs>
        <w:ind w:left="3240" w:hanging="360"/>
      </w:pPr>
      <w:rPr>
        <w:rFonts w:ascii="Symbol" w:hAnsi="Symbol" w:hint="default"/>
      </w:rPr>
    </w:lvl>
    <w:lvl w:ilvl="4" w:tplc="E16CAC64" w:tentative="1">
      <w:start w:val="1"/>
      <w:numFmt w:val="bullet"/>
      <w:lvlText w:val="o"/>
      <w:lvlJc w:val="left"/>
      <w:pPr>
        <w:tabs>
          <w:tab w:val="num" w:pos="3960"/>
        </w:tabs>
        <w:ind w:left="3960" w:hanging="360"/>
      </w:pPr>
      <w:rPr>
        <w:rFonts w:ascii="Courier New" w:hAnsi="Courier New" w:hint="default"/>
      </w:rPr>
    </w:lvl>
    <w:lvl w:ilvl="5" w:tplc="FF260652" w:tentative="1">
      <w:start w:val="1"/>
      <w:numFmt w:val="bullet"/>
      <w:lvlText w:val=""/>
      <w:lvlJc w:val="left"/>
      <w:pPr>
        <w:tabs>
          <w:tab w:val="num" w:pos="4680"/>
        </w:tabs>
        <w:ind w:left="4680" w:hanging="360"/>
      </w:pPr>
      <w:rPr>
        <w:rFonts w:ascii="Wingdings" w:hAnsi="Wingdings" w:hint="default"/>
      </w:rPr>
    </w:lvl>
    <w:lvl w:ilvl="6" w:tplc="EF52B05E" w:tentative="1">
      <w:start w:val="1"/>
      <w:numFmt w:val="bullet"/>
      <w:lvlText w:val=""/>
      <w:lvlJc w:val="left"/>
      <w:pPr>
        <w:tabs>
          <w:tab w:val="num" w:pos="5400"/>
        </w:tabs>
        <w:ind w:left="5400" w:hanging="360"/>
      </w:pPr>
      <w:rPr>
        <w:rFonts w:ascii="Symbol" w:hAnsi="Symbol" w:hint="default"/>
      </w:rPr>
    </w:lvl>
    <w:lvl w:ilvl="7" w:tplc="79900598" w:tentative="1">
      <w:start w:val="1"/>
      <w:numFmt w:val="bullet"/>
      <w:lvlText w:val="o"/>
      <w:lvlJc w:val="left"/>
      <w:pPr>
        <w:tabs>
          <w:tab w:val="num" w:pos="6120"/>
        </w:tabs>
        <w:ind w:left="6120" w:hanging="360"/>
      </w:pPr>
      <w:rPr>
        <w:rFonts w:ascii="Courier New" w:hAnsi="Courier New" w:hint="default"/>
      </w:rPr>
    </w:lvl>
    <w:lvl w:ilvl="8" w:tplc="DB94453A" w:tentative="1">
      <w:start w:val="1"/>
      <w:numFmt w:val="bullet"/>
      <w:lvlText w:val=""/>
      <w:lvlJc w:val="left"/>
      <w:pPr>
        <w:tabs>
          <w:tab w:val="num" w:pos="6840"/>
        </w:tabs>
        <w:ind w:left="6840" w:hanging="360"/>
      </w:pPr>
      <w:rPr>
        <w:rFonts w:ascii="Wingdings" w:hAnsi="Wingdings" w:hint="default"/>
      </w:rPr>
    </w:lvl>
  </w:abstractNum>
  <w:abstractNum w:abstractNumId="18" w15:restartNumberingAfterBreak="0">
    <w:nsid w:val="65B7720D"/>
    <w:multiLevelType w:val="hybridMultilevel"/>
    <w:tmpl w:val="5C664BAC"/>
    <w:lvl w:ilvl="0" w:tplc="ADF8786A">
      <w:start w:val="1"/>
      <w:numFmt w:val="bullet"/>
      <w:lvlText w:val="*"/>
      <w:lvlJc w:val="left"/>
      <w:pPr>
        <w:tabs>
          <w:tab w:val="num" w:pos="540"/>
        </w:tabs>
        <w:ind w:left="540" w:hanging="360"/>
      </w:pPr>
      <w:rPr>
        <w:rFonts w:ascii="Albertus" w:hAnsi="Albertus" w:hint="default"/>
      </w:rPr>
    </w:lvl>
    <w:lvl w:ilvl="1" w:tplc="E1308F3E" w:tentative="1">
      <w:start w:val="1"/>
      <w:numFmt w:val="bullet"/>
      <w:lvlText w:val="o"/>
      <w:lvlJc w:val="left"/>
      <w:pPr>
        <w:tabs>
          <w:tab w:val="num" w:pos="1440"/>
        </w:tabs>
        <w:ind w:left="1440" w:hanging="360"/>
      </w:pPr>
      <w:rPr>
        <w:rFonts w:ascii="Courier New" w:hAnsi="Courier New" w:cs="Courier New" w:hint="default"/>
      </w:rPr>
    </w:lvl>
    <w:lvl w:ilvl="2" w:tplc="AB22C176" w:tentative="1">
      <w:start w:val="1"/>
      <w:numFmt w:val="bullet"/>
      <w:lvlText w:val=""/>
      <w:lvlJc w:val="left"/>
      <w:pPr>
        <w:tabs>
          <w:tab w:val="num" w:pos="2160"/>
        </w:tabs>
        <w:ind w:left="2160" w:hanging="360"/>
      </w:pPr>
      <w:rPr>
        <w:rFonts w:ascii="Wingdings" w:hAnsi="Wingdings" w:hint="default"/>
      </w:rPr>
    </w:lvl>
    <w:lvl w:ilvl="3" w:tplc="50B45980" w:tentative="1">
      <w:start w:val="1"/>
      <w:numFmt w:val="bullet"/>
      <w:lvlText w:val=""/>
      <w:lvlJc w:val="left"/>
      <w:pPr>
        <w:tabs>
          <w:tab w:val="num" w:pos="2880"/>
        </w:tabs>
        <w:ind w:left="2880" w:hanging="360"/>
      </w:pPr>
      <w:rPr>
        <w:rFonts w:ascii="Symbol" w:hAnsi="Symbol" w:hint="default"/>
      </w:rPr>
    </w:lvl>
    <w:lvl w:ilvl="4" w:tplc="EF10DDE6" w:tentative="1">
      <w:start w:val="1"/>
      <w:numFmt w:val="bullet"/>
      <w:lvlText w:val="o"/>
      <w:lvlJc w:val="left"/>
      <w:pPr>
        <w:tabs>
          <w:tab w:val="num" w:pos="3600"/>
        </w:tabs>
        <w:ind w:left="3600" w:hanging="360"/>
      </w:pPr>
      <w:rPr>
        <w:rFonts w:ascii="Courier New" w:hAnsi="Courier New" w:cs="Courier New" w:hint="default"/>
      </w:rPr>
    </w:lvl>
    <w:lvl w:ilvl="5" w:tplc="4D5C35C8" w:tentative="1">
      <w:start w:val="1"/>
      <w:numFmt w:val="bullet"/>
      <w:lvlText w:val=""/>
      <w:lvlJc w:val="left"/>
      <w:pPr>
        <w:tabs>
          <w:tab w:val="num" w:pos="4320"/>
        </w:tabs>
        <w:ind w:left="4320" w:hanging="360"/>
      </w:pPr>
      <w:rPr>
        <w:rFonts w:ascii="Wingdings" w:hAnsi="Wingdings" w:hint="default"/>
      </w:rPr>
    </w:lvl>
    <w:lvl w:ilvl="6" w:tplc="A0C899FE" w:tentative="1">
      <w:start w:val="1"/>
      <w:numFmt w:val="bullet"/>
      <w:lvlText w:val=""/>
      <w:lvlJc w:val="left"/>
      <w:pPr>
        <w:tabs>
          <w:tab w:val="num" w:pos="5040"/>
        </w:tabs>
        <w:ind w:left="5040" w:hanging="360"/>
      </w:pPr>
      <w:rPr>
        <w:rFonts w:ascii="Symbol" w:hAnsi="Symbol" w:hint="default"/>
      </w:rPr>
    </w:lvl>
    <w:lvl w:ilvl="7" w:tplc="2252FB06" w:tentative="1">
      <w:start w:val="1"/>
      <w:numFmt w:val="bullet"/>
      <w:lvlText w:val="o"/>
      <w:lvlJc w:val="left"/>
      <w:pPr>
        <w:tabs>
          <w:tab w:val="num" w:pos="5760"/>
        </w:tabs>
        <w:ind w:left="5760" w:hanging="360"/>
      </w:pPr>
      <w:rPr>
        <w:rFonts w:ascii="Courier New" w:hAnsi="Courier New" w:cs="Courier New" w:hint="default"/>
      </w:rPr>
    </w:lvl>
    <w:lvl w:ilvl="8" w:tplc="BCBC2A40"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66DD7A72"/>
    <w:multiLevelType w:val="multilevel"/>
    <w:tmpl w:val="0809001D"/>
    <w:lvl w:ilvl="0">
      <w:start w:val="1"/>
      <w:numFmt w:val="decimal"/>
      <w:lvlText w:val="%1)"/>
      <w:lvlJc w:val="left"/>
      <w:pPr>
        <w:tabs>
          <w:tab w:val="num" w:pos="360"/>
        </w:tabs>
        <w:ind w:left="360" w:hanging="360"/>
      </w:pPr>
    </w:lvl>
    <w:lvl w:ilvl="1">
      <w:start w:val="1"/>
      <w:numFmt w:val="lowerLetter"/>
      <w:lvlText w:val="%2)"/>
      <w:lvlJc w:val="left"/>
      <w:pPr>
        <w:tabs>
          <w:tab w:val="num" w:pos="720"/>
        </w:tabs>
        <w:ind w:left="720" w:hanging="360"/>
      </w:pPr>
    </w:lvl>
    <w:lvl w:ilvl="2">
      <w:start w:val="1"/>
      <w:numFmt w:val="lowerRoman"/>
      <w:lvlText w:val="%3)"/>
      <w:lvlJc w:val="left"/>
      <w:pPr>
        <w:tabs>
          <w:tab w:val="num" w:pos="1080"/>
        </w:tabs>
        <w:ind w:left="1080" w:hanging="360"/>
      </w:pPr>
    </w:lvl>
    <w:lvl w:ilvl="3">
      <w:start w:val="1"/>
      <w:numFmt w:val="decimal"/>
      <w:lvlText w:val="(%4)"/>
      <w:lvlJc w:val="left"/>
      <w:pPr>
        <w:tabs>
          <w:tab w:val="num" w:pos="1440"/>
        </w:tabs>
        <w:ind w:left="1440" w:hanging="360"/>
      </w:pPr>
    </w:lvl>
    <w:lvl w:ilvl="4">
      <w:start w:val="1"/>
      <w:numFmt w:val="lowerLetter"/>
      <w:lvlText w:val="(%5)"/>
      <w:lvlJc w:val="left"/>
      <w:pPr>
        <w:tabs>
          <w:tab w:val="num" w:pos="1800"/>
        </w:tabs>
        <w:ind w:left="1800" w:hanging="360"/>
      </w:pPr>
    </w:lvl>
    <w:lvl w:ilvl="5">
      <w:start w:val="1"/>
      <w:numFmt w:val="lowerRoman"/>
      <w:lvlText w:val="(%6)"/>
      <w:lvlJc w:val="left"/>
      <w:pPr>
        <w:tabs>
          <w:tab w:val="num" w:pos="2160"/>
        </w:tabs>
        <w:ind w:left="2160" w:hanging="360"/>
      </w:pPr>
    </w:lvl>
    <w:lvl w:ilvl="6">
      <w:start w:val="1"/>
      <w:numFmt w:val="decimal"/>
      <w:lvlText w:val="%7."/>
      <w:lvlJc w:val="left"/>
      <w:pPr>
        <w:tabs>
          <w:tab w:val="num" w:pos="2520"/>
        </w:tabs>
        <w:ind w:left="2520" w:hanging="360"/>
      </w:pPr>
    </w:lvl>
    <w:lvl w:ilvl="7">
      <w:start w:val="1"/>
      <w:numFmt w:val="lowerLetter"/>
      <w:lvlText w:val="%8."/>
      <w:lvlJc w:val="left"/>
      <w:pPr>
        <w:tabs>
          <w:tab w:val="num" w:pos="2880"/>
        </w:tabs>
        <w:ind w:left="2880" w:hanging="360"/>
      </w:pPr>
    </w:lvl>
    <w:lvl w:ilvl="8">
      <w:start w:val="1"/>
      <w:numFmt w:val="lowerRoman"/>
      <w:lvlText w:val="%9."/>
      <w:lvlJc w:val="left"/>
      <w:pPr>
        <w:tabs>
          <w:tab w:val="num" w:pos="3240"/>
        </w:tabs>
        <w:ind w:left="3240" w:hanging="360"/>
      </w:pPr>
    </w:lvl>
  </w:abstractNum>
  <w:abstractNum w:abstractNumId="20" w15:restartNumberingAfterBreak="0">
    <w:nsid w:val="6A54753F"/>
    <w:multiLevelType w:val="hybridMultilevel"/>
    <w:tmpl w:val="8A1266FA"/>
    <w:lvl w:ilvl="0" w:tplc="372C1EC8">
      <w:start w:val="1"/>
      <w:numFmt w:val="bullet"/>
      <w:lvlText w:val=""/>
      <w:lvlJc w:val="left"/>
      <w:pPr>
        <w:tabs>
          <w:tab w:val="num" w:pos="540"/>
        </w:tabs>
        <w:ind w:left="540" w:hanging="360"/>
      </w:pPr>
      <w:rPr>
        <w:rFonts w:ascii="Symbol" w:hAnsi="Symbol" w:hint="default"/>
      </w:rPr>
    </w:lvl>
    <w:lvl w:ilvl="1" w:tplc="5930001C">
      <w:start w:val="1"/>
      <w:numFmt w:val="bullet"/>
      <w:lvlText w:val="o"/>
      <w:lvlJc w:val="left"/>
      <w:pPr>
        <w:tabs>
          <w:tab w:val="num" w:pos="1260"/>
        </w:tabs>
        <w:ind w:left="1260" w:hanging="360"/>
      </w:pPr>
      <w:rPr>
        <w:rFonts w:ascii="Courier New" w:hAnsi="Courier New" w:cs="Courier New" w:hint="default"/>
      </w:rPr>
    </w:lvl>
    <w:lvl w:ilvl="2" w:tplc="B30E9356" w:tentative="1">
      <w:start w:val="1"/>
      <w:numFmt w:val="bullet"/>
      <w:lvlText w:val=""/>
      <w:lvlJc w:val="left"/>
      <w:pPr>
        <w:tabs>
          <w:tab w:val="num" w:pos="1980"/>
        </w:tabs>
        <w:ind w:left="1980" w:hanging="360"/>
      </w:pPr>
      <w:rPr>
        <w:rFonts w:ascii="Wingdings" w:hAnsi="Wingdings" w:hint="default"/>
      </w:rPr>
    </w:lvl>
    <w:lvl w:ilvl="3" w:tplc="B110322A" w:tentative="1">
      <w:start w:val="1"/>
      <w:numFmt w:val="bullet"/>
      <w:lvlText w:val=""/>
      <w:lvlJc w:val="left"/>
      <w:pPr>
        <w:tabs>
          <w:tab w:val="num" w:pos="2700"/>
        </w:tabs>
        <w:ind w:left="2700" w:hanging="360"/>
      </w:pPr>
      <w:rPr>
        <w:rFonts w:ascii="Symbol" w:hAnsi="Symbol" w:hint="default"/>
      </w:rPr>
    </w:lvl>
    <w:lvl w:ilvl="4" w:tplc="C116E75A" w:tentative="1">
      <w:start w:val="1"/>
      <w:numFmt w:val="bullet"/>
      <w:lvlText w:val="o"/>
      <w:lvlJc w:val="left"/>
      <w:pPr>
        <w:tabs>
          <w:tab w:val="num" w:pos="3420"/>
        </w:tabs>
        <w:ind w:left="3420" w:hanging="360"/>
      </w:pPr>
      <w:rPr>
        <w:rFonts w:ascii="Courier New" w:hAnsi="Courier New" w:cs="Courier New" w:hint="default"/>
      </w:rPr>
    </w:lvl>
    <w:lvl w:ilvl="5" w:tplc="06D810C0" w:tentative="1">
      <w:start w:val="1"/>
      <w:numFmt w:val="bullet"/>
      <w:lvlText w:val=""/>
      <w:lvlJc w:val="left"/>
      <w:pPr>
        <w:tabs>
          <w:tab w:val="num" w:pos="4140"/>
        </w:tabs>
        <w:ind w:left="4140" w:hanging="360"/>
      </w:pPr>
      <w:rPr>
        <w:rFonts w:ascii="Wingdings" w:hAnsi="Wingdings" w:hint="default"/>
      </w:rPr>
    </w:lvl>
    <w:lvl w:ilvl="6" w:tplc="DEC6E068" w:tentative="1">
      <w:start w:val="1"/>
      <w:numFmt w:val="bullet"/>
      <w:lvlText w:val=""/>
      <w:lvlJc w:val="left"/>
      <w:pPr>
        <w:tabs>
          <w:tab w:val="num" w:pos="4860"/>
        </w:tabs>
        <w:ind w:left="4860" w:hanging="360"/>
      </w:pPr>
      <w:rPr>
        <w:rFonts w:ascii="Symbol" w:hAnsi="Symbol" w:hint="default"/>
      </w:rPr>
    </w:lvl>
    <w:lvl w:ilvl="7" w:tplc="70169B2C" w:tentative="1">
      <w:start w:val="1"/>
      <w:numFmt w:val="bullet"/>
      <w:lvlText w:val="o"/>
      <w:lvlJc w:val="left"/>
      <w:pPr>
        <w:tabs>
          <w:tab w:val="num" w:pos="5580"/>
        </w:tabs>
        <w:ind w:left="5580" w:hanging="360"/>
      </w:pPr>
      <w:rPr>
        <w:rFonts w:ascii="Courier New" w:hAnsi="Courier New" w:cs="Courier New" w:hint="default"/>
      </w:rPr>
    </w:lvl>
    <w:lvl w:ilvl="8" w:tplc="94C6F54C" w:tentative="1">
      <w:start w:val="1"/>
      <w:numFmt w:val="bullet"/>
      <w:lvlText w:val=""/>
      <w:lvlJc w:val="left"/>
      <w:pPr>
        <w:tabs>
          <w:tab w:val="num" w:pos="6300"/>
        </w:tabs>
        <w:ind w:left="6300" w:hanging="360"/>
      </w:pPr>
      <w:rPr>
        <w:rFonts w:ascii="Wingdings" w:hAnsi="Wingdings" w:hint="default"/>
      </w:rPr>
    </w:lvl>
  </w:abstractNum>
  <w:abstractNum w:abstractNumId="21" w15:restartNumberingAfterBreak="0">
    <w:nsid w:val="74791E22"/>
    <w:multiLevelType w:val="hybridMultilevel"/>
    <w:tmpl w:val="7BC0D8AE"/>
    <w:lvl w:ilvl="0" w:tplc="0F4E7B38">
      <w:start w:val="1"/>
      <w:numFmt w:val="bullet"/>
      <w:lvlText w:val=""/>
      <w:lvlJc w:val="left"/>
      <w:pPr>
        <w:tabs>
          <w:tab w:val="num" w:pos="1080"/>
        </w:tabs>
        <w:ind w:left="1080" w:hanging="360"/>
      </w:pPr>
      <w:rPr>
        <w:rFonts w:ascii="Symbol" w:hAnsi="Symbol" w:hint="default"/>
      </w:rPr>
    </w:lvl>
    <w:lvl w:ilvl="1" w:tplc="93E08D32" w:tentative="1">
      <w:start w:val="1"/>
      <w:numFmt w:val="bullet"/>
      <w:lvlText w:val="o"/>
      <w:lvlJc w:val="left"/>
      <w:pPr>
        <w:tabs>
          <w:tab w:val="num" w:pos="1800"/>
        </w:tabs>
        <w:ind w:left="1800" w:hanging="360"/>
      </w:pPr>
      <w:rPr>
        <w:rFonts w:ascii="Courier New" w:hAnsi="Courier New" w:cs="Courier New" w:hint="default"/>
      </w:rPr>
    </w:lvl>
    <w:lvl w:ilvl="2" w:tplc="3DCAF7A6" w:tentative="1">
      <w:start w:val="1"/>
      <w:numFmt w:val="bullet"/>
      <w:lvlText w:val=""/>
      <w:lvlJc w:val="left"/>
      <w:pPr>
        <w:tabs>
          <w:tab w:val="num" w:pos="2520"/>
        </w:tabs>
        <w:ind w:left="2520" w:hanging="360"/>
      </w:pPr>
      <w:rPr>
        <w:rFonts w:ascii="Wingdings" w:hAnsi="Wingdings" w:hint="default"/>
      </w:rPr>
    </w:lvl>
    <w:lvl w:ilvl="3" w:tplc="5A3417E6" w:tentative="1">
      <w:start w:val="1"/>
      <w:numFmt w:val="bullet"/>
      <w:lvlText w:val=""/>
      <w:lvlJc w:val="left"/>
      <w:pPr>
        <w:tabs>
          <w:tab w:val="num" w:pos="3240"/>
        </w:tabs>
        <w:ind w:left="3240" w:hanging="360"/>
      </w:pPr>
      <w:rPr>
        <w:rFonts w:ascii="Symbol" w:hAnsi="Symbol" w:hint="default"/>
      </w:rPr>
    </w:lvl>
    <w:lvl w:ilvl="4" w:tplc="454CE78E" w:tentative="1">
      <w:start w:val="1"/>
      <w:numFmt w:val="bullet"/>
      <w:lvlText w:val="o"/>
      <w:lvlJc w:val="left"/>
      <w:pPr>
        <w:tabs>
          <w:tab w:val="num" w:pos="3960"/>
        </w:tabs>
        <w:ind w:left="3960" w:hanging="360"/>
      </w:pPr>
      <w:rPr>
        <w:rFonts w:ascii="Courier New" w:hAnsi="Courier New" w:cs="Courier New" w:hint="default"/>
      </w:rPr>
    </w:lvl>
    <w:lvl w:ilvl="5" w:tplc="C43CEE4A" w:tentative="1">
      <w:start w:val="1"/>
      <w:numFmt w:val="bullet"/>
      <w:lvlText w:val=""/>
      <w:lvlJc w:val="left"/>
      <w:pPr>
        <w:tabs>
          <w:tab w:val="num" w:pos="4680"/>
        </w:tabs>
        <w:ind w:left="4680" w:hanging="360"/>
      </w:pPr>
      <w:rPr>
        <w:rFonts w:ascii="Wingdings" w:hAnsi="Wingdings" w:hint="default"/>
      </w:rPr>
    </w:lvl>
    <w:lvl w:ilvl="6" w:tplc="22FEE402" w:tentative="1">
      <w:start w:val="1"/>
      <w:numFmt w:val="bullet"/>
      <w:lvlText w:val=""/>
      <w:lvlJc w:val="left"/>
      <w:pPr>
        <w:tabs>
          <w:tab w:val="num" w:pos="5400"/>
        </w:tabs>
        <w:ind w:left="5400" w:hanging="360"/>
      </w:pPr>
      <w:rPr>
        <w:rFonts w:ascii="Symbol" w:hAnsi="Symbol" w:hint="default"/>
      </w:rPr>
    </w:lvl>
    <w:lvl w:ilvl="7" w:tplc="A0824576" w:tentative="1">
      <w:start w:val="1"/>
      <w:numFmt w:val="bullet"/>
      <w:lvlText w:val="o"/>
      <w:lvlJc w:val="left"/>
      <w:pPr>
        <w:tabs>
          <w:tab w:val="num" w:pos="6120"/>
        </w:tabs>
        <w:ind w:left="6120" w:hanging="360"/>
      </w:pPr>
      <w:rPr>
        <w:rFonts w:ascii="Courier New" w:hAnsi="Courier New" w:cs="Courier New" w:hint="default"/>
      </w:rPr>
    </w:lvl>
    <w:lvl w:ilvl="8" w:tplc="56F2DF34" w:tentative="1">
      <w:start w:val="1"/>
      <w:numFmt w:val="bullet"/>
      <w:lvlText w:val=""/>
      <w:lvlJc w:val="left"/>
      <w:pPr>
        <w:tabs>
          <w:tab w:val="num" w:pos="6840"/>
        </w:tabs>
        <w:ind w:left="6840" w:hanging="360"/>
      </w:pPr>
      <w:rPr>
        <w:rFonts w:ascii="Wingdings" w:hAnsi="Wingdings" w:hint="default"/>
      </w:rPr>
    </w:lvl>
  </w:abstractNum>
  <w:abstractNum w:abstractNumId="22" w15:restartNumberingAfterBreak="0">
    <w:nsid w:val="75690EF0"/>
    <w:multiLevelType w:val="singleLevel"/>
    <w:tmpl w:val="079C2D06"/>
    <w:lvl w:ilvl="0">
      <w:start w:val="1"/>
      <w:numFmt w:val="bullet"/>
      <w:lvlText w:val=""/>
      <w:lvlJc w:val="left"/>
      <w:pPr>
        <w:tabs>
          <w:tab w:val="num" w:pos="432"/>
        </w:tabs>
        <w:ind w:left="360" w:hanging="288"/>
      </w:pPr>
      <w:rPr>
        <w:rFonts w:ascii="Symbol" w:hAnsi="Symbol" w:hint="default"/>
      </w:rPr>
    </w:lvl>
  </w:abstractNum>
  <w:abstractNum w:abstractNumId="23" w15:restartNumberingAfterBreak="0">
    <w:nsid w:val="7E665C95"/>
    <w:multiLevelType w:val="hybridMultilevel"/>
    <w:tmpl w:val="22767816"/>
    <w:lvl w:ilvl="0" w:tplc="D916A7CE">
      <w:start w:val="1"/>
      <w:numFmt w:val="bullet"/>
      <w:lvlText w:val=""/>
      <w:lvlJc w:val="left"/>
      <w:pPr>
        <w:ind w:left="1080" w:hanging="360"/>
      </w:pPr>
      <w:rPr>
        <w:rFonts w:ascii="Symbol" w:hAnsi="Symbol" w:hint="default"/>
      </w:rPr>
    </w:lvl>
    <w:lvl w:ilvl="1" w:tplc="32F8B1EA" w:tentative="1">
      <w:start w:val="1"/>
      <w:numFmt w:val="bullet"/>
      <w:lvlText w:val="o"/>
      <w:lvlJc w:val="left"/>
      <w:pPr>
        <w:ind w:left="1800" w:hanging="360"/>
      </w:pPr>
      <w:rPr>
        <w:rFonts w:ascii="Courier New" w:hAnsi="Courier New" w:cs="Courier New" w:hint="default"/>
      </w:rPr>
    </w:lvl>
    <w:lvl w:ilvl="2" w:tplc="009C9D70" w:tentative="1">
      <w:start w:val="1"/>
      <w:numFmt w:val="bullet"/>
      <w:lvlText w:val=""/>
      <w:lvlJc w:val="left"/>
      <w:pPr>
        <w:ind w:left="2520" w:hanging="360"/>
      </w:pPr>
      <w:rPr>
        <w:rFonts w:ascii="Wingdings" w:hAnsi="Wingdings" w:hint="default"/>
      </w:rPr>
    </w:lvl>
    <w:lvl w:ilvl="3" w:tplc="483A36A0" w:tentative="1">
      <w:start w:val="1"/>
      <w:numFmt w:val="bullet"/>
      <w:lvlText w:val=""/>
      <w:lvlJc w:val="left"/>
      <w:pPr>
        <w:ind w:left="3240" w:hanging="360"/>
      </w:pPr>
      <w:rPr>
        <w:rFonts w:ascii="Symbol" w:hAnsi="Symbol" w:hint="default"/>
      </w:rPr>
    </w:lvl>
    <w:lvl w:ilvl="4" w:tplc="F6469C6C" w:tentative="1">
      <w:start w:val="1"/>
      <w:numFmt w:val="bullet"/>
      <w:lvlText w:val="o"/>
      <w:lvlJc w:val="left"/>
      <w:pPr>
        <w:ind w:left="3960" w:hanging="360"/>
      </w:pPr>
      <w:rPr>
        <w:rFonts w:ascii="Courier New" w:hAnsi="Courier New" w:cs="Courier New" w:hint="default"/>
      </w:rPr>
    </w:lvl>
    <w:lvl w:ilvl="5" w:tplc="8732263E" w:tentative="1">
      <w:start w:val="1"/>
      <w:numFmt w:val="bullet"/>
      <w:lvlText w:val=""/>
      <w:lvlJc w:val="left"/>
      <w:pPr>
        <w:ind w:left="4680" w:hanging="360"/>
      </w:pPr>
      <w:rPr>
        <w:rFonts w:ascii="Wingdings" w:hAnsi="Wingdings" w:hint="default"/>
      </w:rPr>
    </w:lvl>
    <w:lvl w:ilvl="6" w:tplc="960A9678" w:tentative="1">
      <w:start w:val="1"/>
      <w:numFmt w:val="bullet"/>
      <w:lvlText w:val=""/>
      <w:lvlJc w:val="left"/>
      <w:pPr>
        <w:ind w:left="5400" w:hanging="360"/>
      </w:pPr>
      <w:rPr>
        <w:rFonts w:ascii="Symbol" w:hAnsi="Symbol" w:hint="default"/>
      </w:rPr>
    </w:lvl>
    <w:lvl w:ilvl="7" w:tplc="EE7CB01E" w:tentative="1">
      <w:start w:val="1"/>
      <w:numFmt w:val="bullet"/>
      <w:lvlText w:val="o"/>
      <w:lvlJc w:val="left"/>
      <w:pPr>
        <w:ind w:left="6120" w:hanging="360"/>
      </w:pPr>
      <w:rPr>
        <w:rFonts w:ascii="Courier New" w:hAnsi="Courier New" w:cs="Courier New" w:hint="default"/>
      </w:rPr>
    </w:lvl>
    <w:lvl w:ilvl="8" w:tplc="E1C4B8A2" w:tentative="1">
      <w:start w:val="1"/>
      <w:numFmt w:val="bullet"/>
      <w:lvlText w:val=""/>
      <w:lvlJc w:val="left"/>
      <w:pPr>
        <w:ind w:left="6840" w:hanging="360"/>
      </w:pPr>
      <w:rPr>
        <w:rFonts w:ascii="Wingdings" w:hAnsi="Wingdings" w:hint="default"/>
      </w:rPr>
    </w:lvl>
  </w:abstractNum>
  <w:num w:numId="1" w16cid:durableId="743382510">
    <w:abstractNumId w:val="18"/>
  </w:num>
  <w:num w:numId="2" w16cid:durableId="461462134">
    <w:abstractNumId w:val="20"/>
  </w:num>
  <w:num w:numId="3" w16cid:durableId="874387178">
    <w:abstractNumId w:val="9"/>
  </w:num>
  <w:num w:numId="4" w16cid:durableId="363411296">
    <w:abstractNumId w:val="6"/>
  </w:num>
  <w:num w:numId="5" w16cid:durableId="1043097696">
    <w:abstractNumId w:val="2"/>
  </w:num>
  <w:num w:numId="6" w16cid:durableId="855386930">
    <w:abstractNumId w:val="4"/>
  </w:num>
  <w:num w:numId="7" w16cid:durableId="2033844353">
    <w:abstractNumId w:val="13"/>
  </w:num>
  <w:num w:numId="8" w16cid:durableId="178198170">
    <w:abstractNumId w:val="21"/>
  </w:num>
  <w:num w:numId="9" w16cid:durableId="1975672265">
    <w:abstractNumId w:val="23"/>
  </w:num>
  <w:num w:numId="10" w16cid:durableId="96369341">
    <w:abstractNumId w:val="5"/>
  </w:num>
  <w:num w:numId="11" w16cid:durableId="309676869">
    <w:abstractNumId w:val="19"/>
  </w:num>
  <w:num w:numId="12" w16cid:durableId="476990807">
    <w:abstractNumId w:val="22"/>
  </w:num>
  <w:num w:numId="13" w16cid:durableId="1097484451">
    <w:abstractNumId w:val="11"/>
  </w:num>
  <w:num w:numId="14" w16cid:durableId="1481772803">
    <w:abstractNumId w:val="14"/>
  </w:num>
  <w:num w:numId="15" w16cid:durableId="1555967865">
    <w:abstractNumId w:val="16"/>
  </w:num>
  <w:num w:numId="16" w16cid:durableId="941495637">
    <w:abstractNumId w:val="0"/>
    <w:lvlOverride w:ilvl="0">
      <w:lvl w:ilvl="0">
        <w:numFmt w:val="bullet"/>
        <w:lvlText w:val=""/>
        <w:legacy w:legacy="1" w:legacySpace="0" w:legacyIndent="360"/>
        <w:lvlJc w:val="left"/>
        <w:pPr>
          <w:ind w:left="720" w:hanging="360"/>
        </w:pPr>
        <w:rPr>
          <w:rFonts w:ascii="Symbol" w:hAnsi="Symbol" w:hint="default"/>
        </w:rPr>
      </w:lvl>
    </w:lvlOverride>
  </w:num>
  <w:num w:numId="17" w16cid:durableId="845287612">
    <w:abstractNumId w:val="10"/>
  </w:num>
  <w:num w:numId="18" w16cid:durableId="224604513">
    <w:abstractNumId w:val="0"/>
    <w:lvlOverride w:ilvl="0">
      <w:lvl w:ilvl="0">
        <w:numFmt w:val="bullet"/>
        <w:lvlText w:val=""/>
        <w:legacy w:legacy="1" w:legacySpace="0" w:legacyIndent="360"/>
        <w:lvlJc w:val="left"/>
        <w:pPr>
          <w:ind w:left="720" w:hanging="360"/>
        </w:pPr>
        <w:rPr>
          <w:rFonts w:ascii="Symbol" w:hAnsi="Symbol" w:hint="default"/>
        </w:rPr>
      </w:lvl>
    </w:lvlOverride>
  </w:num>
  <w:num w:numId="19" w16cid:durableId="342827674">
    <w:abstractNumId w:val="12"/>
  </w:num>
  <w:num w:numId="20" w16cid:durableId="1063793803">
    <w:abstractNumId w:val="17"/>
  </w:num>
  <w:num w:numId="21" w16cid:durableId="2073963327">
    <w:abstractNumId w:val="3"/>
  </w:num>
  <w:num w:numId="22" w16cid:durableId="3632377">
    <w:abstractNumId w:val="7"/>
  </w:num>
  <w:num w:numId="23" w16cid:durableId="502860499">
    <w:abstractNumId w:val="15"/>
  </w:num>
  <w:num w:numId="24" w16cid:durableId="1711875197">
    <w:abstractNumId w:val="8"/>
  </w:num>
  <w:num w:numId="25" w16cid:durableId="40711323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applyBreakingRules/>
    <w:useWord2002TableStyleRules/>
    <w:growAutofi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DB185F"/>
    <w:rsid w:val="00001C3B"/>
    <w:rsid w:val="00013545"/>
    <w:rsid w:val="00022345"/>
    <w:rsid w:val="00026363"/>
    <w:rsid w:val="00037741"/>
    <w:rsid w:val="00043549"/>
    <w:rsid w:val="00046A16"/>
    <w:rsid w:val="00047074"/>
    <w:rsid w:val="00076A0B"/>
    <w:rsid w:val="000854DF"/>
    <w:rsid w:val="000A6D49"/>
    <w:rsid w:val="000E3682"/>
    <w:rsid w:val="000E3751"/>
    <w:rsid w:val="0010199D"/>
    <w:rsid w:val="001070F2"/>
    <w:rsid w:val="00111283"/>
    <w:rsid w:val="0011161A"/>
    <w:rsid w:val="00116CE6"/>
    <w:rsid w:val="00120B55"/>
    <w:rsid w:val="00147528"/>
    <w:rsid w:val="00165047"/>
    <w:rsid w:val="00170D39"/>
    <w:rsid w:val="00172497"/>
    <w:rsid w:val="001C0B52"/>
    <w:rsid w:val="001C4B2D"/>
    <w:rsid w:val="001E0E06"/>
    <w:rsid w:val="001F4CE1"/>
    <w:rsid w:val="002132DC"/>
    <w:rsid w:val="00216211"/>
    <w:rsid w:val="00224B95"/>
    <w:rsid w:val="00230F35"/>
    <w:rsid w:val="0025530E"/>
    <w:rsid w:val="002715FA"/>
    <w:rsid w:val="00273C20"/>
    <w:rsid w:val="00276002"/>
    <w:rsid w:val="00277421"/>
    <w:rsid w:val="00290589"/>
    <w:rsid w:val="00290783"/>
    <w:rsid w:val="00294A7A"/>
    <w:rsid w:val="002A4954"/>
    <w:rsid w:val="002D2A04"/>
    <w:rsid w:val="002E2BA0"/>
    <w:rsid w:val="002E67CE"/>
    <w:rsid w:val="002F1475"/>
    <w:rsid w:val="002F467C"/>
    <w:rsid w:val="00305185"/>
    <w:rsid w:val="00307B22"/>
    <w:rsid w:val="00326631"/>
    <w:rsid w:val="00337A70"/>
    <w:rsid w:val="00341D2F"/>
    <w:rsid w:val="00351F4B"/>
    <w:rsid w:val="00380447"/>
    <w:rsid w:val="0038342D"/>
    <w:rsid w:val="003C3F4F"/>
    <w:rsid w:val="003C7F6F"/>
    <w:rsid w:val="003D6255"/>
    <w:rsid w:val="003E0690"/>
    <w:rsid w:val="003E08F3"/>
    <w:rsid w:val="003F0AD2"/>
    <w:rsid w:val="003F737B"/>
    <w:rsid w:val="00402DB0"/>
    <w:rsid w:val="0040732D"/>
    <w:rsid w:val="00407524"/>
    <w:rsid w:val="004106A4"/>
    <w:rsid w:val="00413AE9"/>
    <w:rsid w:val="004250DD"/>
    <w:rsid w:val="0043758C"/>
    <w:rsid w:val="0044129B"/>
    <w:rsid w:val="00447497"/>
    <w:rsid w:val="00460A5C"/>
    <w:rsid w:val="004627BA"/>
    <w:rsid w:val="004724D6"/>
    <w:rsid w:val="00475C78"/>
    <w:rsid w:val="0049434C"/>
    <w:rsid w:val="004A024B"/>
    <w:rsid w:val="004B73BA"/>
    <w:rsid w:val="004C79CE"/>
    <w:rsid w:val="004F2B31"/>
    <w:rsid w:val="00521E0F"/>
    <w:rsid w:val="00531109"/>
    <w:rsid w:val="00537B4C"/>
    <w:rsid w:val="0054127F"/>
    <w:rsid w:val="005429EF"/>
    <w:rsid w:val="005627D4"/>
    <w:rsid w:val="0058726A"/>
    <w:rsid w:val="00590B5A"/>
    <w:rsid w:val="00590E9A"/>
    <w:rsid w:val="005942E9"/>
    <w:rsid w:val="005979EE"/>
    <w:rsid w:val="005C6560"/>
    <w:rsid w:val="005F67B9"/>
    <w:rsid w:val="00610318"/>
    <w:rsid w:val="00632937"/>
    <w:rsid w:val="0065654E"/>
    <w:rsid w:val="00662A40"/>
    <w:rsid w:val="006805EC"/>
    <w:rsid w:val="00691819"/>
    <w:rsid w:val="00693C4D"/>
    <w:rsid w:val="006A205D"/>
    <w:rsid w:val="006A65E9"/>
    <w:rsid w:val="006C0A3A"/>
    <w:rsid w:val="006C5E96"/>
    <w:rsid w:val="006E4F24"/>
    <w:rsid w:val="006E7469"/>
    <w:rsid w:val="00751BE2"/>
    <w:rsid w:val="00765417"/>
    <w:rsid w:val="00770733"/>
    <w:rsid w:val="00773D0E"/>
    <w:rsid w:val="00790E2F"/>
    <w:rsid w:val="007B721A"/>
    <w:rsid w:val="007C098A"/>
    <w:rsid w:val="007C6F33"/>
    <w:rsid w:val="007D7120"/>
    <w:rsid w:val="007D7715"/>
    <w:rsid w:val="00823895"/>
    <w:rsid w:val="0083442E"/>
    <w:rsid w:val="00840B95"/>
    <w:rsid w:val="0084272E"/>
    <w:rsid w:val="00843DE9"/>
    <w:rsid w:val="00860711"/>
    <w:rsid w:val="0089447F"/>
    <w:rsid w:val="008A4DCC"/>
    <w:rsid w:val="008B3A97"/>
    <w:rsid w:val="008D03F0"/>
    <w:rsid w:val="008D674F"/>
    <w:rsid w:val="008E525C"/>
    <w:rsid w:val="00901157"/>
    <w:rsid w:val="00914769"/>
    <w:rsid w:val="00917C4D"/>
    <w:rsid w:val="00973B44"/>
    <w:rsid w:val="009801D3"/>
    <w:rsid w:val="009A3D0A"/>
    <w:rsid w:val="009B2D10"/>
    <w:rsid w:val="009C01A3"/>
    <w:rsid w:val="009C1A08"/>
    <w:rsid w:val="009C396A"/>
    <w:rsid w:val="009F2623"/>
    <w:rsid w:val="00A02C62"/>
    <w:rsid w:val="00A06B94"/>
    <w:rsid w:val="00A2073F"/>
    <w:rsid w:val="00A23B4E"/>
    <w:rsid w:val="00A303FE"/>
    <w:rsid w:val="00A41032"/>
    <w:rsid w:val="00A41AF9"/>
    <w:rsid w:val="00A507E4"/>
    <w:rsid w:val="00A62E68"/>
    <w:rsid w:val="00A745B6"/>
    <w:rsid w:val="00A87133"/>
    <w:rsid w:val="00A9226E"/>
    <w:rsid w:val="00A972E4"/>
    <w:rsid w:val="00A9744A"/>
    <w:rsid w:val="00AA1B91"/>
    <w:rsid w:val="00AB1E17"/>
    <w:rsid w:val="00AC36E3"/>
    <w:rsid w:val="00AC6213"/>
    <w:rsid w:val="00AD5D5A"/>
    <w:rsid w:val="00AE3217"/>
    <w:rsid w:val="00B11E29"/>
    <w:rsid w:val="00B33FBC"/>
    <w:rsid w:val="00B34964"/>
    <w:rsid w:val="00B36F4A"/>
    <w:rsid w:val="00B42501"/>
    <w:rsid w:val="00B45FEF"/>
    <w:rsid w:val="00B462B1"/>
    <w:rsid w:val="00B56E7B"/>
    <w:rsid w:val="00B62DBA"/>
    <w:rsid w:val="00B72F46"/>
    <w:rsid w:val="00B81E5D"/>
    <w:rsid w:val="00B96983"/>
    <w:rsid w:val="00B9724B"/>
    <w:rsid w:val="00BC17F1"/>
    <w:rsid w:val="00BE7B7A"/>
    <w:rsid w:val="00BF22DC"/>
    <w:rsid w:val="00BF3D29"/>
    <w:rsid w:val="00BF6291"/>
    <w:rsid w:val="00C129C7"/>
    <w:rsid w:val="00C22A88"/>
    <w:rsid w:val="00C65E7F"/>
    <w:rsid w:val="00C93CD4"/>
    <w:rsid w:val="00CB5E37"/>
    <w:rsid w:val="00CC52A3"/>
    <w:rsid w:val="00CE3B79"/>
    <w:rsid w:val="00D0754F"/>
    <w:rsid w:val="00D328AB"/>
    <w:rsid w:val="00D429CC"/>
    <w:rsid w:val="00D459DC"/>
    <w:rsid w:val="00D56EFA"/>
    <w:rsid w:val="00D67BF8"/>
    <w:rsid w:val="00DA3217"/>
    <w:rsid w:val="00DA3E0F"/>
    <w:rsid w:val="00DB185F"/>
    <w:rsid w:val="00DB43BB"/>
    <w:rsid w:val="00DD363B"/>
    <w:rsid w:val="00DE54B1"/>
    <w:rsid w:val="00DE5A04"/>
    <w:rsid w:val="00E251B2"/>
    <w:rsid w:val="00E3766D"/>
    <w:rsid w:val="00E502BA"/>
    <w:rsid w:val="00E57529"/>
    <w:rsid w:val="00E67719"/>
    <w:rsid w:val="00E84F5D"/>
    <w:rsid w:val="00EC7546"/>
    <w:rsid w:val="00F1661E"/>
    <w:rsid w:val="00F2453C"/>
    <w:rsid w:val="00F346BE"/>
    <w:rsid w:val="00F73533"/>
    <w:rsid w:val="00FA07E9"/>
    <w:rsid w:val="00FA2A4C"/>
    <w:rsid w:val="00FF1125"/>
    <w:rsid w:val="00FF5097"/>
  </w:rsids>
  <m:mathPr>
    <m:mathFont m:val="Cambria Math"/>
    <m:brkBin m:val="before"/>
    <m:brkBinSub m:val="--"/>
    <m:smallFrac m:val="0"/>
    <m:dispDef/>
    <m:lMargin m:val="0"/>
    <m:rMargin m:val="0"/>
    <m:defJc m:val="centerGroup"/>
    <m:wrapRight/>
    <m:intLim m:val="subSup"/>
    <m:naryLim m:val="undOvr"/>
  </m:mathPr>
  <w:themeFontLang w:val="en-C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34"/>
    <o:shapelayout v:ext="edit">
      <o:idmap v:ext="edit" data="1"/>
    </o:shapelayout>
  </w:shapeDefaults>
  <w:decimalSymbol w:val="."/>
  <w:listSeparator w:val=","/>
  <w14:docId w14:val="0BE2CFAE"/>
  <w15:docId w15:val="{4A28516A-35EA-44E4-BC8F-65055C7112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SimSun" w:hAnsi="Times New Roman" w:cs="Times New Roman"/>
        <w:lang w:val="en-CH" w:eastAsia="en-CH"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header" w:uiPriority="99"/>
    <w:lsdException w:name="footer" w:uiPriority="99"/>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DB185F"/>
    <w:rPr>
      <w:sz w:val="24"/>
      <w:szCs w:val="24"/>
      <w:lang w:val="en-GB" w:eastAsia="zh-CN"/>
    </w:rPr>
  </w:style>
  <w:style w:type="paragraph" w:styleId="Heading1">
    <w:name w:val="heading 1"/>
    <w:basedOn w:val="Normal"/>
    <w:next w:val="Normal"/>
    <w:qFormat/>
    <w:rsid w:val="002E67CE"/>
    <w:pPr>
      <w:keepNext/>
      <w:spacing w:before="240" w:after="60"/>
      <w:outlineLvl w:val="0"/>
    </w:pPr>
    <w:rPr>
      <w:rFonts w:ascii="Arial" w:hAnsi="Arial" w:cs="Arial"/>
      <w:b/>
      <w:bCs/>
      <w:kern w:val="32"/>
      <w:sz w:val="32"/>
      <w:szCs w:val="32"/>
    </w:rPr>
  </w:style>
  <w:style w:type="paragraph" w:styleId="Heading2">
    <w:name w:val="heading 2"/>
    <w:basedOn w:val="Normal"/>
    <w:next w:val="Normal"/>
    <w:qFormat/>
    <w:rsid w:val="002E67CE"/>
    <w:pPr>
      <w:keepNext/>
      <w:spacing w:before="240" w:after="60"/>
      <w:outlineLvl w:val="1"/>
    </w:pPr>
    <w:rPr>
      <w:rFonts w:ascii="Arial" w:hAnsi="Arial" w:cs="Arial"/>
      <w:b/>
      <w:bCs/>
      <w:i/>
      <w:iCs/>
      <w:sz w:val="28"/>
      <w:szCs w:val="28"/>
    </w:rPr>
  </w:style>
  <w:style w:type="paragraph" w:styleId="Heading3">
    <w:name w:val="heading 3"/>
    <w:basedOn w:val="Normal"/>
    <w:qFormat/>
    <w:rsid w:val="00DB185F"/>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rsid w:val="00DB185F"/>
    <w:pPr>
      <w:spacing w:before="100" w:beforeAutospacing="1" w:after="100" w:afterAutospacing="1"/>
    </w:pPr>
    <w:rPr>
      <w:rFonts w:ascii="Georgia" w:hAnsi="Georgia"/>
      <w:color w:val="000000"/>
      <w:sz w:val="21"/>
      <w:szCs w:val="21"/>
    </w:rPr>
  </w:style>
  <w:style w:type="character" w:styleId="CommentReference">
    <w:name w:val="annotation reference"/>
    <w:rsid w:val="00840B95"/>
    <w:rPr>
      <w:sz w:val="16"/>
      <w:szCs w:val="16"/>
    </w:rPr>
  </w:style>
  <w:style w:type="paragraph" w:styleId="CommentText">
    <w:name w:val="annotation text"/>
    <w:basedOn w:val="Normal"/>
    <w:link w:val="CommentTextChar"/>
    <w:rsid w:val="00840B95"/>
    <w:rPr>
      <w:sz w:val="20"/>
      <w:szCs w:val="20"/>
      <w:lang w:val="x-none"/>
    </w:rPr>
  </w:style>
  <w:style w:type="character" w:customStyle="1" w:styleId="CommentTextChar">
    <w:name w:val="Comment Text Char"/>
    <w:link w:val="CommentText"/>
    <w:rsid w:val="00840B95"/>
    <w:rPr>
      <w:lang w:eastAsia="zh-CN"/>
    </w:rPr>
  </w:style>
  <w:style w:type="paragraph" w:styleId="CommentSubject">
    <w:name w:val="annotation subject"/>
    <w:basedOn w:val="CommentText"/>
    <w:next w:val="CommentText"/>
    <w:link w:val="CommentSubjectChar"/>
    <w:rsid w:val="00840B95"/>
    <w:rPr>
      <w:b/>
      <w:bCs/>
    </w:rPr>
  </w:style>
  <w:style w:type="character" w:customStyle="1" w:styleId="CommentSubjectChar">
    <w:name w:val="Comment Subject Char"/>
    <w:link w:val="CommentSubject"/>
    <w:rsid w:val="00840B95"/>
    <w:rPr>
      <w:b/>
      <w:bCs/>
      <w:lang w:eastAsia="zh-CN"/>
    </w:rPr>
  </w:style>
  <w:style w:type="paragraph" w:styleId="BalloonText">
    <w:name w:val="Balloon Text"/>
    <w:basedOn w:val="Normal"/>
    <w:link w:val="BalloonTextChar"/>
    <w:rsid w:val="00840B95"/>
    <w:rPr>
      <w:rFonts w:ascii="Tahoma" w:hAnsi="Tahoma"/>
      <w:sz w:val="16"/>
      <w:szCs w:val="16"/>
      <w:lang w:val="x-none"/>
    </w:rPr>
  </w:style>
  <w:style w:type="character" w:customStyle="1" w:styleId="BalloonTextChar">
    <w:name w:val="Balloon Text Char"/>
    <w:link w:val="BalloonText"/>
    <w:rsid w:val="00840B95"/>
    <w:rPr>
      <w:rFonts w:ascii="Tahoma" w:hAnsi="Tahoma" w:cs="Tahoma"/>
      <w:sz w:val="16"/>
      <w:szCs w:val="16"/>
      <w:lang w:eastAsia="zh-CN"/>
    </w:rPr>
  </w:style>
  <w:style w:type="paragraph" w:styleId="Header">
    <w:name w:val="header"/>
    <w:basedOn w:val="Normal"/>
    <w:link w:val="HeaderChar"/>
    <w:uiPriority w:val="99"/>
    <w:unhideWhenUsed/>
    <w:rsid w:val="008A4DCC"/>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link w:val="Header"/>
    <w:uiPriority w:val="99"/>
    <w:rsid w:val="008A4DCC"/>
    <w:rPr>
      <w:rFonts w:ascii="Trebuchet MS" w:eastAsia="Calibri" w:hAnsi="Trebuchet MS" w:cs="Tahoma"/>
      <w:sz w:val="22"/>
      <w:lang w:eastAsia="en-US"/>
    </w:rPr>
  </w:style>
  <w:style w:type="paragraph" w:styleId="Footer">
    <w:name w:val="footer"/>
    <w:basedOn w:val="Normal"/>
    <w:link w:val="FooterChar"/>
    <w:uiPriority w:val="99"/>
    <w:rsid w:val="00AD5D5A"/>
    <w:pPr>
      <w:tabs>
        <w:tab w:val="center" w:pos="4513"/>
        <w:tab w:val="right" w:pos="9026"/>
      </w:tabs>
    </w:pPr>
    <w:rPr>
      <w:lang w:val="x-none"/>
    </w:rPr>
  </w:style>
  <w:style w:type="character" w:customStyle="1" w:styleId="FooterChar">
    <w:name w:val="Footer Char"/>
    <w:link w:val="Footer"/>
    <w:uiPriority w:val="99"/>
    <w:rsid w:val="00AD5D5A"/>
    <w:rPr>
      <w:sz w:val="24"/>
      <w:szCs w:val="24"/>
      <w:lang w:eastAsia="zh-CN"/>
    </w:rPr>
  </w:style>
  <w:style w:type="table" w:styleId="TableGrid">
    <w:name w:val="Table Grid"/>
    <w:basedOn w:val="TableNormal"/>
    <w:rsid w:val="00D67BF8"/>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Title">
    <w:name w:val="Title"/>
    <w:basedOn w:val="Normal"/>
    <w:next w:val="Normal"/>
    <w:link w:val="TitleChar"/>
    <w:uiPriority w:val="10"/>
    <w:qFormat/>
    <w:rsid w:val="00037741"/>
    <w:pPr>
      <w:spacing w:after="80"/>
      <w:contextualSpacing/>
    </w:pPr>
    <w:rPr>
      <w:rFonts w:asciiTheme="majorHAnsi" w:eastAsiaTheme="majorEastAsia" w:hAnsiTheme="majorHAnsi" w:cstheme="majorBidi"/>
      <w:spacing w:val="-10"/>
      <w:kern w:val="28"/>
      <w:sz w:val="56"/>
      <w:szCs w:val="56"/>
      <w:lang w:val="" w:eastAsia="en-US"/>
    </w:rPr>
  </w:style>
  <w:style w:type="character" w:customStyle="1" w:styleId="TitleChar">
    <w:name w:val="Title Char"/>
    <w:basedOn w:val="DefaultParagraphFont"/>
    <w:link w:val="Title"/>
    <w:uiPriority w:val="10"/>
    <w:rsid w:val="00037741"/>
    <w:rPr>
      <w:rFonts w:asciiTheme="majorHAnsi" w:eastAsiaTheme="majorEastAsia" w:hAnsiTheme="majorHAnsi" w:cstheme="majorBidi"/>
      <w:spacing w:val="-10"/>
      <w:kern w:val="28"/>
      <w:sz w:val="56"/>
      <w:szCs w:val="56"/>
      <w:lang w:val="" w:eastAsia="en-US"/>
    </w:rPr>
  </w:style>
  <w:style w:type="character" w:styleId="FootnoteReference">
    <w:name w:val="footnote reference"/>
    <w:basedOn w:val="DefaultParagraphFont"/>
    <w:uiPriority w:val="99"/>
    <w:semiHidden/>
    <w:unhideWhenUsed/>
    <w:rsid w:val="00037741"/>
    <w:rPr>
      <w:vertAlign w:val="superscript"/>
    </w:rPr>
  </w:style>
  <w:style w:type="paragraph" w:styleId="FootnoteText">
    <w:name w:val="footnote text"/>
    <w:basedOn w:val="Normal"/>
    <w:link w:val="FootnoteTextChar"/>
    <w:uiPriority w:val="99"/>
    <w:semiHidden/>
    <w:unhideWhenUsed/>
    <w:rsid w:val="00037741"/>
    <w:rPr>
      <w:rFonts w:asciiTheme="minorHAnsi" w:eastAsiaTheme="minorHAnsi" w:hAnsiTheme="minorHAnsi" w:cstheme="minorBidi"/>
      <w:kern w:val="2"/>
      <w:sz w:val="20"/>
      <w:szCs w:val="20"/>
      <w:lang w:val="" w:eastAsia="en-US"/>
    </w:rPr>
  </w:style>
  <w:style w:type="character" w:customStyle="1" w:styleId="FootnoteTextChar">
    <w:name w:val="Footnote Text Char"/>
    <w:basedOn w:val="DefaultParagraphFont"/>
    <w:link w:val="FootnoteText"/>
    <w:uiPriority w:val="99"/>
    <w:semiHidden/>
    <w:rsid w:val="00037741"/>
    <w:rPr>
      <w:rFonts w:asciiTheme="minorHAnsi" w:eastAsiaTheme="minorHAnsi" w:hAnsiTheme="minorHAnsi" w:cstheme="minorBidi"/>
      <w:kern w:val="2"/>
      <w:lang w:val="" w:eastAsia="en-US"/>
    </w:rPr>
  </w:style>
  <w:style w:type="paragraph" w:styleId="Bibliography">
    <w:name w:val="Bibliography"/>
    <w:basedOn w:val="Normal"/>
    <w:next w:val="Normal"/>
    <w:uiPriority w:val="37"/>
    <w:unhideWhenUsed/>
    <w:rsid w:val="00413AE9"/>
    <w:pPr>
      <w:ind w:left="720" w:hanging="720"/>
    </w:pPr>
    <w:rPr>
      <w:rFonts w:asciiTheme="minorHAnsi" w:eastAsiaTheme="minorHAnsi" w:hAnsiTheme="minorHAnsi" w:cstheme="minorBidi"/>
      <w:kern w:val="2"/>
      <w:lang w:val="" w:eastAsia="en-US"/>
    </w:rPr>
  </w:style>
  <w:style w:type="paragraph" w:styleId="Caption">
    <w:name w:val="caption"/>
    <w:basedOn w:val="Normal"/>
    <w:next w:val="Normal"/>
    <w:unhideWhenUsed/>
    <w:qFormat/>
    <w:rsid w:val="006E7469"/>
    <w:pPr>
      <w:spacing w:after="200"/>
    </w:pPr>
    <w:rPr>
      <w:i/>
      <w:iCs/>
      <w:color w:val="0E2841"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A582F01-4593-4356-99BC-0EA21F411A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15</Pages>
  <Words>5682</Words>
  <Characters>32388</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UNIVERSITY OF WALES</vt:lpstr>
    </vt:vector>
  </TitlesOfParts>
  <Company>University of Wales Lampeter</Company>
  <LinksUpToDate>false</LinksUpToDate>
  <CharactersWithSpaces>37995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dc:title>
  <dc:creator>sa044</dc:creator>
  <cp:lastModifiedBy>francesca cabral</cp:lastModifiedBy>
  <cp:revision>3</cp:revision>
  <cp:lastPrinted>2011-03-31T12:57:00Z</cp:lastPrinted>
  <dcterms:created xsi:type="dcterms:W3CDTF">2025-05-02T13:04:00Z</dcterms:created>
  <dcterms:modified xsi:type="dcterms:W3CDTF">2025-05-02T13:13:00Z</dcterms:modified>
</cp:coreProperties>
</file>