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both"/>
        <w:rPr>
          <w:rFonts w:ascii="Times New Roman" w:hAnsi="Times New Roman" w:cs="Times New Roman"/>
          <w:b/>
          <w:sz w:val="24"/>
          <w:szCs w:val="24"/>
        </w:rPr>
      </w:pPr>
    </w:p>
    <w:p>
      <w:pPr>
        <w:spacing w:after="0" w:line="360" w:lineRule="auto"/>
        <w:jc w:val="center"/>
        <w:rPr>
          <w:rFonts w:ascii="Times New Roman" w:hAnsi="Times New Roman" w:cs="Times New Roman"/>
          <w:b/>
          <w:sz w:val="24"/>
          <w:szCs w:val="24"/>
        </w:rPr>
      </w:pPr>
    </w:p>
    <w:p>
      <w:pPr>
        <w:spacing w:after="0" w:line="360" w:lineRule="auto"/>
        <w:jc w:val="center"/>
        <w:rPr>
          <w:rFonts w:ascii="Times New Roman" w:hAnsi="Times New Roman" w:cs="Times New Roman"/>
          <w:sz w:val="36"/>
          <w:szCs w:val="24"/>
        </w:rPr>
      </w:pPr>
      <w:r>
        <w:rPr>
          <w:rFonts w:ascii="Times New Roman" w:hAnsi="Times New Roman" w:cs="Times New Roman"/>
          <w:sz w:val="36"/>
          <w:szCs w:val="24"/>
        </w:rPr>
        <w:t>Corporate Social Responsibility in the Public Sector Corporate Governance and Social Responsibility</w:t>
      </w:r>
    </w:p>
    <w:p>
      <w:pPr>
        <w:spacing w:after="0" w:line="360" w:lineRule="auto"/>
        <w:jc w:val="center"/>
        <w:rPr>
          <w:rFonts w:ascii="Times New Roman" w:hAnsi="Times New Roman" w:cs="Times New Roman"/>
          <w:sz w:val="36"/>
          <w:szCs w:val="24"/>
        </w:rPr>
      </w:pPr>
    </w:p>
    <w:p>
      <w:pPr>
        <w:spacing w:after="0" w:line="360" w:lineRule="auto"/>
        <w:jc w:val="center"/>
        <w:rPr>
          <w:rFonts w:ascii="Times New Roman" w:hAnsi="Times New Roman" w:cs="Times New Roman"/>
          <w:sz w:val="36"/>
          <w:szCs w:val="24"/>
        </w:rPr>
      </w:pPr>
    </w:p>
    <w:p>
      <w:pPr>
        <w:spacing w:after="0" w:line="360" w:lineRule="auto"/>
        <w:jc w:val="center"/>
        <w:rPr>
          <w:rFonts w:ascii="Times New Roman" w:hAnsi="Times New Roman" w:cs="Times New Roman"/>
          <w:sz w:val="36"/>
          <w:szCs w:val="24"/>
        </w:rPr>
      </w:pPr>
    </w:p>
    <w:p>
      <w:pPr>
        <w:spacing w:after="0" w:line="360" w:lineRule="auto"/>
        <w:jc w:val="center"/>
        <w:rPr>
          <w:rFonts w:ascii="Times New Roman" w:hAnsi="Times New Roman" w:cs="Times New Roman"/>
          <w:sz w:val="36"/>
          <w:szCs w:val="24"/>
        </w:rPr>
      </w:pPr>
    </w:p>
    <w:p>
      <w:pPr>
        <w:spacing w:after="0" w:line="360" w:lineRule="auto"/>
        <w:jc w:val="center"/>
        <w:rPr>
          <w:rFonts w:ascii="Times New Roman" w:hAnsi="Times New Roman" w:cs="Times New Roman"/>
          <w:sz w:val="36"/>
          <w:szCs w:val="24"/>
        </w:rPr>
      </w:pPr>
    </w:p>
    <w:p>
      <w:pPr>
        <w:spacing w:after="0" w:line="360" w:lineRule="auto"/>
        <w:jc w:val="center"/>
        <w:rPr>
          <w:rFonts w:ascii="Times New Roman" w:hAnsi="Times New Roman" w:cs="Times New Roman"/>
          <w:sz w:val="36"/>
          <w:szCs w:val="24"/>
        </w:rPr>
      </w:pPr>
    </w:p>
    <w:p>
      <w:pPr>
        <w:spacing w:after="0" w:line="360" w:lineRule="auto"/>
        <w:jc w:val="center"/>
        <w:rPr>
          <w:rFonts w:hint="default" w:ascii="Times New Roman" w:hAnsi="Times New Roman" w:eastAsia="宋体" w:cs="Times New Roman"/>
          <w:b/>
          <w:bCs/>
          <w:sz w:val="32"/>
          <w:szCs w:val="32"/>
          <w:lang w:val="en-US" w:eastAsia="zh-CN"/>
        </w:rPr>
      </w:pPr>
      <w:r>
        <w:rPr>
          <w:rFonts w:hint="eastAsia" w:ascii="Times New Roman" w:hAnsi="Times New Roman" w:eastAsia="宋体" w:cs="Times New Roman"/>
          <w:b/>
          <w:bCs/>
          <w:sz w:val="32"/>
          <w:szCs w:val="32"/>
          <w:lang w:val="en-US" w:eastAsia="zh-CN"/>
        </w:rPr>
        <w:t>May 2020</w:t>
      </w:r>
    </w:p>
    <w:p>
      <w:pPr>
        <w:spacing w:after="0" w:line="360" w:lineRule="auto"/>
        <w:jc w:val="center"/>
        <w:rPr>
          <w:rFonts w:hint="eastAsia" w:ascii="Times New Roman" w:hAnsi="Times New Roman" w:eastAsia="宋体" w:cs="Times New Roman"/>
          <w:sz w:val="24"/>
          <w:szCs w:val="24"/>
          <w:lang w:val="en-US" w:eastAsia="zh-CN"/>
        </w:rPr>
      </w:pPr>
    </w:p>
    <w:p>
      <w:pPr>
        <w:spacing w:after="0" w:line="360" w:lineRule="auto"/>
        <w:jc w:val="center"/>
        <w:rPr>
          <w:rFonts w:hint="eastAsia" w:ascii="Times New Roman" w:hAnsi="Times New Roman" w:eastAsia="宋体" w:cs="Times New Roman"/>
          <w:sz w:val="24"/>
          <w:szCs w:val="24"/>
          <w:lang w:val="en-US" w:eastAsia="zh-CN"/>
        </w:rPr>
      </w:pPr>
    </w:p>
    <w:p>
      <w:pPr>
        <w:spacing w:after="0" w:line="360" w:lineRule="auto"/>
        <w:jc w:val="center"/>
        <w:rPr>
          <w:rFonts w:hint="eastAsia" w:ascii="Times New Roman" w:hAnsi="Times New Roman" w:eastAsia="宋体" w:cs="Times New Roman"/>
          <w:sz w:val="24"/>
          <w:szCs w:val="24"/>
          <w:lang w:val="en-US" w:eastAsia="zh-CN"/>
        </w:rPr>
      </w:pPr>
    </w:p>
    <w:p>
      <w:pPr>
        <w:spacing w:after="0" w:line="360" w:lineRule="auto"/>
        <w:jc w:val="center"/>
        <w:rPr>
          <w:rFonts w:hint="eastAsia" w:ascii="Times New Roman" w:hAnsi="Times New Roman" w:eastAsia="宋体" w:cs="Times New Roman"/>
          <w:sz w:val="24"/>
          <w:szCs w:val="24"/>
          <w:lang w:val="en-US" w:eastAsia="zh-CN"/>
        </w:rPr>
      </w:pPr>
    </w:p>
    <w:p>
      <w:pPr>
        <w:spacing w:after="0" w:line="360" w:lineRule="auto"/>
        <w:jc w:val="center"/>
        <w:rPr>
          <w:rFonts w:hint="eastAsia" w:ascii="Times New Roman" w:hAnsi="Times New Roman" w:eastAsia="宋体" w:cs="Times New Roman"/>
          <w:sz w:val="24"/>
          <w:szCs w:val="24"/>
          <w:lang w:val="en-US" w:eastAsia="zh-CN"/>
        </w:rPr>
      </w:pPr>
    </w:p>
    <w:p>
      <w:pPr>
        <w:spacing w:after="0" w:line="360" w:lineRule="auto"/>
        <w:jc w:val="center"/>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Module Name：</w:t>
      </w:r>
      <w:r>
        <w:rPr>
          <w:rFonts w:ascii="Times New Roman" w:hAnsi="Times New Roman" w:cs="Times New Roman"/>
          <w:b/>
          <w:bCs/>
          <w:sz w:val="24"/>
          <w:szCs w:val="24"/>
        </w:rPr>
        <w:t xml:space="preserve">Corporate Social Responsibility in the Public Sector </w:t>
      </w:r>
    </w:p>
    <w:p>
      <w:pPr>
        <w:spacing w:after="0" w:line="360" w:lineRule="auto"/>
        <w:jc w:val="center"/>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Module Code：BMPS6004</w:t>
      </w:r>
    </w:p>
    <w:p>
      <w:pPr>
        <w:spacing w:after="0" w:line="360" w:lineRule="auto"/>
        <w:jc w:val="center"/>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Student name:Yanan Zheng</w:t>
      </w:r>
    </w:p>
    <w:p>
      <w:pPr>
        <w:spacing w:after="0" w:line="360" w:lineRule="auto"/>
        <w:jc w:val="center"/>
        <w:rPr>
          <w:rFonts w:ascii="Times New Roman" w:hAnsi="Times New Roman" w:cs="Times New Roman"/>
          <w:sz w:val="28"/>
          <w:szCs w:val="24"/>
        </w:rPr>
      </w:pPr>
      <w:r>
        <w:rPr>
          <w:rFonts w:hint="eastAsia" w:ascii="Times New Roman" w:hAnsi="Times New Roman" w:eastAsia="宋体" w:cs="Times New Roman"/>
          <w:b/>
          <w:bCs/>
          <w:sz w:val="24"/>
          <w:szCs w:val="24"/>
          <w:lang w:val="en-US" w:eastAsia="zh-CN"/>
        </w:rPr>
        <w:t>Student ID:1900319</w:t>
      </w:r>
      <w:r>
        <w:rPr>
          <w:rFonts w:ascii="Times New Roman" w:hAnsi="Times New Roman" w:cs="Times New Roman"/>
          <w:sz w:val="28"/>
          <w:szCs w:val="24"/>
        </w:rPr>
        <w:br w:type="page"/>
      </w:r>
    </w:p>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Table of Cont</w:t>
      </w:r>
      <w:bookmarkStart w:id="11" w:name="_GoBack"/>
      <w:bookmarkEnd w:id="11"/>
      <w:r>
        <w:rPr>
          <w:rFonts w:ascii="Times New Roman" w:hAnsi="Times New Roman" w:cs="Times New Roman"/>
          <w:b/>
          <w:sz w:val="24"/>
          <w:szCs w:val="24"/>
        </w:rPr>
        <w:t>ents</w:t>
      </w:r>
    </w:p>
    <w:p>
      <w:pPr>
        <w:pStyle w:val="6"/>
        <w:tabs>
          <w:tab w:val="right" w:leader="dot" w:pos="9026"/>
        </w:tabs>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r>
        <w:rPr>
          <w:rFonts w:ascii="Times New Roman" w:hAnsi="Times New Roman" w:cs="Times New Roman"/>
          <w:szCs w:val="24"/>
        </w:rPr>
        <w:fldChar w:fldCharType="begin"/>
      </w:r>
      <w:r>
        <w:rPr>
          <w:rFonts w:ascii="Times New Roman" w:hAnsi="Times New Roman" w:cs="Times New Roman"/>
          <w:szCs w:val="24"/>
        </w:rPr>
        <w:instrText xml:space="preserve"> HYPERLINK \l _Toc23730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1.0 </w:t>
      </w:r>
      <w:r>
        <w:rPr>
          <w:rFonts w:ascii="Times New Roman" w:hAnsi="Times New Roman" w:cs="Times New Roman"/>
          <w:szCs w:val="24"/>
        </w:rPr>
        <w:t>Introduction</w:t>
      </w:r>
      <w:r>
        <w:tab/>
      </w:r>
      <w:r>
        <w:fldChar w:fldCharType="begin"/>
      </w:r>
      <w:r>
        <w:instrText xml:space="preserve"> PAGEREF _Toc23730 </w:instrText>
      </w:r>
      <w:r>
        <w:fldChar w:fldCharType="separate"/>
      </w:r>
      <w:r>
        <w:t>3</w:t>
      </w:r>
      <w:r>
        <w:fldChar w:fldCharType="end"/>
      </w:r>
      <w:r>
        <w:rPr>
          <w:rFonts w:ascii="Times New Roman" w:hAnsi="Times New Roman" w:cs="Times New Roman"/>
          <w:szCs w:val="24"/>
        </w:rPr>
        <w:fldChar w:fldCharType="end"/>
      </w:r>
    </w:p>
    <w:p>
      <w:pPr>
        <w:pStyle w:val="6"/>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_Toc10049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2.0 </w:t>
      </w:r>
      <w:r>
        <w:rPr>
          <w:rFonts w:ascii="Times New Roman" w:hAnsi="Times New Roman" w:cs="Times New Roman"/>
          <w:szCs w:val="24"/>
        </w:rPr>
        <w:t>Importance of Public Sector Involvement in Clean Water and Sanitation</w:t>
      </w:r>
      <w:r>
        <w:tab/>
      </w:r>
      <w:r>
        <w:fldChar w:fldCharType="begin"/>
      </w:r>
      <w:r>
        <w:instrText xml:space="preserve"> PAGEREF _Toc10049 </w:instrText>
      </w:r>
      <w:r>
        <w:fldChar w:fldCharType="separate"/>
      </w:r>
      <w:r>
        <w:t>3</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_Toc3296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2.1</w:t>
      </w:r>
      <w:r>
        <w:rPr>
          <w:rFonts w:ascii="Times New Roman" w:hAnsi="Times New Roman" w:cs="Times New Roman"/>
          <w:szCs w:val="24"/>
        </w:rPr>
        <w:t>The Initiative</w:t>
      </w:r>
      <w:r>
        <w:tab/>
      </w:r>
      <w:r>
        <w:fldChar w:fldCharType="begin"/>
      </w:r>
      <w:r>
        <w:instrText xml:space="preserve"> PAGEREF _Toc3296 </w:instrText>
      </w:r>
      <w:r>
        <w:fldChar w:fldCharType="separate"/>
      </w:r>
      <w:r>
        <w:t>3</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_Toc2001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2.2 </w:t>
      </w:r>
      <w:r>
        <w:rPr>
          <w:rFonts w:ascii="Times New Roman" w:hAnsi="Times New Roman" w:cs="Times New Roman"/>
          <w:szCs w:val="24"/>
        </w:rPr>
        <w:t>Involvement of Members, Partners and Donors</w:t>
      </w:r>
      <w:r>
        <w:tab/>
      </w:r>
      <w:r>
        <w:fldChar w:fldCharType="begin"/>
      </w:r>
      <w:r>
        <w:instrText xml:space="preserve"> PAGEREF _Toc2001 </w:instrText>
      </w:r>
      <w:r>
        <w:fldChar w:fldCharType="separate"/>
      </w:r>
      <w:r>
        <w:t>4</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_Toc24707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2.3 </w:t>
      </w:r>
      <w:r>
        <w:rPr>
          <w:rFonts w:ascii="Times New Roman" w:hAnsi="Times New Roman" w:cs="Times New Roman"/>
          <w:szCs w:val="24"/>
        </w:rPr>
        <w:t>The Role of Public Sector Organisations</w:t>
      </w:r>
      <w:r>
        <w:tab/>
      </w:r>
      <w:r>
        <w:fldChar w:fldCharType="begin"/>
      </w:r>
      <w:r>
        <w:instrText xml:space="preserve"> PAGEREF _Toc24707 </w:instrText>
      </w:r>
      <w:r>
        <w:fldChar w:fldCharType="separate"/>
      </w:r>
      <w:r>
        <w:t>4</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_Toc21262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2.4 </w:t>
      </w:r>
      <w:r>
        <w:rPr>
          <w:rFonts w:ascii="Times New Roman" w:hAnsi="Times New Roman" w:cs="Times New Roman"/>
          <w:szCs w:val="24"/>
        </w:rPr>
        <w:t>Purpose of the Initiative</w:t>
      </w:r>
      <w:r>
        <w:tab/>
      </w:r>
      <w:r>
        <w:fldChar w:fldCharType="begin"/>
      </w:r>
      <w:r>
        <w:instrText xml:space="preserve"> PAGEREF _Toc21262 </w:instrText>
      </w:r>
      <w:r>
        <w:fldChar w:fldCharType="separate"/>
      </w:r>
      <w:r>
        <w:t>5</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_Toc14840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2.5 </w:t>
      </w:r>
      <w:r>
        <w:rPr>
          <w:rFonts w:ascii="Times New Roman" w:hAnsi="Times New Roman" w:cs="Times New Roman"/>
          <w:szCs w:val="24"/>
        </w:rPr>
        <w:t>Effectiveness of the Initiative</w:t>
      </w:r>
      <w:r>
        <w:tab/>
      </w:r>
      <w:r>
        <w:fldChar w:fldCharType="begin"/>
      </w:r>
      <w:r>
        <w:instrText xml:space="preserve"> PAGEREF _Toc14840 </w:instrText>
      </w:r>
      <w:r>
        <w:fldChar w:fldCharType="separate"/>
      </w:r>
      <w:r>
        <w:t>6</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_Toc27727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2.6 </w:t>
      </w:r>
      <w:r>
        <w:rPr>
          <w:rFonts w:ascii="Times New Roman" w:hAnsi="Times New Roman" w:cs="Times New Roman"/>
          <w:szCs w:val="24"/>
        </w:rPr>
        <w:t>Transparency in the Reporting of the Initiative’s Progress</w:t>
      </w:r>
      <w:r>
        <w:tab/>
      </w:r>
      <w:r>
        <w:fldChar w:fldCharType="begin"/>
      </w:r>
      <w:r>
        <w:instrText xml:space="preserve"> PAGEREF _Toc27727 </w:instrText>
      </w:r>
      <w:r>
        <w:fldChar w:fldCharType="separate"/>
      </w:r>
      <w:r>
        <w:t>6</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_Toc30713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2.7</w:t>
      </w:r>
      <w:r>
        <w:rPr>
          <w:rFonts w:ascii="Times New Roman" w:hAnsi="Times New Roman" w:cs="Times New Roman"/>
          <w:szCs w:val="24"/>
        </w:rPr>
        <w:t>Collaborative Working of the Public Sector Organisations to Address Global Development</w:t>
      </w:r>
      <w:r>
        <w:tab/>
      </w:r>
      <w:r>
        <w:fldChar w:fldCharType="begin"/>
      </w:r>
      <w:r>
        <w:instrText xml:space="preserve"> PAGEREF _Toc30713 </w:instrText>
      </w:r>
      <w:r>
        <w:fldChar w:fldCharType="separate"/>
      </w:r>
      <w:r>
        <w:t>7</w:t>
      </w:r>
      <w:r>
        <w:fldChar w:fldCharType="end"/>
      </w:r>
      <w:r>
        <w:rPr>
          <w:rFonts w:ascii="Times New Roman" w:hAnsi="Times New Roman" w:cs="Times New Roman"/>
          <w:szCs w:val="24"/>
        </w:rPr>
        <w:fldChar w:fldCharType="end"/>
      </w:r>
    </w:p>
    <w:p>
      <w:pPr>
        <w:pStyle w:val="6"/>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_Toc9498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3.0 </w:t>
      </w:r>
      <w:r>
        <w:rPr>
          <w:rFonts w:ascii="Times New Roman" w:hAnsi="Times New Roman" w:cs="Times New Roman"/>
          <w:szCs w:val="24"/>
        </w:rPr>
        <w:t>Conclusion</w:t>
      </w:r>
      <w:r>
        <w:tab/>
      </w:r>
      <w:r>
        <w:fldChar w:fldCharType="begin"/>
      </w:r>
      <w:r>
        <w:instrText xml:space="preserve"> PAGEREF _Toc9498 </w:instrText>
      </w:r>
      <w:r>
        <w:fldChar w:fldCharType="separate"/>
      </w:r>
      <w:r>
        <w:t>7</w:t>
      </w:r>
      <w:r>
        <w:fldChar w:fldCharType="end"/>
      </w:r>
      <w:r>
        <w:rPr>
          <w:rFonts w:ascii="Times New Roman" w:hAnsi="Times New Roman" w:cs="Times New Roman"/>
          <w:szCs w:val="24"/>
        </w:rPr>
        <w:fldChar w:fldCharType="end"/>
      </w:r>
    </w:p>
    <w:p>
      <w:pPr>
        <w:pStyle w:val="6"/>
        <w:tabs>
          <w:tab w:val="right" w:leader="dot" w:pos="9026"/>
        </w:tabs>
      </w:pPr>
      <w:r>
        <w:rPr>
          <w:rFonts w:ascii="Times New Roman" w:hAnsi="Times New Roman" w:cs="Times New Roman"/>
          <w:szCs w:val="24"/>
        </w:rPr>
        <w:fldChar w:fldCharType="begin"/>
      </w:r>
      <w:r>
        <w:rPr>
          <w:rFonts w:ascii="Times New Roman" w:hAnsi="Times New Roman" w:cs="Times New Roman"/>
          <w:szCs w:val="24"/>
        </w:rPr>
        <w:instrText xml:space="preserve"> HYPERLINK \l _Toc17609 </w:instrText>
      </w:r>
      <w:r>
        <w:rPr>
          <w:rFonts w:ascii="Times New Roman" w:hAnsi="Times New Roman" w:cs="Times New Roman"/>
          <w:szCs w:val="24"/>
        </w:rPr>
        <w:fldChar w:fldCharType="separate"/>
      </w:r>
      <w:r>
        <w:rPr>
          <w:rFonts w:hint="eastAsia" w:ascii="Times New Roman" w:hAnsi="Times New Roman" w:cs="Times New Roman"/>
          <w:szCs w:val="24"/>
          <w:lang w:val="en-US" w:eastAsia="zh-CN"/>
        </w:rPr>
        <w:t xml:space="preserve">4.0 </w:t>
      </w:r>
      <w:r>
        <w:rPr>
          <w:rFonts w:ascii="Times New Roman" w:hAnsi="Times New Roman" w:cs="Times New Roman"/>
          <w:szCs w:val="24"/>
        </w:rPr>
        <w:t>References</w:t>
      </w:r>
      <w:r>
        <w:tab/>
      </w:r>
      <w:r>
        <w:fldChar w:fldCharType="begin"/>
      </w:r>
      <w:r>
        <w:instrText xml:space="preserve"> PAGEREF _Toc17609 </w:instrText>
      </w:r>
      <w:r>
        <w:fldChar w:fldCharType="separate"/>
      </w:r>
      <w:r>
        <w:t>9</w:t>
      </w:r>
      <w:r>
        <w:fldChar w:fldCharType="end"/>
      </w:r>
      <w:r>
        <w:rPr>
          <w:rFonts w:ascii="Times New Roman" w:hAnsi="Times New Roman" w:cs="Times New Roman"/>
          <w:szCs w:val="24"/>
        </w:rPr>
        <w:fldChar w:fldCharType="end"/>
      </w:r>
    </w:p>
    <w:p>
      <w:pPr>
        <w:spacing w:after="0" w:line="360" w:lineRule="auto"/>
        <w:jc w:val="both"/>
        <w:rPr>
          <w:rFonts w:ascii="Times New Roman" w:hAnsi="Times New Roman" w:cs="Times New Roman" w:eastAsiaTheme="majorEastAsia"/>
          <w:b/>
          <w:bCs/>
          <w:color w:val="366091" w:themeColor="accent1" w:themeShade="BF"/>
          <w:sz w:val="24"/>
          <w:szCs w:val="24"/>
        </w:rPr>
      </w:pPr>
      <w:r>
        <w:rPr>
          <w:rFonts w:ascii="Times New Roman" w:hAnsi="Times New Roman" w:cs="Times New Roman"/>
          <w:szCs w:val="24"/>
        </w:rPr>
        <w:fldChar w:fldCharType="end"/>
      </w:r>
      <w:r>
        <w:rPr>
          <w:rFonts w:ascii="Times New Roman" w:hAnsi="Times New Roman" w:cs="Times New Roman"/>
          <w:b/>
          <w:sz w:val="24"/>
          <w:szCs w:val="24"/>
        </w:rPr>
        <w:br w:type="page"/>
      </w:r>
    </w:p>
    <w:p>
      <w:pPr>
        <w:pStyle w:val="2"/>
        <w:spacing w:before="0" w:line="360" w:lineRule="auto"/>
        <w:jc w:val="both"/>
        <w:rPr>
          <w:rFonts w:ascii="Times New Roman" w:hAnsi="Times New Roman" w:cs="Times New Roman"/>
          <w:sz w:val="24"/>
          <w:szCs w:val="24"/>
        </w:rPr>
      </w:pPr>
      <w:bookmarkStart w:id="0" w:name="_Toc23730"/>
      <w:r>
        <w:rPr>
          <w:rFonts w:hint="eastAsia" w:ascii="Times New Roman" w:hAnsi="Times New Roman" w:cs="Times New Roman"/>
          <w:sz w:val="24"/>
          <w:szCs w:val="24"/>
          <w:lang w:val="en-US" w:eastAsia="zh-CN"/>
        </w:rPr>
        <w:t xml:space="preserve">1.0 </w:t>
      </w:r>
      <w:r>
        <w:rPr>
          <w:rFonts w:ascii="Times New Roman" w:hAnsi="Times New Roman" w:cs="Times New Roman"/>
          <w:sz w:val="24"/>
          <w:szCs w:val="24"/>
        </w:rPr>
        <w:t>Introduction</w:t>
      </w:r>
      <w:bookmarkEnd w:id="0"/>
      <w:r>
        <w:rPr>
          <w:rFonts w:ascii="Times New Roman" w:hAnsi="Times New Roman" w:cs="Times New Roman"/>
          <w:sz w:val="24"/>
          <w:szCs w:val="24"/>
        </w:rPr>
        <w:t xml:space="preserve">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17 United Nations Sustainable Development goals (SDGs) have become greatly important for the organisations in different sectors to work in the corporate social responsibility initiatives. The involvement of the public sector organisations in the accomplishment of the goals of these 17 initiatives is highly necessary, as they provide regulatory guidance, financial support, as well as contribute in the strategy development and decision making. The public sector organisations hold huge potential to contribute in a variety of ways to the CSR initiatives (Walker, Pekmezovic and Walker, 2019). In this context, the report aims to the evaluate the importance of the involvement of the public sector in the SDG 6 namely clean water and sanitation, specifically the target 6.4 which addresses the improvement in the efficiency of water usage across different sectors. The report will focus on the initiative, the involvement of different organisations, role of public sector, as well as the effectiveness of the initiative and working of public sector organisations together for the global development.     </w:t>
      </w:r>
    </w:p>
    <w:p>
      <w:pPr>
        <w:pStyle w:val="2"/>
        <w:spacing w:before="0" w:line="360" w:lineRule="auto"/>
        <w:jc w:val="both"/>
        <w:rPr>
          <w:rFonts w:ascii="Times New Roman" w:hAnsi="Times New Roman" w:cs="Times New Roman"/>
          <w:sz w:val="24"/>
          <w:szCs w:val="24"/>
        </w:rPr>
      </w:pPr>
      <w:bookmarkStart w:id="1" w:name="_Toc10049"/>
      <w:r>
        <w:rPr>
          <w:rFonts w:hint="eastAsia" w:ascii="Times New Roman" w:hAnsi="Times New Roman" w:cs="Times New Roman"/>
          <w:sz w:val="24"/>
          <w:szCs w:val="24"/>
          <w:lang w:val="en-US" w:eastAsia="zh-CN"/>
        </w:rPr>
        <w:t xml:space="preserve">2.0 </w:t>
      </w:r>
      <w:r>
        <w:rPr>
          <w:rFonts w:ascii="Times New Roman" w:hAnsi="Times New Roman" w:cs="Times New Roman"/>
          <w:sz w:val="24"/>
          <w:szCs w:val="24"/>
        </w:rPr>
        <w:t>Importance of Public Sector Involvement in Clean Water and Sanitation</w:t>
      </w:r>
      <w:bookmarkEnd w:id="1"/>
    </w:p>
    <w:p>
      <w:pPr>
        <w:pStyle w:val="3"/>
        <w:spacing w:before="0" w:line="360" w:lineRule="auto"/>
        <w:jc w:val="both"/>
        <w:rPr>
          <w:rFonts w:ascii="Times New Roman" w:hAnsi="Times New Roman" w:cs="Times New Roman"/>
          <w:sz w:val="24"/>
          <w:szCs w:val="24"/>
        </w:rPr>
      </w:pPr>
      <w:bookmarkStart w:id="2" w:name="_Toc3296"/>
      <w:r>
        <w:rPr>
          <w:rFonts w:hint="eastAsia" w:ascii="Times New Roman" w:hAnsi="Times New Roman" w:cs="Times New Roman"/>
          <w:sz w:val="24"/>
          <w:szCs w:val="24"/>
          <w:lang w:val="en-US" w:eastAsia="zh-CN"/>
        </w:rPr>
        <w:t>2.1</w:t>
      </w:r>
      <w:r>
        <w:rPr>
          <w:rFonts w:ascii="Times New Roman" w:hAnsi="Times New Roman" w:cs="Times New Roman"/>
          <w:sz w:val="24"/>
          <w:szCs w:val="24"/>
        </w:rPr>
        <w:t>The Initiative</w:t>
      </w:r>
      <w:bookmarkEnd w:id="2"/>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United Nations sustainable development goal of clean water and sanitation focuses on making clean water accessible for all, as establishing adequate sanitation facilities. The main reasons behind inadequate sanitation and inaccessible clean water are the ineffective economics and poor infrastructure. In order to attain the goal of clean water and sanitation, many significant initiatives such as universal and equitable access to safe water were launched (Katko and Hukka, 2015). However, this report specifically focuses on the initiative which emphasise on a number of areas such as improving the efficiency of water usage, establishing sustainable withdrawals, and freshwater water supply so that the problem of water scarcity can be significantly addressed by 2030. There still a huge number of people who are suffering from the problem of water scarcity; this initiative is also aimed towards addressing this problem (United Nations, 2015). </w:t>
      </w:r>
    </w:p>
    <w:p>
      <w:pPr>
        <w:spacing w:after="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This initiative will be monitored using two major sustainable development global indicators. The first indicator focuses on the efficiency change in the utilisation of water with time, and the second focuses on the water stress level. The water stress refers the amount of freshwater that has been withdrawn from all the available resources of the freshwater. These two indicators will be monitored by the Food and Agriculture Organisation (FAO) of the United Nations. These indicators hold a huge significance in the goal of providing clean water and sanitation access to all the individuals in the world (UN Water, 2017).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issues such as water scarcity, poor quality of water, improper sanitation leads to a huge impact on the food security, livelihood opportunities and educational choice for the families which are unable to afford better quality of water and sanitation. These risks are not only limited to the poor people across the world, but are expected to affect more than 2 billion people across the world by 2050 (United Nations, 2015). It is estimated that by the year 2050, as many as 2 billion people will have limited access to freshwater. The selected initiative behind the goal of clean water and sanitation will also improve the hunger and malnutrition problems which are caused by water scarcity in the poor countries. In order to achieve this sustainable development goal, the involvement of public sector organisations and bodies is highly necessary (De Fraiture, Molden and Wichelns, 2010).       </w:t>
      </w:r>
    </w:p>
    <w:p>
      <w:pPr>
        <w:pStyle w:val="3"/>
        <w:spacing w:before="0" w:line="360" w:lineRule="auto"/>
        <w:jc w:val="both"/>
        <w:rPr>
          <w:rFonts w:ascii="Times New Roman" w:hAnsi="Times New Roman" w:cs="Times New Roman"/>
          <w:sz w:val="24"/>
          <w:szCs w:val="24"/>
        </w:rPr>
      </w:pPr>
      <w:bookmarkStart w:id="3" w:name="_Toc2001"/>
      <w:r>
        <w:rPr>
          <w:rFonts w:hint="eastAsia" w:ascii="Times New Roman" w:hAnsi="Times New Roman" w:cs="Times New Roman"/>
          <w:sz w:val="24"/>
          <w:szCs w:val="24"/>
          <w:lang w:val="en-US" w:eastAsia="zh-CN"/>
        </w:rPr>
        <w:t xml:space="preserve">2.2 </w:t>
      </w:r>
      <w:r>
        <w:rPr>
          <w:rFonts w:ascii="Times New Roman" w:hAnsi="Times New Roman" w:cs="Times New Roman"/>
          <w:sz w:val="24"/>
          <w:szCs w:val="24"/>
        </w:rPr>
        <w:t>Involvement of Members, Partners and Donors</w:t>
      </w:r>
      <w:bookmarkEnd w:id="3"/>
    </w:p>
    <w:p>
      <w:pPr>
        <w:spacing w:after="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sz w:val="24"/>
          <w:szCs w:val="24"/>
        </w:rPr>
        <w:t>The goal of clean water and sanitation was supported from the organisations and bodies from many different sectors. A range of members, partners and donors contributed in the target 6.4 of improving water usage, sustainable withdrawals and freshwater supply.</w:t>
      </w:r>
      <w:r>
        <w:rPr>
          <w:rFonts w:ascii="Times New Roman" w:hAnsi="Times New Roman" w:cs="Times New Roman"/>
          <w:color w:val="000000" w:themeColor="text1"/>
          <w:sz w:val="24"/>
          <w:szCs w:val="24"/>
          <w14:textFill>
            <w14:solidFill>
              <w14:schemeClr w14:val="tx1"/>
            </w14:solidFill>
          </w14:textFill>
        </w:rPr>
        <w:t xml:space="preserve"> The United Nations entities and programmes relating to water concerns were the primary members in the initiative. These entities include UN Department of Economic and Social Affairs, Convention on Biological Diversity, UN Human Rights and UNICEF amongst others. These members are making significant efforts in increasing the coherence between various efforts directed towards the improvement of water scarcity in the world (UN Water, 2014). </w:t>
      </w:r>
    </w:p>
    <w:p>
      <w:pPr>
        <w:spacing w:after="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approach towards attaining the goals of the initiative was holistic in nature as the United Nation got involved in partnership with various international organisations, civil-society group, and associations which were involved with the improvement of water related issues across the world. With the partnership with these organisations, the UN was able to establish a structured way to implement the actions and tasks towards improving water usage efficiency, and ensuring clean water and sanitation facilities (UN Water, 2017).</w:t>
      </w:r>
      <w:r>
        <w:rPr>
          <w:rFonts w:ascii="Times New Roman" w:hAnsi="Times New Roman" w:cs="Times New Roman"/>
          <w:sz w:val="24"/>
          <w:szCs w:val="24"/>
        </w:rPr>
        <w:t xml:space="preserve"> In addition to that, many different public sector organisations from various countries were also involved in the UN-Water initiative. These organisations include Swiss Agency for Development and Cooperation SDC, Swedish International Development Cooperation Agency, Germany’s Federal Ministry for Economic Cooperation and Development.</w:t>
      </w:r>
      <w:r>
        <w:rPr>
          <w:rFonts w:ascii="Times New Roman" w:hAnsi="Times New Roman" w:cs="Times New Roman"/>
          <w:color w:val="000000" w:themeColor="text1"/>
          <w:sz w:val="24"/>
          <w:szCs w:val="24"/>
          <w14:textFill>
            <w14:solidFill>
              <w14:schemeClr w14:val="tx1"/>
            </w14:solidFill>
          </w14:textFill>
        </w:rPr>
        <w:t xml:space="preserve"> The public sector organisations from the countries such as the UK, Netherlands, France, and Italy are also involved in the water initiatives of the UN (UN Water, 2014).        </w:t>
      </w:r>
    </w:p>
    <w:p>
      <w:pPr>
        <w:pStyle w:val="3"/>
        <w:spacing w:before="0" w:line="360" w:lineRule="auto"/>
        <w:jc w:val="both"/>
        <w:rPr>
          <w:rFonts w:ascii="Times New Roman" w:hAnsi="Times New Roman" w:cs="Times New Roman"/>
          <w:sz w:val="24"/>
          <w:szCs w:val="24"/>
        </w:rPr>
      </w:pPr>
      <w:bookmarkStart w:id="4" w:name="_Toc24707"/>
      <w:r>
        <w:rPr>
          <w:rFonts w:hint="eastAsia" w:ascii="Times New Roman" w:hAnsi="Times New Roman" w:cs="Times New Roman"/>
          <w:sz w:val="24"/>
          <w:szCs w:val="24"/>
          <w:lang w:val="en-US" w:eastAsia="zh-CN"/>
        </w:rPr>
        <w:t xml:space="preserve">2.3 </w:t>
      </w:r>
      <w:r>
        <w:rPr>
          <w:rFonts w:ascii="Times New Roman" w:hAnsi="Times New Roman" w:cs="Times New Roman"/>
          <w:sz w:val="24"/>
          <w:szCs w:val="24"/>
        </w:rPr>
        <w:t>The Role of Public Sector Organisations</w:t>
      </w:r>
      <w:bookmarkEnd w:id="4"/>
    </w:p>
    <w:p>
      <w:pPr>
        <w:spacing w:after="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sz w:val="24"/>
          <w:szCs w:val="24"/>
        </w:rPr>
        <w:t>The public sector organisations played a huge role in supporting the implementation of UN-Water’s various activities and functions in different parts of the world.</w:t>
      </w:r>
      <w:r>
        <w:rPr>
          <w:rFonts w:ascii="Times New Roman" w:hAnsi="Times New Roman" w:cs="Times New Roman"/>
          <w:color w:val="000000" w:themeColor="text1"/>
          <w:sz w:val="24"/>
          <w:szCs w:val="24"/>
          <w14:textFill>
            <w14:solidFill>
              <w14:schemeClr w14:val="tx1"/>
            </w14:solidFill>
          </w14:textFill>
        </w:rPr>
        <w:t xml:space="preserve"> The public sector was also the primary financial contributor in the United Nations causes directed towards improving the issue of water scarcity and sanitation in many different countries. It is important to note that the role of the above mentioned public sector organisations in the achieving the goals of the initiative was entirely voluntary. The public sector was not bounded by any regulations or guidelines of the UN to support or make financial contributions in the improving the efficiency of water usage and sanitation infrastructure (UN Water, 2018). </w:t>
      </w:r>
    </w:p>
    <w:p>
      <w:pPr>
        <w:spacing w:after="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14:textFill>
            <w14:solidFill>
              <w14:schemeClr w14:val="tx1"/>
            </w14:solidFill>
          </w14:textFill>
        </w:rPr>
        <w:t xml:space="preserve">The public sector bodies such as Department of International Cooperation of the UK, Ministry of Foreign Affairs of the Netherland, as well as that of Italy also made significant financial contribution the UN water initiatives. Though the primary role of the public sector was in the financial contribution to the initiative, the organisations and institutions belonging to the public sector also supported the UN in the implementation of its strategies and activities in many different parts of the world. In addition to that, the public sector of all the member states of the UN are obligated to make assessed contributions in the initiatives such as water efficiency improvement and sanitation facilities. The assessed contribution of the public sector is mainly collected based on the per capita income of the states to which they belong (UN Water, 2014).  </w:t>
      </w:r>
      <w:r>
        <w:rPr>
          <w:rFonts w:ascii="Times New Roman" w:hAnsi="Times New Roman" w:cs="Times New Roman"/>
          <w:sz w:val="24"/>
          <w:szCs w:val="24"/>
        </w:rPr>
        <w:t xml:space="preserve">This suggests that the role of public sector is not just limited to financials support, but also extends to the strategy development, implementation and decision making for the initiative.    </w:t>
      </w:r>
    </w:p>
    <w:p>
      <w:pPr>
        <w:pStyle w:val="3"/>
        <w:spacing w:before="0" w:line="360" w:lineRule="auto"/>
        <w:jc w:val="both"/>
        <w:rPr>
          <w:rFonts w:ascii="Times New Roman" w:hAnsi="Times New Roman" w:cs="Times New Roman"/>
          <w:sz w:val="24"/>
          <w:szCs w:val="24"/>
        </w:rPr>
      </w:pPr>
      <w:bookmarkStart w:id="5" w:name="_Toc21262"/>
      <w:r>
        <w:rPr>
          <w:rFonts w:hint="eastAsia" w:ascii="Times New Roman" w:hAnsi="Times New Roman" w:cs="Times New Roman"/>
          <w:sz w:val="24"/>
          <w:szCs w:val="24"/>
          <w:lang w:val="en-US" w:eastAsia="zh-CN"/>
        </w:rPr>
        <w:t xml:space="preserve">2.4 </w:t>
      </w:r>
      <w:r>
        <w:rPr>
          <w:rFonts w:ascii="Times New Roman" w:hAnsi="Times New Roman" w:cs="Times New Roman"/>
          <w:sz w:val="24"/>
          <w:szCs w:val="24"/>
        </w:rPr>
        <w:t>Purpose of the Initiative</w:t>
      </w:r>
      <w:bookmarkEnd w:id="5"/>
    </w:p>
    <w:p>
      <w:pPr>
        <w:spacing w:after="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The main purpose of the initiative under target 6.4 of the clean water and sanitation SDG of the United Nations is to address the issue of water scarcity, with an aim to ensure that the water is sufficiently accessible for the entire population and other economic and environmental activities. The initiative is also aimed towards improving the efficiency of water usage across different sectors of the society. As it emphasises on the accessibility of water for all the sectors, the initiative works towards fulfilling the water requirements for environment so that the health, diversity and resilience of the biodiversity and ecosystem can be maintained on the planet (UN Water, 2020).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the initiative was established considering the reasons that high level of water scarcity can negatively impact the economic development, and might also lead to the conflicts among the people. As a result of this, the initiative also extends to the cooperation of suppliers and effective management of policies, supply, and water usage efficiency for further improvements. The primary purpose of the initiative to improve the efficiency of water use was identified with the consideration that the economic growth of a country can be improved with the enhancement of water distribution networks and production processes at municipal levels in the country (SDG6 Monitoring, 2017). The improvement in the efficiency of water usage is highly important, as there are many other sectors such as agriculture, energy and industrial sector which require higher usage of water.     </w:t>
      </w:r>
    </w:p>
    <w:p>
      <w:pPr>
        <w:pStyle w:val="3"/>
        <w:spacing w:before="0" w:line="360" w:lineRule="auto"/>
        <w:jc w:val="both"/>
        <w:rPr>
          <w:rFonts w:ascii="Times New Roman" w:hAnsi="Times New Roman" w:cs="Times New Roman"/>
          <w:sz w:val="24"/>
          <w:szCs w:val="24"/>
        </w:rPr>
      </w:pPr>
      <w:bookmarkStart w:id="6" w:name="_Toc14840"/>
      <w:r>
        <w:rPr>
          <w:rFonts w:hint="eastAsia" w:ascii="Times New Roman" w:hAnsi="Times New Roman" w:cs="Times New Roman"/>
          <w:sz w:val="24"/>
          <w:szCs w:val="24"/>
          <w:lang w:val="en-US" w:eastAsia="zh-CN"/>
        </w:rPr>
        <w:t xml:space="preserve">2.5 </w:t>
      </w:r>
      <w:r>
        <w:rPr>
          <w:rFonts w:ascii="Times New Roman" w:hAnsi="Times New Roman" w:cs="Times New Roman"/>
          <w:sz w:val="24"/>
          <w:szCs w:val="24"/>
        </w:rPr>
        <w:t>Effectiveness of the Initiative</w:t>
      </w:r>
      <w:bookmarkEnd w:id="6"/>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progress towards improving the efficiency of water usage, and sanitation facilities has been significant in the year 2016. However, it has been identified that in order to achieve the purpose and target of the initiative by 2030, the annual progress rate of the initiative needs to be doubled. As the natural disaster such as droughts and floods have been increased due to the climate change, the improvement in the efficiency of water usage and its management has become more crucial for the fulfilling the increasing water demand and water security across the world. The current progress suggests that most of the countries are highly unlike to achieve the targets of initiative by 2030 (SDG6 Monitoring, 2020).</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been identified only 80 percent countries of total 172 countries have implemented medium to low integration of water resource management. This shows that there is a huge potential for the countries to work towards improving the efficiency of their water usage by integrating water resources. However, 60% of them are highly unlikely to attain the target of substantial improvement in their water usage efficiency and integration by the year 2030. Though the proportion of the effectively managed drinking water has been increased to 71% in 2015, there are millions of people who still lack basic drinking water service (Sustainable Development Knowledge Platform, 2015). This data indicates that despite the progress towards the attaining the goals of the initiative, the countries require to huge efforts to fulfil the goals by 2030.     </w:t>
      </w:r>
    </w:p>
    <w:p>
      <w:pPr>
        <w:pStyle w:val="3"/>
        <w:spacing w:before="0" w:line="360" w:lineRule="auto"/>
        <w:jc w:val="both"/>
        <w:rPr>
          <w:rFonts w:ascii="Times New Roman" w:hAnsi="Times New Roman" w:cs="Times New Roman"/>
          <w:sz w:val="24"/>
          <w:szCs w:val="24"/>
        </w:rPr>
      </w:pPr>
      <w:bookmarkStart w:id="7" w:name="_Toc27727"/>
      <w:r>
        <w:rPr>
          <w:rFonts w:hint="eastAsia" w:ascii="Times New Roman" w:hAnsi="Times New Roman" w:cs="Times New Roman"/>
          <w:sz w:val="24"/>
          <w:szCs w:val="24"/>
          <w:lang w:val="en-US" w:eastAsia="zh-CN"/>
        </w:rPr>
        <w:t xml:space="preserve">2.6 </w:t>
      </w:r>
      <w:r>
        <w:rPr>
          <w:rFonts w:ascii="Times New Roman" w:hAnsi="Times New Roman" w:cs="Times New Roman"/>
          <w:sz w:val="24"/>
          <w:szCs w:val="24"/>
        </w:rPr>
        <w:t>Transparency in the Reporting of the Initiative’s Progress</w:t>
      </w:r>
      <w:bookmarkEnd w:id="7"/>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monitoring and reporting of the success, failures, and the effectiveness of the initiative was performed in a highly transparent manner. The progress report for the clean water and sanitation, specifically the target initiative 6.4 was performed by considering the data concerning water and sanitation facilities from all the member states of the United Nations. However, it has been identified that there are some countries in which the data such as efficiency of water usage and management has been quite limited. The progress report used the data collected from the international and independent bodies such as World Bank and AQUASTAT and International Water Management Institute (UN Sustainable Development, 2018).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also been identified that many countries still lack internal monitoring and reporting processes relating to their performance concerning clean water and sanitation improvement. With the inclusion of the data from these countries, the worldwide reporting of the progress of target initiative 6.4 can be made much more transparent and relevant. The improvements in the estimation of freshwater usage and efficiency for the sectors such as environment, agriculture and the industry are also highly needed to make the reporting more inclusive (SDG6 Monitoring, 2020).    </w:t>
      </w:r>
    </w:p>
    <w:p>
      <w:pPr>
        <w:pStyle w:val="3"/>
        <w:spacing w:before="0" w:line="360" w:lineRule="auto"/>
        <w:jc w:val="both"/>
        <w:rPr>
          <w:rFonts w:ascii="Times New Roman" w:hAnsi="Times New Roman" w:cs="Times New Roman"/>
          <w:sz w:val="24"/>
          <w:szCs w:val="24"/>
        </w:rPr>
      </w:pPr>
      <w:bookmarkStart w:id="8" w:name="_Toc30713"/>
      <w:r>
        <w:rPr>
          <w:rFonts w:hint="eastAsia" w:ascii="Times New Roman" w:hAnsi="Times New Roman" w:cs="Times New Roman"/>
          <w:sz w:val="24"/>
          <w:szCs w:val="24"/>
          <w:lang w:val="en-US" w:eastAsia="zh-CN"/>
        </w:rPr>
        <w:t>2.7</w:t>
      </w:r>
      <w:r>
        <w:rPr>
          <w:rFonts w:ascii="Times New Roman" w:hAnsi="Times New Roman" w:cs="Times New Roman"/>
          <w:sz w:val="24"/>
          <w:szCs w:val="24"/>
        </w:rPr>
        <w:t>Collaborative Working of the Public Sector Organisations to Address Global Development</w:t>
      </w:r>
      <w:bookmarkEnd w:id="8"/>
    </w:p>
    <w:p>
      <w:pPr>
        <w:spacing w:after="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The reporting of the effectiveness of the target initiative 6.4 under the goal of clean water and sanitation suggest that the public sector organisations have been significantly working together to address the issues concerning global development. Despite the fulfilment of their obligation to make assessed contributions, many public sector organisations are extending their support to provide voluntary financial support to the UN-Water initiatives (UN Water, 2019). This suggests that the public sector organisations are committed to work together and contribute in the accomplishment of global development goals and initiatives, as well as their own corporate social responsibilities. </w:t>
      </w:r>
    </w:p>
    <w:p>
      <w:pPr>
        <w:spacing w:after="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14:textFill>
            <w14:solidFill>
              <w14:schemeClr w14:val="tx1"/>
            </w14:solidFill>
          </w14:textFill>
        </w:rPr>
        <w:t>The non-profit organisations such as Bill and Melinda Gates Foundation have also been committed to work with the UN entities, governments and public sector organisations already working in the field of water and sanitation (UN Water, 2014). T</w:t>
      </w:r>
      <w:r>
        <w:rPr>
          <w:rFonts w:ascii="Times New Roman" w:hAnsi="Times New Roman" w:cs="Times New Roman"/>
          <w:sz w:val="24"/>
          <w:szCs w:val="24"/>
        </w:rPr>
        <w:t xml:space="preserve">he collaboration and partnership of these organisations not only impacts the improvement of water usage efficiency, accessibility to fresh drinking and water sanitation facilities, but also drives the economy development of the countries by reducing the barriers related to water and sanitation which negatively impacted the economy (Murray et al., 2011).     </w:t>
      </w:r>
    </w:p>
    <w:p>
      <w:pPr>
        <w:pStyle w:val="2"/>
        <w:spacing w:before="0" w:line="360" w:lineRule="auto"/>
        <w:jc w:val="both"/>
        <w:rPr>
          <w:rFonts w:ascii="Times New Roman" w:hAnsi="Times New Roman" w:cs="Times New Roman"/>
          <w:sz w:val="24"/>
          <w:szCs w:val="24"/>
        </w:rPr>
      </w:pPr>
      <w:bookmarkStart w:id="9" w:name="_Toc9498"/>
      <w:r>
        <w:rPr>
          <w:rFonts w:hint="eastAsia" w:ascii="Times New Roman" w:hAnsi="Times New Roman" w:cs="Times New Roman"/>
          <w:sz w:val="24"/>
          <w:szCs w:val="24"/>
          <w:lang w:val="en-US" w:eastAsia="zh-CN"/>
        </w:rPr>
        <w:t xml:space="preserve">3.0 </w:t>
      </w:r>
      <w:r>
        <w:rPr>
          <w:rFonts w:ascii="Times New Roman" w:hAnsi="Times New Roman" w:cs="Times New Roman"/>
          <w:sz w:val="24"/>
          <w:szCs w:val="24"/>
        </w:rPr>
        <w:t>Conclusion</w:t>
      </w:r>
      <w:bookmarkEnd w:id="9"/>
      <w:r>
        <w:rPr>
          <w:rFonts w:ascii="Times New Roman" w:hAnsi="Times New Roman" w:cs="Times New Roman"/>
          <w:sz w:val="24"/>
          <w:szCs w:val="24"/>
        </w:rPr>
        <w:t xml:space="preserve">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findings of the report suggest that the selected target initiative focuses on the improvement of the water usage efficiency, sustainable withdrawals and freshwater supply. This initiative not only focuses on the improvement of water-use efficiency, but also contributes in the economic development of the countries by reducing the issues related to water management and its inefficient usage. The initiative is contributed by the involvement of many different partners, members and donors; however, the role of the public sector organisations stands tallest amongst all. These organisations not only provide financial support, but also support the development and implementation of the strategies and actions identified for the improvement of water usage efficiency and other problems related to water and sanitation. Though significant progress has been made towards the goals of the initiative, there is a greater need for the public sector organisations of all the member states to work collaboratively for the global development. Thus, it can be concluded that the involvement of public sector organisations is highly important for the CSR initiative of clean water and sanitation.     </w:t>
      </w:r>
    </w:p>
    <w:p>
      <w:pPr>
        <w:spacing w:after="0" w:line="360" w:lineRule="auto"/>
        <w:jc w:val="both"/>
        <w:rPr>
          <w:rFonts w:ascii="Times New Roman" w:hAnsi="Times New Roman" w:cs="Times New Roman" w:eastAsiaTheme="majorEastAsia"/>
          <w:b/>
          <w:bCs/>
          <w:color w:val="366091" w:themeColor="accent1" w:themeShade="BF"/>
          <w:sz w:val="24"/>
          <w:szCs w:val="24"/>
        </w:rPr>
      </w:pPr>
      <w:r>
        <w:rPr>
          <w:rFonts w:ascii="Times New Roman" w:hAnsi="Times New Roman" w:cs="Times New Roman"/>
          <w:sz w:val="24"/>
          <w:szCs w:val="24"/>
        </w:rPr>
        <w:br w:type="page"/>
      </w:r>
    </w:p>
    <w:p>
      <w:pPr>
        <w:pStyle w:val="2"/>
        <w:spacing w:before="0" w:line="360" w:lineRule="auto"/>
        <w:jc w:val="both"/>
        <w:rPr>
          <w:rFonts w:ascii="Times New Roman" w:hAnsi="Times New Roman" w:cs="Times New Roman"/>
          <w:sz w:val="24"/>
          <w:szCs w:val="24"/>
        </w:rPr>
      </w:pPr>
      <w:bookmarkStart w:id="10" w:name="_Toc17609"/>
      <w:r>
        <w:rPr>
          <w:rFonts w:hint="eastAsia" w:ascii="Times New Roman" w:hAnsi="Times New Roman" w:cs="Times New Roman"/>
          <w:sz w:val="24"/>
          <w:szCs w:val="24"/>
          <w:lang w:val="en-US" w:eastAsia="zh-CN"/>
        </w:rPr>
        <w:t xml:space="preserve">4.0 </w:t>
      </w:r>
      <w:r>
        <w:rPr>
          <w:rFonts w:ascii="Times New Roman" w:hAnsi="Times New Roman" w:cs="Times New Roman"/>
          <w:sz w:val="24"/>
          <w:szCs w:val="24"/>
        </w:rPr>
        <w:t>References</w:t>
      </w:r>
      <w:bookmarkEnd w:id="10"/>
    </w:p>
    <w:p>
      <w:pPr>
        <w:spacing w:after="0" w:line="36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De Fraiture, C., Molden, D. and Wichelns, D., 2010. Investing in water for food, ecosystems, and livelihoods: An overview of the comprehensive assessment of water management in agriculture. </w:t>
      </w:r>
      <w:r>
        <w:rPr>
          <w:rFonts w:ascii="Times New Roman" w:hAnsi="Times New Roman" w:eastAsia="Times New Roman" w:cs="Times New Roman"/>
          <w:i/>
          <w:iCs/>
          <w:sz w:val="24"/>
          <w:szCs w:val="24"/>
          <w:lang w:eastAsia="en-GB"/>
        </w:rPr>
        <w:t>Agricultural Water Management</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97</w:t>
      </w:r>
      <w:r>
        <w:rPr>
          <w:rFonts w:ascii="Times New Roman" w:hAnsi="Times New Roman" w:eastAsia="Times New Roman" w:cs="Times New Roman"/>
          <w:sz w:val="24"/>
          <w:szCs w:val="24"/>
          <w:lang w:eastAsia="en-GB"/>
        </w:rPr>
        <w:t>(4), pp.495-501.</w:t>
      </w:r>
    </w:p>
    <w:p>
      <w:pPr>
        <w:spacing w:after="0" w:line="36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Katko, T.S. and Hukka, J.J., 2015. Social and economic importance of water services in the built environment: Need for more structured thinking. </w:t>
      </w:r>
      <w:r>
        <w:rPr>
          <w:rFonts w:ascii="Times New Roman" w:hAnsi="Times New Roman" w:eastAsia="Times New Roman" w:cs="Times New Roman"/>
          <w:i/>
          <w:iCs/>
          <w:sz w:val="24"/>
          <w:szCs w:val="24"/>
          <w:lang w:eastAsia="en-GB"/>
        </w:rPr>
        <w:t>Procedia Economics and Finance</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21</w:t>
      </w:r>
      <w:r>
        <w:rPr>
          <w:rFonts w:ascii="Times New Roman" w:hAnsi="Times New Roman" w:eastAsia="Times New Roman" w:cs="Times New Roman"/>
          <w:sz w:val="24"/>
          <w:szCs w:val="24"/>
          <w:lang w:eastAsia="en-GB"/>
        </w:rPr>
        <w:t>, pp.217-223.</w:t>
      </w:r>
    </w:p>
    <w:p>
      <w:pPr>
        <w:spacing w:after="0" w:line="36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Murray, K., Roux, D.J., Nel, J.L., Driver, A. and Freimund, W., 2011. Absorptive capacity as a guiding concept for effective public sector management and conservation of freshwater ecosystems. </w:t>
      </w:r>
      <w:r>
        <w:rPr>
          <w:rFonts w:ascii="Times New Roman" w:hAnsi="Times New Roman" w:eastAsia="Times New Roman" w:cs="Times New Roman"/>
          <w:i/>
          <w:iCs/>
          <w:sz w:val="24"/>
          <w:szCs w:val="24"/>
          <w:lang w:eastAsia="en-GB"/>
        </w:rPr>
        <w:t>Environmental management</w:t>
      </w:r>
      <w:r>
        <w:rPr>
          <w:rFonts w:ascii="Times New Roman" w:hAnsi="Times New Roman" w:eastAsia="Times New Roman" w:cs="Times New Roman"/>
          <w:sz w:val="24"/>
          <w:szCs w:val="24"/>
          <w:lang w:eastAsia="en-GB"/>
        </w:rPr>
        <w:t xml:space="preserve">, </w:t>
      </w:r>
      <w:r>
        <w:rPr>
          <w:rFonts w:ascii="Times New Roman" w:hAnsi="Times New Roman" w:eastAsia="Times New Roman" w:cs="Times New Roman"/>
          <w:i/>
          <w:iCs/>
          <w:sz w:val="24"/>
          <w:szCs w:val="24"/>
          <w:lang w:eastAsia="en-GB"/>
        </w:rPr>
        <w:t>47</w:t>
      </w:r>
      <w:r>
        <w:rPr>
          <w:rFonts w:ascii="Times New Roman" w:hAnsi="Times New Roman" w:eastAsia="Times New Roman" w:cs="Times New Roman"/>
          <w:sz w:val="24"/>
          <w:szCs w:val="24"/>
          <w:lang w:eastAsia="en-GB"/>
        </w:rPr>
        <w:t>(5), pp.917-925.</w:t>
      </w:r>
    </w:p>
    <w:p>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SDG6 Monitoring., 2017. Target 6.4 – Water use and scarcity. [Online]. Available at: </w:t>
      </w:r>
      <w:r>
        <w:fldChar w:fldCharType="begin"/>
      </w:r>
      <w:r>
        <w:instrText xml:space="preserve"> HYPERLINK "https://www.sdg6monitoring.org/indicators/target-64/" </w:instrText>
      </w:r>
      <w:r>
        <w:fldChar w:fldCharType="separate"/>
      </w:r>
      <w:r>
        <w:rPr>
          <w:rStyle w:val="10"/>
          <w:rFonts w:ascii="Times New Roman" w:hAnsi="Times New Roman" w:cs="Times New Roman"/>
          <w:sz w:val="24"/>
          <w:szCs w:val="24"/>
        </w:rPr>
        <w:t>https://www.sdg6monitoring.org/indicators/target-64/</w:t>
      </w:r>
      <w:r>
        <w:rPr>
          <w:rStyle w:val="10"/>
          <w:rFonts w:ascii="Times New Roman" w:hAnsi="Times New Roman" w:cs="Times New Roman"/>
          <w:sz w:val="24"/>
          <w:szCs w:val="24"/>
        </w:rPr>
        <w:fldChar w:fldCharType="end"/>
      </w:r>
      <w:r>
        <w:rPr>
          <w:rFonts w:ascii="Times New Roman" w:hAnsi="Times New Roman" w:cs="Times New Roman"/>
          <w:sz w:val="24"/>
          <w:szCs w:val="24"/>
        </w:rPr>
        <w:t xml:space="preserve"> [Accessed on: 13 April 2020].  </w:t>
      </w:r>
    </w:p>
    <w:p>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SDG6 Monitoring., 2020. Indicator 6.4.1 “Change in water use efficiency over time”. [Online]. Available at: </w:t>
      </w:r>
      <w:r>
        <w:fldChar w:fldCharType="begin"/>
      </w:r>
      <w:r>
        <w:instrText xml:space="preserve"> HYPERLINK "https://www.sdg6monitoring.org/indicator-641/" </w:instrText>
      </w:r>
      <w:r>
        <w:fldChar w:fldCharType="separate"/>
      </w:r>
      <w:r>
        <w:rPr>
          <w:rStyle w:val="10"/>
          <w:rFonts w:ascii="Times New Roman" w:hAnsi="Times New Roman" w:cs="Times New Roman"/>
          <w:sz w:val="24"/>
          <w:szCs w:val="24"/>
        </w:rPr>
        <w:t>https://www.sdg6monitoring.org/indicator-641/</w:t>
      </w:r>
      <w:r>
        <w:rPr>
          <w:rStyle w:val="10"/>
          <w:rFonts w:ascii="Times New Roman" w:hAnsi="Times New Roman" w:cs="Times New Roman"/>
          <w:sz w:val="24"/>
          <w:szCs w:val="24"/>
        </w:rPr>
        <w:fldChar w:fldCharType="end"/>
      </w:r>
      <w:r>
        <w:rPr>
          <w:rFonts w:ascii="Times New Roman" w:hAnsi="Times New Roman" w:cs="Times New Roman"/>
          <w:sz w:val="24"/>
          <w:szCs w:val="24"/>
        </w:rPr>
        <w:t xml:space="preserve"> [Accessed on: 13 April 2020]. </w:t>
      </w:r>
    </w:p>
    <w:p>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SDG6 Monitoring., 2020. Monitoring water and sanitation in the 2030 Agenda for Sustainable Development. [Online]. Available at: </w:t>
      </w:r>
      <w:r>
        <w:fldChar w:fldCharType="begin"/>
      </w:r>
      <w:r>
        <w:instrText xml:space="preserve"> HYPERLINK "https://www.sdg6monitoring.org/" </w:instrText>
      </w:r>
      <w:r>
        <w:fldChar w:fldCharType="separate"/>
      </w:r>
      <w:r>
        <w:rPr>
          <w:rStyle w:val="10"/>
          <w:rFonts w:ascii="Times New Roman" w:hAnsi="Times New Roman" w:cs="Times New Roman"/>
          <w:sz w:val="24"/>
          <w:szCs w:val="24"/>
        </w:rPr>
        <w:t>https://www.sdg6monitoring.org/</w:t>
      </w:r>
      <w:r>
        <w:rPr>
          <w:rStyle w:val="10"/>
          <w:rFonts w:ascii="Times New Roman" w:hAnsi="Times New Roman" w:cs="Times New Roman"/>
          <w:sz w:val="24"/>
          <w:szCs w:val="24"/>
        </w:rPr>
        <w:fldChar w:fldCharType="end"/>
      </w:r>
      <w:r>
        <w:rPr>
          <w:rFonts w:ascii="Times New Roman" w:hAnsi="Times New Roman" w:cs="Times New Roman"/>
          <w:sz w:val="24"/>
          <w:szCs w:val="24"/>
        </w:rPr>
        <w:t xml:space="preserve"> [Accessed on: 13 April 2020].  </w:t>
      </w:r>
    </w:p>
    <w:p>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Sustainable Development Knowledge Platform., 2015. Sustainable Development Goal 6. [Online]. Available at: </w:t>
      </w:r>
      <w:r>
        <w:fldChar w:fldCharType="begin"/>
      </w:r>
      <w:r>
        <w:instrText xml:space="preserve"> HYPERLINK "https://sustainabledevelopment.un.org/sdg6" </w:instrText>
      </w:r>
      <w:r>
        <w:fldChar w:fldCharType="separate"/>
      </w:r>
      <w:r>
        <w:rPr>
          <w:rStyle w:val="10"/>
          <w:rFonts w:ascii="Times New Roman" w:hAnsi="Times New Roman" w:cs="Times New Roman"/>
          <w:sz w:val="24"/>
          <w:szCs w:val="24"/>
        </w:rPr>
        <w:t>https://sustainabledevelopment.un.org/sdg6</w:t>
      </w:r>
      <w:r>
        <w:rPr>
          <w:rStyle w:val="10"/>
          <w:rFonts w:ascii="Times New Roman" w:hAnsi="Times New Roman" w:cs="Times New Roman"/>
          <w:sz w:val="24"/>
          <w:szCs w:val="24"/>
        </w:rPr>
        <w:fldChar w:fldCharType="end"/>
      </w:r>
      <w:r>
        <w:rPr>
          <w:rFonts w:ascii="Times New Roman" w:hAnsi="Times New Roman" w:cs="Times New Roman"/>
          <w:sz w:val="24"/>
          <w:szCs w:val="24"/>
        </w:rPr>
        <w:t xml:space="preserve"> [Accessed on: 13 April 2020].   </w:t>
      </w:r>
    </w:p>
    <w:p>
      <w:pPr>
        <w:spacing w:after="0" w:line="360" w:lineRule="auto"/>
        <w:ind w:left="720" w:hanging="720"/>
        <w:rPr>
          <w:rFonts w:hint="default" w:ascii="Times New Roman" w:hAnsi="Times New Roman" w:cs="Times New Roman"/>
          <w:sz w:val="24"/>
          <w:szCs w:val="24"/>
        </w:rPr>
      </w:pPr>
      <w:r>
        <w:rPr>
          <w:rFonts w:ascii="Times New Roman" w:hAnsi="Times New Roman" w:cs="Times New Roman"/>
          <w:sz w:val="24"/>
          <w:szCs w:val="24"/>
        </w:rPr>
        <w:t xml:space="preserve">UN Sustainable Development., 2018. Synthesis Report on Water and Sanitation. [Online]. </w:t>
      </w:r>
      <w:r>
        <w:rPr>
          <w:rFonts w:hint="default" w:ascii="Times New Roman" w:hAnsi="Times New Roman" w:cs="Times New Roman"/>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"https://sustainabledevelopment.un.org/content/documents/19901SDG6_SR2018_web_3.pdf" </w:instrText>
      </w:r>
      <w:r>
        <w:rPr>
          <w:rFonts w:hint="default" w:ascii="Times New Roman" w:hAnsi="Times New Roman" w:cs="Times New Roman"/>
          <w:sz w:val="24"/>
          <w:szCs w:val="24"/>
        </w:rPr>
        <w:fldChar w:fldCharType="separate"/>
      </w:r>
      <w:r>
        <w:rPr>
          <w:rStyle w:val="10"/>
          <w:rFonts w:hint="default" w:ascii="Times New Roman" w:hAnsi="Times New Roman" w:cs="Times New Roman"/>
          <w:sz w:val="24"/>
          <w:szCs w:val="24"/>
        </w:rPr>
        <w:t>https://sustainabledevelopment.un.org/content/documents/19901SDG6_SR2018_web_3.pdf</w:t>
      </w:r>
      <w:r>
        <w:rPr>
          <w:rStyle w:val="10"/>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on: 13 April 2020].   </w:t>
      </w:r>
    </w:p>
    <w:p>
      <w:pPr>
        <w:spacing w:after="0" w:line="360" w:lineRule="auto"/>
        <w:ind w:left="720" w:hanging="720"/>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UN Water., 2014. Donors. [Online]. Available at:</w:t>
      </w:r>
      <w:r>
        <w:rPr>
          <w:rStyle w:val="10"/>
          <w:rFonts w:hint="default"/>
        </w:rPr>
        <w:t xml:space="preserve"> </w:t>
      </w:r>
      <w:r>
        <w:rPr>
          <w:rStyle w:val="10"/>
          <w:rFonts w:hint="default"/>
        </w:rPr>
        <w:fldChar w:fldCharType="begin"/>
      </w:r>
      <w:r>
        <w:rPr>
          <w:rStyle w:val="10"/>
          <w:rFonts w:hint="default"/>
        </w:rPr>
        <w:instrText xml:space="preserve"> HYPERLINK "https://www.unwater.org/about-unwater/donors/" </w:instrText>
      </w:r>
      <w:r>
        <w:rPr>
          <w:rStyle w:val="10"/>
          <w:rFonts w:hint="default"/>
        </w:rPr>
        <w:fldChar w:fldCharType="separate"/>
      </w:r>
      <w:r>
        <w:rPr>
          <w:rStyle w:val="10"/>
          <w:rFonts w:hint="default"/>
        </w:rPr>
        <w:t>https://www.unwater.org/about-unwater/donors/</w:t>
      </w:r>
      <w:r>
        <w:rPr>
          <w:rStyle w:val="10"/>
          <w:rFonts w:hint="default"/>
        </w:rPr>
        <w:fldChar w:fldCharType="end"/>
      </w:r>
      <w:r>
        <w:rPr>
          <w:rFonts w:hint="default" w:ascii="Times New Roman" w:hAnsi="Times New Roman" w:cs="Times New Roman"/>
          <w:color w:val="000000" w:themeColor="text1"/>
          <w:sz w:val="24"/>
          <w:szCs w:val="24"/>
          <w14:textFill>
            <w14:solidFill>
              <w14:schemeClr w14:val="tx1"/>
            </w14:solidFill>
          </w14:textFill>
        </w:rPr>
        <w:t xml:space="preserve"> [Accessed on: 13 April 2020]. </w:t>
      </w:r>
    </w:p>
    <w:p>
      <w:pPr>
        <w:spacing w:after="0" w:line="360" w:lineRule="auto"/>
        <w:ind w:left="720" w:hanging="720"/>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UN Water., 2014. Members. [Online]. Available at: </w:t>
      </w:r>
      <w:r>
        <w:rPr>
          <w:rStyle w:val="10"/>
          <w:rFonts w:hint="default"/>
        </w:rPr>
        <w:fldChar w:fldCharType="begin"/>
      </w:r>
      <w:r>
        <w:rPr>
          <w:rStyle w:val="10"/>
          <w:rFonts w:hint="default"/>
        </w:rPr>
        <w:instrText xml:space="preserve"> HYPERLINK "https://www.unwater.org/about-unwater/members/" </w:instrText>
      </w:r>
      <w:r>
        <w:rPr>
          <w:rStyle w:val="10"/>
          <w:rFonts w:hint="default"/>
        </w:rPr>
        <w:fldChar w:fldCharType="separate"/>
      </w:r>
      <w:r>
        <w:rPr>
          <w:rStyle w:val="10"/>
          <w:rFonts w:hint="default"/>
        </w:rPr>
        <w:t>https://www.unwater.org/about-unwater/members/</w:t>
      </w:r>
      <w:r>
        <w:rPr>
          <w:rStyle w:val="10"/>
          <w:rFonts w:hint="default"/>
        </w:rPr>
        <w:fldChar w:fldCharType="end"/>
      </w:r>
      <w:r>
        <w:rPr>
          <w:rFonts w:hint="default" w:ascii="Times New Roman" w:hAnsi="Times New Roman" w:cs="Times New Roman"/>
          <w:color w:val="000000" w:themeColor="text1"/>
          <w:sz w:val="24"/>
          <w:szCs w:val="24"/>
          <w14:textFill>
            <w14:solidFill>
              <w14:schemeClr w14:val="tx1"/>
            </w14:solidFill>
          </w14:textFill>
        </w:rPr>
        <w:t xml:space="preserve"> [Accessed on: 13 April 2020]. </w:t>
      </w:r>
    </w:p>
    <w:p>
      <w:pPr>
        <w:spacing w:after="0" w:line="360" w:lineRule="auto"/>
        <w:ind w:left="720" w:hanging="720"/>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UN Water., 2017. Partners. [Online]. Available at: </w:t>
      </w:r>
      <w:r>
        <w:rPr>
          <w:rStyle w:val="10"/>
          <w:rFonts w:hint="default" w:ascii="Times New Roman" w:hAnsi="Times New Roman" w:cs="Times New Roman"/>
          <w:sz w:val="24"/>
          <w:szCs w:val="24"/>
        </w:rPr>
        <w:fldChar w:fldCharType="begin"/>
      </w:r>
      <w:r>
        <w:rPr>
          <w:rStyle w:val="10"/>
          <w:rFonts w:hint="default" w:ascii="Times New Roman" w:hAnsi="Times New Roman" w:cs="Times New Roman"/>
          <w:sz w:val="24"/>
          <w:szCs w:val="24"/>
        </w:rPr>
        <w:instrText xml:space="preserve"> HYPERLINK "https://www.unwater.org/about-unwater/partners/" </w:instrText>
      </w:r>
      <w:r>
        <w:rPr>
          <w:rStyle w:val="10"/>
          <w:rFonts w:hint="default" w:ascii="Times New Roman" w:hAnsi="Times New Roman" w:cs="Times New Roman"/>
          <w:sz w:val="24"/>
          <w:szCs w:val="24"/>
        </w:rPr>
        <w:fldChar w:fldCharType="separate"/>
      </w:r>
      <w:r>
        <w:rPr>
          <w:rStyle w:val="10"/>
          <w:rFonts w:hint="default" w:ascii="Times New Roman" w:hAnsi="Times New Roman" w:cs="Times New Roman"/>
          <w:sz w:val="24"/>
          <w:szCs w:val="24"/>
        </w:rPr>
        <w:t>https://www.unwater.org/about-unwater/partners/</w:t>
      </w:r>
      <w:r>
        <w:rPr>
          <w:rStyle w:val="10"/>
          <w:rFonts w:hint="default" w:ascii="Times New Roman" w:hAnsi="Times New Roman" w:cs="Times New Roman"/>
          <w:sz w:val="24"/>
          <w:szCs w:val="24"/>
        </w:rPr>
        <w:fldChar w:fldCharType="end"/>
      </w:r>
      <w:r>
        <w:rPr>
          <w:rStyle w:val="10"/>
          <w:rFonts w:hint="default" w:ascii="Times New Roman" w:hAnsi="Times New Roman" w:cs="Times New Roman"/>
          <w:sz w:val="24"/>
          <w:szCs w:val="24"/>
        </w:rPr>
        <w:t xml:space="preserve"> </w:t>
      </w:r>
      <w:r>
        <w:rPr>
          <w:rFonts w:hint="default" w:ascii="Times New Roman" w:hAnsi="Times New Roman" w:cs="Times New Roman"/>
          <w:color w:val="000000" w:themeColor="text1"/>
          <w:sz w:val="24"/>
          <w:szCs w:val="24"/>
          <w14:textFill>
            <w14:solidFill>
              <w14:schemeClr w14:val="tx1"/>
            </w14:solidFill>
          </w14:textFill>
        </w:rPr>
        <w:t xml:space="preserve">[Accessed on: 13 April 2020].  </w:t>
      </w:r>
    </w:p>
    <w:p>
      <w:pPr>
        <w:spacing w:after="0" w:line="360" w:lineRule="auto"/>
        <w:ind w:left="720" w:hanging="720"/>
        <w:rPr>
          <w:rFonts w:hint="default" w:ascii="Times New Roman" w:hAnsi="Times New Roman" w:eastAsia="Times New Roman" w:cs="Times New Roman"/>
          <w:color w:val="000000" w:themeColor="text1"/>
          <w:sz w:val="24"/>
          <w:szCs w:val="24"/>
          <w:lang w:eastAsia="en-GB"/>
          <w14:textFill>
            <w14:solidFill>
              <w14:schemeClr w14:val="tx1"/>
            </w14:solidFill>
          </w14:textFill>
        </w:rPr>
      </w:pPr>
      <w:r>
        <w:rPr>
          <w:rFonts w:hint="default" w:ascii="Times New Roman" w:hAnsi="Times New Roman" w:eastAsia="Times New Roman" w:cs="Times New Roman"/>
          <w:color w:val="000000" w:themeColor="text1"/>
          <w:sz w:val="24"/>
          <w:szCs w:val="24"/>
          <w:lang w:eastAsia="en-GB"/>
          <w14:textFill>
            <w14:solidFill>
              <w14:schemeClr w14:val="tx1"/>
            </w14:solidFill>
          </w14:textFill>
        </w:rPr>
        <w:t xml:space="preserve">UN Water., 2017. SDG 6 indicators and the tiering system. [Online]. Available at: </w:t>
      </w:r>
      <w:r>
        <w:rPr>
          <w:rStyle w:val="10"/>
          <w:rFonts w:hint="default" w:ascii="Times New Roman" w:hAnsi="Times New Roman" w:cs="Times New Roman"/>
          <w:sz w:val="24"/>
          <w:szCs w:val="24"/>
        </w:rPr>
        <w:fldChar w:fldCharType="begin"/>
      </w:r>
      <w:r>
        <w:rPr>
          <w:rStyle w:val="10"/>
          <w:rFonts w:hint="default" w:ascii="Times New Roman" w:hAnsi="Times New Roman" w:cs="Times New Roman"/>
          <w:sz w:val="24"/>
          <w:szCs w:val="24"/>
        </w:rPr>
        <w:instrText xml:space="preserve"> HYPERLINK "https://www.unwater.org/publications/sdg-6-indicators-tiering-system/" </w:instrText>
      </w:r>
      <w:r>
        <w:rPr>
          <w:rStyle w:val="10"/>
          <w:rFonts w:hint="default" w:ascii="Times New Roman" w:hAnsi="Times New Roman" w:cs="Times New Roman"/>
          <w:sz w:val="24"/>
          <w:szCs w:val="24"/>
        </w:rPr>
        <w:fldChar w:fldCharType="separate"/>
      </w:r>
      <w:r>
        <w:rPr>
          <w:rStyle w:val="10"/>
          <w:rFonts w:hint="default" w:ascii="Times New Roman" w:hAnsi="Times New Roman" w:cs="Times New Roman"/>
          <w:sz w:val="24"/>
          <w:szCs w:val="24"/>
          <w:lang w:eastAsia="en-GB"/>
        </w:rPr>
        <w:t>https://www.unwater.org/publications/sdg-6-indicators-tiering-system/</w:t>
      </w:r>
      <w:r>
        <w:rPr>
          <w:rStyle w:val="10"/>
          <w:rFonts w:hint="default" w:ascii="Times New Roman" w:hAnsi="Times New Roman" w:cs="Times New Roman"/>
          <w:sz w:val="24"/>
          <w:szCs w:val="24"/>
          <w:lang w:eastAsia="en-GB"/>
        </w:rPr>
        <w:fldChar w:fldCharType="end"/>
      </w:r>
      <w:r>
        <w:rPr>
          <w:rStyle w:val="10"/>
          <w:rFonts w:hint="default" w:ascii="Times New Roman" w:hAnsi="Times New Roman" w:cs="Times New Roman"/>
          <w:sz w:val="24"/>
          <w:szCs w:val="24"/>
          <w:lang w:eastAsia="en-GB"/>
        </w:rPr>
        <w:t xml:space="preserve"> [</w:t>
      </w:r>
      <w:r>
        <w:rPr>
          <w:rFonts w:hint="default" w:ascii="Times New Roman" w:hAnsi="Times New Roman" w:eastAsia="Times New Roman" w:cs="Times New Roman"/>
          <w:color w:val="000000" w:themeColor="text1"/>
          <w:sz w:val="24"/>
          <w:szCs w:val="24"/>
          <w:lang w:eastAsia="en-GB"/>
          <w14:textFill>
            <w14:solidFill>
              <w14:schemeClr w14:val="tx1"/>
            </w14:solidFill>
          </w14:textFill>
        </w:rPr>
        <w:t xml:space="preserve">Accessed on: 07 May 2020]. </w:t>
      </w:r>
    </w:p>
    <w:p>
      <w:pPr>
        <w:spacing w:after="0" w:line="360" w:lineRule="auto"/>
        <w:ind w:left="720" w:hanging="720"/>
        <w:rPr>
          <w:rFonts w:hint="default" w:ascii="Times New Roman" w:hAnsi="Times New Roman" w:eastAsia="Times New Roman" w:cs="Times New Roman"/>
          <w:color w:val="000000" w:themeColor="text1"/>
          <w:sz w:val="24"/>
          <w:szCs w:val="24"/>
          <w:lang w:eastAsia="en-GB"/>
          <w14:textFill>
            <w14:solidFill>
              <w14:schemeClr w14:val="tx1"/>
            </w14:solidFill>
          </w14:textFill>
        </w:rPr>
      </w:pPr>
      <w:r>
        <w:rPr>
          <w:rFonts w:hint="default" w:ascii="Times New Roman" w:hAnsi="Times New Roman" w:eastAsia="Times New Roman" w:cs="Times New Roman"/>
          <w:color w:val="000000" w:themeColor="text1"/>
          <w:sz w:val="24"/>
          <w:szCs w:val="24"/>
          <w:lang w:eastAsia="en-GB"/>
          <w14:textFill>
            <w14:solidFill>
              <w14:schemeClr w14:val="tx1"/>
            </w14:solidFill>
          </w14:textFill>
        </w:rPr>
        <w:t>UN Water., 2018. Progress on Water-use Efficiency – Global baseline for SDG indicator 6.4.1. [Online]. Available at:</w:t>
      </w:r>
      <w:r>
        <w:rPr>
          <w:rStyle w:val="10"/>
          <w:rFonts w:hint="default" w:ascii="Times New Roman" w:hAnsi="Times New Roman" w:cs="Times New Roman"/>
          <w:sz w:val="24"/>
          <w:szCs w:val="24"/>
          <w:lang w:eastAsia="en-GB"/>
        </w:rPr>
        <w:t xml:space="preserve"> </w:t>
      </w:r>
      <w:r>
        <w:rPr>
          <w:rStyle w:val="10"/>
          <w:rFonts w:hint="default" w:ascii="Times New Roman" w:hAnsi="Times New Roman" w:cs="Times New Roman"/>
          <w:sz w:val="24"/>
          <w:szCs w:val="24"/>
        </w:rPr>
        <w:fldChar w:fldCharType="begin"/>
      </w:r>
      <w:r>
        <w:rPr>
          <w:rStyle w:val="10"/>
          <w:rFonts w:hint="default" w:ascii="Times New Roman" w:hAnsi="Times New Roman" w:cs="Times New Roman"/>
          <w:sz w:val="24"/>
          <w:szCs w:val="24"/>
        </w:rPr>
        <w:instrText xml:space="preserve"> HYPERLINK "https://www.unwater.org/publications/progress-on-water-use-efficiency-641/" </w:instrText>
      </w:r>
      <w:r>
        <w:rPr>
          <w:rStyle w:val="10"/>
          <w:rFonts w:hint="default" w:ascii="Times New Roman" w:hAnsi="Times New Roman" w:cs="Times New Roman"/>
          <w:sz w:val="24"/>
          <w:szCs w:val="24"/>
        </w:rPr>
        <w:fldChar w:fldCharType="separate"/>
      </w:r>
      <w:r>
        <w:rPr>
          <w:rStyle w:val="10"/>
          <w:rFonts w:hint="default" w:ascii="Times New Roman" w:hAnsi="Times New Roman" w:cs="Times New Roman"/>
          <w:sz w:val="24"/>
          <w:szCs w:val="24"/>
          <w:lang w:eastAsia="en-GB"/>
        </w:rPr>
        <w:t>https://www.unwater.org/publications/progress-on-water-use-efficiency-641/</w:t>
      </w:r>
      <w:r>
        <w:rPr>
          <w:rStyle w:val="10"/>
          <w:rFonts w:hint="default" w:ascii="Times New Roman" w:hAnsi="Times New Roman" w:cs="Times New Roman"/>
          <w:sz w:val="24"/>
          <w:szCs w:val="24"/>
          <w:lang w:eastAsia="en-GB"/>
        </w:rPr>
        <w:fldChar w:fldCharType="end"/>
      </w:r>
      <w:r>
        <w:rPr>
          <w:rFonts w:hint="default" w:ascii="Times New Roman" w:hAnsi="Times New Roman" w:eastAsia="Times New Roman" w:cs="Times New Roman"/>
          <w:color w:val="000000" w:themeColor="text1"/>
          <w:sz w:val="24"/>
          <w:szCs w:val="24"/>
          <w:lang w:eastAsia="en-GB"/>
          <w14:textFill>
            <w14:solidFill>
              <w14:schemeClr w14:val="tx1"/>
            </w14:solidFill>
          </w14:textFill>
        </w:rPr>
        <w:t xml:space="preserve"> [Accessed on: 13 April 2020].   </w:t>
      </w:r>
    </w:p>
    <w:p>
      <w:pPr>
        <w:spacing w:after="0" w:line="360" w:lineRule="auto"/>
        <w:ind w:left="720" w:hanging="720"/>
        <w:rPr>
          <w:rFonts w:ascii="Times New Roman" w:hAnsi="Times New Roman" w:eastAsia="Times New Roman" w:cs="Times New Roman"/>
          <w:color w:val="000000" w:themeColor="text1"/>
          <w:sz w:val="24"/>
          <w:szCs w:val="24"/>
          <w:lang w:eastAsia="en-GB"/>
          <w14:textFill>
            <w14:solidFill>
              <w14:schemeClr w14:val="tx1"/>
            </w14:solidFill>
          </w14:textFill>
        </w:rPr>
      </w:pPr>
      <w:r>
        <w:rPr>
          <w:rFonts w:hint="default" w:ascii="Times New Roman" w:hAnsi="Times New Roman" w:eastAsia="Times New Roman" w:cs="Times New Roman"/>
          <w:color w:val="000000" w:themeColor="text1"/>
          <w:sz w:val="24"/>
          <w:szCs w:val="24"/>
          <w:lang w:eastAsia="en-GB"/>
          <w14:textFill>
            <w14:solidFill>
              <w14:schemeClr w14:val="tx1"/>
            </w14:solidFill>
          </w14:textFill>
        </w:rPr>
        <w:t>UN Water., 2019. Who does what. [Online]. Available at:</w:t>
      </w:r>
      <w:r>
        <w:rPr>
          <w:rFonts w:hint="default" w:ascii="Times New Roman" w:hAnsi="Times New Roman" w:eastAsia="Times New Roman" w:cs="Times New Roman"/>
          <w:color w:val="376092" w:themeColor="accent1" w:themeShade="BF"/>
          <w:sz w:val="24"/>
          <w:szCs w:val="24"/>
          <w:lang w:eastAsia="en-GB"/>
        </w:rPr>
        <w:t xml:space="preserve"> </w:t>
      </w:r>
      <w:r>
        <w:rPr>
          <w:rStyle w:val="10"/>
          <w:rFonts w:hint="default" w:ascii="Times New Roman" w:hAnsi="Times New Roman" w:cs="Times New Roman"/>
          <w:sz w:val="24"/>
          <w:szCs w:val="24"/>
        </w:rPr>
        <w:fldChar w:fldCharType="begin"/>
      </w:r>
      <w:r>
        <w:rPr>
          <w:rStyle w:val="10"/>
          <w:rFonts w:hint="default" w:ascii="Times New Roman" w:hAnsi="Times New Roman" w:cs="Times New Roman"/>
          <w:sz w:val="24"/>
          <w:szCs w:val="24"/>
        </w:rPr>
        <w:instrText xml:space="preserve"> HYPERLINK "https://www.unwater.org/about-unwater/who-does-what/" </w:instrText>
      </w:r>
      <w:r>
        <w:rPr>
          <w:rStyle w:val="10"/>
          <w:rFonts w:hint="default" w:ascii="Times New Roman" w:hAnsi="Times New Roman" w:cs="Times New Roman"/>
          <w:sz w:val="24"/>
          <w:szCs w:val="24"/>
        </w:rPr>
        <w:fldChar w:fldCharType="separate"/>
      </w:r>
      <w:r>
        <w:rPr>
          <w:rStyle w:val="10"/>
          <w:rFonts w:hint="default" w:ascii="Times New Roman" w:hAnsi="Times New Roman" w:cs="Times New Roman"/>
          <w:sz w:val="24"/>
          <w:szCs w:val="24"/>
          <w:lang w:eastAsia="en-GB"/>
        </w:rPr>
        <w:t>https://www.unwater.org/about-unwater/who-does-what/</w:t>
      </w:r>
      <w:r>
        <w:rPr>
          <w:rStyle w:val="10"/>
          <w:rFonts w:hint="default" w:ascii="Times New Roman" w:hAnsi="Times New Roman" w:cs="Times New Roman"/>
          <w:sz w:val="24"/>
          <w:szCs w:val="24"/>
          <w:lang w:eastAsia="en-GB"/>
        </w:rPr>
        <w:fldChar w:fldCharType="end"/>
      </w:r>
      <w:r>
        <w:rPr>
          <w:rFonts w:ascii="Times New Roman" w:hAnsi="Times New Roman" w:eastAsia="Times New Roman" w:cs="Times New Roman"/>
          <w:color w:val="000000" w:themeColor="text1"/>
          <w:sz w:val="24"/>
          <w:szCs w:val="24"/>
          <w:lang w:eastAsia="en-GB"/>
          <w14:textFill>
            <w14:solidFill>
              <w14:schemeClr w14:val="tx1"/>
            </w14:solidFill>
          </w14:textFill>
        </w:rPr>
        <w:t xml:space="preserve"> [Accessed on: 13 April 2020].  </w:t>
      </w:r>
    </w:p>
    <w:p>
      <w:pPr>
        <w:spacing w:after="0" w:line="36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United Nations., 2015. Goal 6: Ensure access to water and sanitation for all. [Online]. Available at: </w:t>
      </w:r>
      <w:r>
        <w:fldChar w:fldCharType="begin"/>
      </w:r>
      <w:r>
        <w:instrText xml:space="preserve"> HYPERLINK "https://www.un.org/sustainabledevelopment/water-and-sanitation/" </w:instrText>
      </w:r>
      <w:r>
        <w:fldChar w:fldCharType="separate"/>
      </w:r>
      <w:r>
        <w:rPr>
          <w:rStyle w:val="10"/>
          <w:rFonts w:ascii="Times New Roman" w:hAnsi="Times New Roman" w:eastAsia="Times New Roman" w:cs="Times New Roman"/>
          <w:sz w:val="24"/>
          <w:szCs w:val="24"/>
          <w:lang w:eastAsia="en-GB"/>
        </w:rPr>
        <w:t>https://www.un.org/sustainabledevelopment/water-and-sanitation/</w:t>
      </w:r>
      <w:r>
        <w:rPr>
          <w:rStyle w:val="10"/>
          <w:rFonts w:ascii="Times New Roman" w:hAnsi="Times New Roman" w:eastAsia="Times New Roman" w:cs="Times New Roman"/>
          <w:sz w:val="24"/>
          <w:szCs w:val="24"/>
          <w:lang w:eastAsia="en-GB"/>
        </w:rPr>
        <w:fldChar w:fldCharType="end"/>
      </w:r>
      <w:r>
        <w:rPr>
          <w:rFonts w:ascii="Times New Roman" w:hAnsi="Times New Roman" w:eastAsia="Times New Roman" w:cs="Times New Roman"/>
          <w:sz w:val="24"/>
          <w:szCs w:val="24"/>
          <w:lang w:eastAsia="en-GB"/>
        </w:rPr>
        <w:t xml:space="preserve"> [Accessed on: 13 April 2020]. </w:t>
      </w:r>
    </w:p>
    <w:p>
      <w:pPr>
        <w:spacing w:after="0" w:line="36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United Nations., 2020. About United Nations Water. [Online]. Available at: </w:t>
      </w:r>
      <w:r>
        <w:fldChar w:fldCharType="begin"/>
      </w:r>
      <w:r>
        <w:instrText xml:space="preserve"> HYPERLINK "https://www.unwater.org/about-unwater/" </w:instrText>
      </w:r>
      <w:r>
        <w:fldChar w:fldCharType="separate"/>
      </w:r>
      <w:r>
        <w:rPr>
          <w:rStyle w:val="10"/>
          <w:rFonts w:ascii="Times New Roman" w:hAnsi="Times New Roman" w:eastAsia="Times New Roman" w:cs="Times New Roman"/>
          <w:sz w:val="24"/>
          <w:szCs w:val="24"/>
          <w:lang w:eastAsia="en-GB"/>
        </w:rPr>
        <w:t>https://www.unwater.org/about-unwater/</w:t>
      </w:r>
      <w:r>
        <w:rPr>
          <w:rStyle w:val="10"/>
          <w:rFonts w:ascii="Times New Roman" w:hAnsi="Times New Roman" w:eastAsia="Times New Roman" w:cs="Times New Roman"/>
          <w:sz w:val="24"/>
          <w:szCs w:val="24"/>
          <w:lang w:eastAsia="en-GB"/>
        </w:rPr>
        <w:fldChar w:fldCharType="end"/>
      </w:r>
      <w:r>
        <w:rPr>
          <w:rFonts w:ascii="Times New Roman" w:hAnsi="Times New Roman" w:eastAsia="Times New Roman" w:cs="Times New Roman"/>
          <w:sz w:val="24"/>
          <w:szCs w:val="24"/>
          <w:lang w:eastAsia="en-GB"/>
        </w:rPr>
        <w:t xml:space="preserve"> [Accessed on: 13 April 2020].  </w:t>
      </w:r>
    </w:p>
    <w:p>
      <w:pPr>
        <w:spacing w:after="0" w:line="360" w:lineRule="auto"/>
        <w:ind w:left="720" w:hanging="720"/>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Walker, J., Pekmezovic, A. and Walker, G., 2019. </w:t>
      </w:r>
      <w:r>
        <w:rPr>
          <w:rFonts w:ascii="Times New Roman" w:hAnsi="Times New Roman" w:eastAsia="Times New Roman" w:cs="Times New Roman"/>
          <w:i/>
          <w:iCs/>
          <w:sz w:val="24"/>
          <w:szCs w:val="24"/>
          <w:lang w:eastAsia="en-GB"/>
        </w:rPr>
        <w:t>Sustainable Development Goals: Harnessing Business to Achieve the SDGs through Finance, Technology and Law Reform</w:t>
      </w:r>
      <w:r>
        <w:rPr>
          <w:rFonts w:ascii="Times New Roman" w:hAnsi="Times New Roman" w:eastAsia="Times New Roman" w:cs="Times New Roman"/>
          <w:sz w:val="24"/>
          <w:szCs w:val="24"/>
          <w:lang w:eastAsia="en-GB"/>
        </w:rPr>
        <w:t>. New Jersey: John Wiley &amp; Sons.</w:t>
      </w: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25152343"/>
      <w:docPartObj>
        <w:docPartGallery w:val="autotext"/>
      </w:docPartObj>
    </w:sdtPr>
    <w:sdtContent>
      <w:p>
        <w:pPr>
          <w:pStyle w:val="4"/>
          <w:jc w:val="right"/>
        </w:pPr>
        <w:r>
          <w:fldChar w:fldCharType="begin"/>
        </w:r>
        <w:r>
          <w:instrText xml:space="preserve"> PAGE   \* MERGEFORMAT </w:instrText>
        </w:r>
        <w:r>
          <w:fldChar w:fldCharType="separate"/>
        </w:r>
        <w:r>
          <w:t>9</w:t>
        </w:r>
        <w:r>
          <w:fldChar w:fldCharType="end"/>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2"/>
  </w:compat>
  <w:rsids>
    <w:rsidRoot w:val="0025159B"/>
    <w:rsid w:val="00001565"/>
    <w:rsid w:val="00066A1C"/>
    <w:rsid w:val="000F4DAD"/>
    <w:rsid w:val="0010545C"/>
    <w:rsid w:val="00106015"/>
    <w:rsid w:val="001134A6"/>
    <w:rsid w:val="0014740F"/>
    <w:rsid w:val="00182DC4"/>
    <w:rsid w:val="00193C98"/>
    <w:rsid w:val="001B2B03"/>
    <w:rsid w:val="002306EC"/>
    <w:rsid w:val="00236829"/>
    <w:rsid w:val="0025159B"/>
    <w:rsid w:val="00295D13"/>
    <w:rsid w:val="003374B2"/>
    <w:rsid w:val="0037297E"/>
    <w:rsid w:val="005269F6"/>
    <w:rsid w:val="00531D33"/>
    <w:rsid w:val="0056368F"/>
    <w:rsid w:val="00575C3B"/>
    <w:rsid w:val="005E4B85"/>
    <w:rsid w:val="005F2034"/>
    <w:rsid w:val="0060417A"/>
    <w:rsid w:val="00621C95"/>
    <w:rsid w:val="00684DB0"/>
    <w:rsid w:val="00701452"/>
    <w:rsid w:val="00705B30"/>
    <w:rsid w:val="008247AF"/>
    <w:rsid w:val="008B70F8"/>
    <w:rsid w:val="008D6971"/>
    <w:rsid w:val="00900F4B"/>
    <w:rsid w:val="00985F70"/>
    <w:rsid w:val="00991481"/>
    <w:rsid w:val="009F6283"/>
    <w:rsid w:val="00A62A21"/>
    <w:rsid w:val="00AD071C"/>
    <w:rsid w:val="00B03470"/>
    <w:rsid w:val="00B717E2"/>
    <w:rsid w:val="00B96351"/>
    <w:rsid w:val="00CD1D03"/>
    <w:rsid w:val="00CF37AD"/>
    <w:rsid w:val="00CF73A5"/>
    <w:rsid w:val="00D54651"/>
    <w:rsid w:val="00D750F3"/>
    <w:rsid w:val="00DA6505"/>
    <w:rsid w:val="00DB3F6B"/>
    <w:rsid w:val="00DE4888"/>
    <w:rsid w:val="00E07186"/>
    <w:rsid w:val="00E113A8"/>
    <w:rsid w:val="00E827C4"/>
    <w:rsid w:val="00ED3E53"/>
    <w:rsid w:val="00F05B09"/>
    <w:rsid w:val="00F150A3"/>
    <w:rsid w:val="00F32E12"/>
    <w:rsid w:val="00F37AED"/>
    <w:rsid w:val="20C95D76"/>
    <w:rsid w:val="43744E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15"/>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default="1" w:styleId="9">
    <w:name w:val="Default Paragraph Font"/>
    <w:semiHidden/>
    <w:unhideWhenUsed/>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2"/>
    <w:unhideWhenUsed/>
    <w:uiPriority w:val="99"/>
    <w:pPr>
      <w:tabs>
        <w:tab w:val="center" w:pos="4513"/>
        <w:tab w:val="right" w:pos="9026"/>
      </w:tabs>
      <w:spacing w:after="0" w:line="240" w:lineRule="auto"/>
    </w:pPr>
  </w:style>
  <w:style w:type="paragraph" w:styleId="5">
    <w:name w:val="header"/>
    <w:basedOn w:val="1"/>
    <w:link w:val="11"/>
    <w:semiHidden/>
    <w:unhideWhenUsed/>
    <w:uiPriority w:val="99"/>
    <w:pPr>
      <w:tabs>
        <w:tab w:val="center" w:pos="4513"/>
        <w:tab w:val="right" w:pos="9026"/>
      </w:tabs>
      <w:spacing w:after="0" w:line="240" w:lineRule="auto"/>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character" w:styleId="10">
    <w:name w:val="Hyperlink"/>
    <w:basedOn w:val="9"/>
    <w:unhideWhenUsed/>
    <w:uiPriority w:val="99"/>
    <w:rPr>
      <w:color w:val="0000FF" w:themeColor="hyperlink"/>
      <w:u w:val="single"/>
    </w:rPr>
  </w:style>
  <w:style w:type="character" w:customStyle="1" w:styleId="11">
    <w:name w:val="Header Char"/>
    <w:basedOn w:val="9"/>
    <w:link w:val="5"/>
    <w:semiHidden/>
    <w:uiPriority w:val="99"/>
  </w:style>
  <w:style w:type="character" w:customStyle="1" w:styleId="12">
    <w:name w:val="Footer Char"/>
    <w:basedOn w:val="9"/>
    <w:link w:val="4"/>
    <w:uiPriority w:val="99"/>
  </w:style>
  <w:style w:type="character" w:customStyle="1" w:styleId="13">
    <w:name w:val="Heading 1 Char"/>
    <w:basedOn w:val="9"/>
    <w:link w:val="2"/>
    <w:uiPriority w:val="9"/>
    <w:rPr>
      <w:rFonts w:asciiTheme="majorHAnsi" w:hAnsiTheme="majorHAnsi" w:eastAsiaTheme="majorEastAsia" w:cstheme="majorBidi"/>
      <w:b/>
      <w:bCs/>
      <w:color w:val="366091" w:themeColor="accent1" w:themeShade="BF"/>
      <w:sz w:val="28"/>
      <w:szCs w:val="28"/>
    </w:rPr>
  </w:style>
  <w:style w:type="paragraph" w:styleId="14">
    <w:name w:val="List Paragraph"/>
    <w:basedOn w:val="1"/>
    <w:qFormat/>
    <w:uiPriority w:val="34"/>
    <w:pPr>
      <w:ind w:left="720"/>
      <w:contextualSpacing/>
    </w:pPr>
  </w:style>
  <w:style w:type="character" w:customStyle="1" w:styleId="15">
    <w:name w:val="Heading 2 Char"/>
    <w:basedOn w:val="9"/>
    <w:link w:val="3"/>
    <w:qFormat/>
    <w:uiPriority w:val="9"/>
    <w:rPr>
      <w:rFonts w:asciiTheme="majorHAnsi" w:hAnsiTheme="majorHAnsi" w:eastAsiaTheme="majorEastAsia" w:cstheme="majorBidi"/>
      <w:b/>
      <w:bCs/>
      <w:color w:val="4F81BD" w:themeColor="accent1"/>
      <w:sz w:val="26"/>
      <w:szCs w:val="26"/>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DB39F96-1A7A-4165-A458-4F7D29B4835D}">
  <ds:schemaRefs/>
</ds:datastoreItem>
</file>

<file path=docProps/app.xml><?xml version="1.0" encoding="utf-8"?>
<Properties xmlns="http://schemas.openxmlformats.org/officeDocument/2006/extended-properties" xmlns:vt="http://schemas.openxmlformats.org/officeDocument/2006/docPropsVTypes">
  <Template>Normal</Template>
  <Pages>10</Pages>
  <Words>2934</Words>
  <Characters>16727</Characters>
  <Lines>139</Lines>
  <Paragraphs>39</Paragraphs>
  <TotalTime>1</TotalTime>
  <ScaleCrop>false</ScaleCrop>
  <LinksUpToDate>false</LinksUpToDate>
  <CharactersWithSpaces>19622</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2020-04-13T19:38:00Z</dcterms:created>
  <dc:creator>Lenovo</dc:creator>
  <cp:lastModifiedBy>Jung</cp:lastModifiedBy>
  <dcterms:modified xsi:type="dcterms:W3CDTF">2020-05-15T10:46:08Z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