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0567D2" w14:textId="77777777" w:rsidR="00FD67EA" w:rsidRDefault="00FD67EA">
      <w:pPr>
        <w:spacing w:before="280"/>
        <w:jc w:val="center"/>
        <w:rPr>
          <w:b/>
          <w:bCs/>
          <w:sz w:val="36"/>
          <w:szCs w:val="36"/>
        </w:rPr>
      </w:pPr>
    </w:p>
    <w:p w14:paraId="5C6C98C9" w14:textId="77777777" w:rsidR="00FD67EA" w:rsidRDefault="00FD67EA">
      <w:pPr>
        <w:spacing w:before="280"/>
        <w:jc w:val="center"/>
        <w:rPr>
          <w:b/>
          <w:bCs/>
          <w:sz w:val="36"/>
          <w:szCs w:val="36"/>
        </w:rPr>
      </w:pPr>
    </w:p>
    <w:p w14:paraId="4D2E4B62" w14:textId="77777777" w:rsidR="00FD67EA" w:rsidRDefault="00FD67EA">
      <w:pPr>
        <w:spacing w:before="280"/>
        <w:jc w:val="center"/>
        <w:rPr>
          <w:b/>
          <w:bCs/>
          <w:sz w:val="36"/>
          <w:szCs w:val="36"/>
        </w:rPr>
      </w:pPr>
    </w:p>
    <w:p w14:paraId="040ECBD1" w14:textId="77777777" w:rsidR="00FD67EA" w:rsidRDefault="00FD67EA">
      <w:pPr>
        <w:spacing w:before="280"/>
        <w:jc w:val="center"/>
        <w:rPr>
          <w:b/>
          <w:bCs/>
          <w:sz w:val="36"/>
          <w:szCs w:val="36"/>
        </w:rPr>
      </w:pPr>
    </w:p>
    <w:p w14:paraId="46ADC2E7" w14:textId="77777777" w:rsidR="00FD67EA" w:rsidRDefault="00FD67EA">
      <w:pPr>
        <w:spacing w:before="280"/>
        <w:jc w:val="left"/>
        <w:rPr>
          <w:b/>
          <w:bCs/>
          <w:sz w:val="36"/>
          <w:szCs w:val="36"/>
        </w:rPr>
      </w:pPr>
    </w:p>
    <w:p w14:paraId="131AF7AE" w14:textId="77777777" w:rsidR="00FD67EA" w:rsidRDefault="00FD67EA">
      <w:pPr>
        <w:spacing w:before="280"/>
        <w:jc w:val="left"/>
        <w:rPr>
          <w:b/>
          <w:bCs/>
          <w:sz w:val="36"/>
          <w:szCs w:val="36"/>
        </w:rPr>
      </w:pPr>
    </w:p>
    <w:p w14:paraId="0C9C86EF" w14:textId="77777777" w:rsidR="00FD67EA" w:rsidRDefault="00000000">
      <w:pPr>
        <w:spacing w:before="280"/>
        <w:jc w:val="center"/>
        <w:rPr>
          <w:b/>
          <w:bCs/>
          <w:sz w:val="36"/>
          <w:szCs w:val="36"/>
        </w:rPr>
      </w:pPr>
      <w:r>
        <w:rPr>
          <w:b/>
          <w:bCs/>
          <w:sz w:val="36"/>
          <w:szCs w:val="36"/>
        </w:rPr>
        <w:t>Service Improvement Report: Strengthening Patient Safety Governance and Quality Assurance in Neonatal Care — Lessons from the Lucy Letby Case</w:t>
      </w:r>
      <w:r>
        <w:br w:type="page"/>
      </w:r>
    </w:p>
    <w:p w14:paraId="6BF1458E" w14:textId="77777777" w:rsidR="00FD67EA" w:rsidRDefault="00000000">
      <w:pPr>
        <w:spacing w:before="280" w:line="276" w:lineRule="auto"/>
        <w:jc w:val="center"/>
        <w:rPr>
          <w:b/>
          <w:bCs/>
        </w:rPr>
      </w:pPr>
      <w:r>
        <w:rPr>
          <w:b/>
          <w:bCs/>
        </w:rPr>
        <w:lastRenderedPageBreak/>
        <w:t>Table of Contents</w:t>
      </w:r>
    </w:p>
    <w:sdt>
      <w:sdtPr>
        <w:id w:val="-247858010"/>
        <w:docPartObj>
          <w:docPartGallery w:val="Table of Contents"/>
          <w:docPartUnique/>
        </w:docPartObj>
      </w:sdtPr>
      <w:sdtContent>
        <w:p w14:paraId="22064469" w14:textId="77777777" w:rsidR="00FD67EA" w:rsidRPr="00A809F1" w:rsidRDefault="00000000" w:rsidP="007E7B5D">
          <w:pPr>
            <w:widowControl w:val="0"/>
            <w:tabs>
              <w:tab w:val="right" w:leader="dot" w:pos="9360"/>
            </w:tabs>
            <w:spacing w:before="60"/>
            <w:jc w:val="left"/>
            <w:rPr>
              <w:color w:val="000000"/>
            </w:rPr>
          </w:pPr>
          <w:r w:rsidRPr="00A809F1">
            <w:fldChar w:fldCharType="begin"/>
          </w:r>
          <w:r w:rsidRPr="00A809F1">
            <w:instrText xml:space="preserve"> TOC \h \u \z \t "Heading 1,1,Heading 2,2,Heading 3,3,Heading 4,4,Heading 5,5,Heading 6,6,"</w:instrText>
          </w:r>
          <w:r w:rsidRPr="00A809F1">
            <w:fldChar w:fldCharType="separate"/>
          </w:r>
          <w:hyperlink w:anchor="_yonil99f2s2">
            <w:r w:rsidR="00FD67EA" w:rsidRPr="00A809F1">
              <w:rPr>
                <w:color w:val="000000"/>
              </w:rPr>
              <w:t>Introduction</w:t>
            </w:r>
            <w:r w:rsidR="00FD67EA" w:rsidRPr="00A809F1">
              <w:rPr>
                <w:color w:val="000000"/>
              </w:rPr>
              <w:tab/>
            </w:r>
          </w:hyperlink>
          <w:r w:rsidRPr="00A809F1">
            <w:fldChar w:fldCharType="begin"/>
          </w:r>
          <w:r w:rsidRPr="00A809F1">
            <w:instrText xml:space="preserve"> PAGEREF _yonil99f2s2 \h </w:instrText>
          </w:r>
          <w:r w:rsidRPr="00A809F1">
            <w:fldChar w:fldCharType="separate"/>
          </w:r>
          <w:r w:rsidRPr="00A809F1">
            <w:t>2</w:t>
          </w:r>
          <w:r w:rsidRPr="00A809F1">
            <w:fldChar w:fldCharType="end"/>
          </w:r>
        </w:p>
        <w:p w14:paraId="657B324E" w14:textId="77777777" w:rsidR="00FD67EA" w:rsidRPr="00A809F1" w:rsidRDefault="00FD67EA" w:rsidP="007E7B5D">
          <w:pPr>
            <w:widowControl w:val="0"/>
            <w:tabs>
              <w:tab w:val="right" w:leader="dot" w:pos="9360"/>
            </w:tabs>
            <w:spacing w:before="60"/>
            <w:ind w:left="360"/>
            <w:jc w:val="left"/>
            <w:rPr>
              <w:color w:val="000000"/>
            </w:rPr>
          </w:pPr>
          <w:hyperlink w:anchor="_z31y3e2jj36j">
            <w:r w:rsidRPr="00A809F1">
              <w:rPr>
                <w:color w:val="000000"/>
              </w:rPr>
              <w:t>Context and Background</w:t>
            </w:r>
            <w:r w:rsidRPr="00A809F1">
              <w:rPr>
                <w:color w:val="000000"/>
              </w:rPr>
              <w:tab/>
            </w:r>
          </w:hyperlink>
          <w:r w:rsidR="00000000" w:rsidRPr="00A809F1">
            <w:fldChar w:fldCharType="begin"/>
          </w:r>
          <w:r w:rsidR="00000000" w:rsidRPr="00A809F1">
            <w:instrText xml:space="preserve"> PAGEREF _z31y3e2jj36j \h </w:instrText>
          </w:r>
          <w:r w:rsidR="00000000" w:rsidRPr="00A809F1">
            <w:fldChar w:fldCharType="separate"/>
          </w:r>
          <w:r w:rsidR="00000000" w:rsidRPr="00A809F1">
            <w:t>2</w:t>
          </w:r>
          <w:r w:rsidR="00000000" w:rsidRPr="00A809F1">
            <w:fldChar w:fldCharType="end"/>
          </w:r>
        </w:p>
        <w:p w14:paraId="4245C316" w14:textId="77777777" w:rsidR="00FD67EA" w:rsidRPr="00A809F1" w:rsidRDefault="00FD67EA" w:rsidP="007E7B5D">
          <w:pPr>
            <w:widowControl w:val="0"/>
            <w:tabs>
              <w:tab w:val="right" w:leader="dot" w:pos="9360"/>
            </w:tabs>
            <w:spacing w:before="60"/>
            <w:ind w:left="360"/>
            <w:jc w:val="left"/>
            <w:rPr>
              <w:color w:val="000000"/>
            </w:rPr>
          </w:pPr>
          <w:hyperlink w:anchor="_8ccjqsbx5v8t">
            <w:r w:rsidRPr="00A809F1">
              <w:rPr>
                <w:color w:val="000000"/>
              </w:rPr>
              <w:t>Problem Identification</w:t>
            </w:r>
            <w:r w:rsidRPr="00A809F1">
              <w:rPr>
                <w:color w:val="000000"/>
              </w:rPr>
              <w:tab/>
            </w:r>
          </w:hyperlink>
          <w:r w:rsidR="00000000" w:rsidRPr="00A809F1">
            <w:fldChar w:fldCharType="begin"/>
          </w:r>
          <w:r w:rsidR="00000000" w:rsidRPr="00A809F1">
            <w:instrText xml:space="preserve"> PAGEREF _8ccjqsbx5v8t \h </w:instrText>
          </w:r>
          <w:r w:rsidR="00000000" w:rsidRPr="00A809F1">
            <w:fldChar w:fldCharType="separate"/>
          </w:r>
          <w:r w:rsidR="00000000" w:rsidRPr="00A809F1">
            <w:t>2</w:t>
          </w:r>
          <w:r w:rsidR="00000000" w:rsidRPr="00A809F1">
            <w:fldChar w:fldCharType="end"/>
          </w:r>
        </w:p>
        <w:p w14:paraId="0959FA4A" w14:textId="77777777" w:rsidR="00FD67EA" w:rsidRPr="00A809F1" w:rsidRDefault="00FD67EA" w:rsidP="007E7B5D">
          <w:pPr>
            <w:widowControl w:val="0"/>
            <w:tabs>
              <w:tab w:val="right" w:leader="dot" w:pos="9360"/>
            </w:tabs>
            <w:spacing w:before="60"/>
            <w:ind w:left="360"/>
            <w:jc w:val="left"/>
            <w:rPr>
              <w:color w:val="000000"/>
            </w:rPr>
          </w:pPr>
          <w:hyperlink w:anchor="_59990cf38s4e">
            <w:r w:rsidRPr="00A809F1">
              <w:rPr>
                <w:color w:val="000000"/>
              </w:rPr>
              <w:t>Relevance of Service Improvement to Health and Social Care</w:t>
            </w:r>
            <w:r w:rsidRPr="00A809F1">
              <w:rPr>
                <w:color w:val="000000"/>
              </w:rPr>
              <w:tab/>
            </w:r>
          </w:hyperlink>
          <w:r w:rsidR="00000000" w:rsidRPr="00A809F1">
            <w:fldChar w:fldCharType="begin"/>
          </w:r>
          <w:r w:rsidR="00000000" w:rsidRPr="00A809F1">
            <w:instrText xml:space="preserve"> PAGEREF _59990cf38s4e \h </w:instrText>
          </w:r>
          <w:r w:rsidR="00000000" w:rsidRPr="00A809F1">
            <w:fldChar w:fldCharType="separate"/>
          </w:r>
          <w:r w:rsidR="00000000" w:rsidRPr="00A809F1">
            <w:t>2</w:t>
          </w:r>
          <w:r w:rsidR="00000000" w:rsidRPr="00A809F1">
            <w:fldChar w:fldCharType="end"/>
          </w:r>
        </w:p>
        <w:p w14:paraId="5BE38D72" w14:textId="77777777" w:rsidR="00FD67EA" w:rsidRPr="00A809F1" w:rsidRDefault="00FD67EA" w:rsidP="007E7B5D">
          <w:pPr>
            <w:widowControl w:val="0"/>
            <w:tabs>
              <w:tab w:val="right" w:leader="dot" w:pos="9360"/>
            </w:tabs>
            <w:spacing w:before="60"/>
            <w:ind w:left="360"/>
            <w:jc w:val="left"/>
            <w:rPr>
              <w:color w:val="000000"/>
            </w:rPr>
          </w:pPr>
          <w:hyperlink w:anchor="_7u10pyr966vi">
            <w:r w:rsidRPr="00A809F1">
              <w:rPr>
                <w:color w:val="000000"/>
              </w:rPr>
              <w:t>Application of Analytical and Theoretical Tools</w:t>
            </w:r>
            <w:r w:rsidRPr="00A809F1">
              <w:rPr>
                <w:color w:val="000000"/>
              </w:rPr>
              <w:tab/>
            </w:r>
          </w:hyperlink>
          <w:r w:rsidR="00000000" w:rsidRPr="00A809F1">
            <w:fldChar w:fldCharType="begin"/>
          </w:r>
          <w:r w:rsidR="00000000" w:rsidRPr="00A809F1">
            <w:instrText xml:space="preserve"> PAGEREF _7u10pyr966vi \h </w:instrText>
          </w:r>
          <w:r w:rsidR="00000000" w:rsidRPr="00A809F1">
            <w:fldChar w:fldCharType="separate"/>
          </w:r>
          <w:r w:rsidR="00000000" w:rsidRPr="00A809F1">
            <w:t>3</w:t>
          </w:r>
          <w:r w:rsidR="00000000" w:rsidRPr="00A809F1">
            <w:fldChar w:fldCharType="end"/>
          </w:r>
        </w:p>
        <w:p w14:paraId="43B640D4" w14:textId="77777777" w:rsidR="00FD67EA" w:rsidRPr="00A809F1" w:rsidRDefault="00FD67EA" w:rsidP="007E7B5D">
          <w:pPr>
            <w:widowControl w:val="0"/>
            <w:tabs>
              <w:tab w:val="right" w:leader="dot" w:pos="9360"/>
            </w:tabs>
            <w:spacing w:before="60"/>
            <w:ind w:left="360"/>
            <w:jc w:val="left"/>
            <w:rPr>
              <w:color w:val="000000"/>
            </w:rPr>
          </w:pPr>
          <w:hyperlink w:anchor="_14j4n9vnpw6e">
            <w:r w:rsidRPr="00A809F1">
              <w:rPr>
                <w:color w:val="000000"/>
              </w:rPr>
              <w:t>Purpose and Importance of the Report</w:t>
            </w:r>
            <w:r w:rsidRPr="00A809F1">
              <w:rPr>
                <w:color w:val="000000"/>
              </w:rPr>
              <w:tab/>
            </w:r>
          </w:hyperlink>
          <w:r w:rsidR="00000000" w:rsidRPr="00A809F1">
            <w:fldChar w:fldCharType="begin"/>
          </w:r>
          <w:r w:rsidR="00000000" w:rsidRPr="00A809F1">
            <w:instrText xml:space="preserve"> PAGEREF _14j4n9vnpw6e \h </w:instrText>
          </w:r>
          <w:r w:rsidR="00000000" w:rsidRPr="00A809F1">
            <w:fldChar w:fldCharType="separate"/>
          </w:r>
          <w:r w:rsidR="00000000" w:rsidRPr="00A809F1">
            <w:t>3</w:t>
          </w:r>
          <w:r w:rsidR="00000000" w:rsidRPr="00A809F1">
            <w:fldChar w:fldCharType="end"/>
          </w:r>
        </w:p>
        <w:p w14:paraId="41E1ECDE" w14:textId="77777777" w:rsidR="00FD67EA" w:rsidRPr="00A809F1" w:rsidRDefault="00FD67EA" w:rsidP="007E7B5D">
          <w:pPr>
            <w:widowControl w:val="0"/>
            <w:tabs>
              <w:tab w:val="right" w:leader="dot" w:pos="9360"/>
            </w:tabs>
            <w:spacing w:before="60"/>
            <w:jc w:val="left"/>
            <w:rPr>
              <w:color w:val="000000"/>
            </w:rPr>
          </w:pPr>
          <w:hyperlink w:anchor="_wzue5vfh0uda">
            <w:r w:rsidRPr="00A809F1">
              <w:rPr>
                <w:color w:val="000000"/>
              </w:rPr>
              <w:t>Main Body-Critical Analysis and Theoretical Application</w:t>
            </w:r>
            <w:r w:rsidRPr="00A809F1">
              <w:rPr>
                <w:color w:val="000000"/>
              </w:rPr>
              <w:tab/>
            </w:r>
          </w:hyperlink>
          <w:r w:rsidR="00000000" w:rsidRPr="00A809F1">
            <w:fldChar w:fldCharType="begin"/>
          </w:r>
          <w:r w:rsidR="00000000" w:rsidRPr="00A809F1">
            <w:instrText xml:space="preserve"> PAGEREF _wzue5vfh0uda \h </w:instrText>
          </w:r>
          <w:r w:rsidR="00000000" w:rsidRPr="00A809F1">
            <w:fldChar w:fldCharType="separate"/>
          </w:r>
          <w:r w:rsidR="00000000" w:rsidRPr="00A809F1">
            <w:t>3</w:t>
          </w:r>
          <w:r w:rsidR="00000000" w:rsidRPr="00A809F1">
            <w:fldChar w:fldCharType="end"/>
          </w:r>
        </w:p>
        <w:p w14:paraId="1348D10D" w14:textId="77777777" w:rsidR="00FD67EA" w:rsidRPr="00A809F1" w:rsidRDefault="00FD67EA" w:rsidP="007E7B5D">
          <w:pPr>
            <w:widowControl w:val="0"/>
            <w:tabs>
              <w:tab w:val="right" w:leader="dot" w:pos="9360"/>
            </w:tabs>
            <w:spacing w:before="60"/>
            <w:ind w:left="360"/>
            <w:jc w:val="left"/>
            <w:rPr>
              <w:color w:val="000000"/>
            </w:rPr>
          </w:pPr>
          <w:hyperlink w:anchor="_hv1jib8yt8hn">
            <w:r w:rsidRPr="00A809F1">
              <w:rPr>
                <w:color w:val="000000"/>
              </w:rPr>
              <w:t>Background of the Issue</w:t>
            </w:r>
            <w:r w:rsidRPr="00A809F1">
              <w:rPr>
                <w:color w:val="000000"/>
              </w:rPr>
              <w:tab/>
            </w:r>
          </w:hyperlink>
          <w:r w:rsidR="00000000" w:rsidRPr="00A809F1">
            <w:fldChar w:fldCharType="begin"/>
          </w:r>
          <w:r w:rsidR="00000000" w:rsidRPr="00A809F1">
            <w:instrText xml:space="preserve"> PAGEREF _hv1jib8yt8hn \h </w:instrText>
          </w:r>
          <w:r w:rsidR="00000000" w:rsidRPr="00A809F1">
            <w:fldChar w:fldCharType="separate"/>
          </w:r>
          <w:r w:rsidR="00000000" w:rsidRPr="00A809F1">
            <w:t>3</w:t>
          </w:r>
          <w:r w:rsidR="00000000" w:rsidRPr="00A809F1">
            <w:fldChar w:fldCharType="end"/>
          </w:r>
        </w:p>
        <w:p w14:paraId="6B888F60" w14:textId="77777777" w:rsidR="00FD67EA" w:rsidRPr="00A809F1" w:rsidRDefault="00FD67EA" w:rsidP="007E7B5D">
          <w:pPr>
            <w:widowControl w:val="0"/>
            <w:tabs>
              <w:tab w:val="right" w:leader="dot" w:pos="9360"/>
            </w:tabs>
            <w:spacing w:before="60"/>
            <w:jc w:val="left"/>
            <w:rPr>
              <w:color w:val="000000"/>
            </w:rPr>
          </w:pPr>
          <w:hyperlink w:anchor="_a6ispaxw2n37">
            <w:r w:rsidRPr="00A809F1">
              <w:rPr>
                <w:color w:val="000000"/>
              </w:rPr>
              <w:t>Root Cause Analysis With Frameworks</w:t>
            </w:r>
            <w:r w:rsidRPr="00A809F1">
              <w:rPr>
                <w:color w:val="000000"/>
              </w:rPr>
              <w:tab/>
            </w:r>
          </w:hyperlink>
          <w:r w:rsidR="00000000" w:rsidRPr="00A809F1">
            <w:fldChar w:fldCharType="begin"/>
          </w:r>
          <w:r w:rsidR="00000000" w:rsidRPr="00A809F1">
            <w:instrText xml:space="preserve"> PAGEREF _a6ispaxw2n37 \h </w:instrText>
          </w:r>
          <w:r w:rsidR="00000000" w:rsidRPr="00A809F1">
            <w:fldChar w:fldCharType="separate"/>
          </w:r>
          <w:r w:rsidR="00000000" w:rsidRPr="00A809F1">
            <w:t>5</w:t>
          </w:r>
          <w:r w:rsidR="00000000" w:rsidRPr="00A809F1">
            <w:fldChar w:fldCharType="end"/>
          </w:r>
        </w:p>
        <w:p w14:paraId="70F143CB" w14:textId="77777777" w:rsidR="00FD67EA" w:rsidRPr="00A809F1" w:rsidRDefault="00FD67EA" w:rsidP="007E7B5D">
          <w:pPr>
            <w:widowControl w:val="0"/>
            <w:tabs>
              <w:tab w:val="right" w:leader="dot" w:pos="9360"/>
            </w:tabs>
            <w:spacing w:before="60"/>
            <w:ind w:left="360"/>
            <w:jc w:val="left"/>
            <w:rPr>
              <w:color w:val="000000"/>
            </w:rPr>
          </w:pPr>
          <w:hyperlink w:anchor="_1jo299lq0e7f">
            <w:r w:rsidRPr="00A809F1">
              <w:rPr>
                <w:color w:val="000000"/>
              </w:rPr>
              <w:t>Use of the Fishbone Diagram</w:t>
            </w:r>
            <w:r w:rsidRPr="00A809F1">
              <w:rPr>
                <w:color w:val="000000"/>
              </w:rPr>
              <w:tab/>
            </w:r>
          </w:hyperlink>
          <w:r w:rsidR="00000000" w:rsidRPr="00A809F1">
            <w:fldChar w:fldCharType="begin"/>
          </w:r>
          <w:r w:rsidR="00000000" w:rsidRPr="00A809F1">
            <w:instrText xml:space="preserve"> PAGEREF _1jo299lq0e7f \h </w:instrText>
          </w:r>
          <w:r w:rsidR="00000000" w:rsidRPr="00A809F1">
            <w:fldChar w:fldCharType="separate"/>
          </w:r>
          <w:r w:rsidR="00000000" w:rsidRPr="00A809F1">
            <w:t>5</w:t>
          </w:r>
          <w:r w:rsidR="00000000" w:rsidRPr="00A809F1">
            <w:fldChar w:fldCharType="end"/>
          </w:r>
        </w:p>
        <w:p w14:paraId="72C2AE91" w14:textId="77777777" w:rsidR="00FD67EA" w:rsidRPr="00A809F1" w:rsidRDefault="00FD67EA" w:rsidP="007E7B5D">
          <w:pPr>
            <w:widowControl w:val="0"/>
            <w:tabs>
              <w:tab w:val="right" w:leader="dot" w:pos="9360"/>
            </w:tabs>
            <w:spacing w:before="60"/>
            <w:ind w:left="360"/>
            <w:jc w:val="left"/>
            <w:rPr>
              <w:color w:val="000000"/>
            </w:rPr>
          </w:pPr>
          <w:hyperlink w:anchor="_fyl7eb65uca7">
            <w:r w:rsidRPr="00A809F1">
              <w:rPr>
                <w:color w:val="000000"/>
              </w:rPr>
              <w:t>Application of the Five Whys</w:t>
            </w:r>
            <w:r w:rsidRPr="00A809F1">
              <w:rPr>
                <w:color w:val="000000"/>
              </w:rPr>
              <w:tab/>
            </w:r>
          </w:hyperlink>
          <w:r w:rsidR="00000000" w:rsidRPr="00A809F1">
            <w:fldChar w:fldCharType="begin"/>
          </w:r>
          <w:r w:rsidR="00000000" w:rsidRPr="00A809F1">
            <w:instrText xml:space="preserve"> PAGEREF _fyl7eb65uca7 \h </w:instrText>
          </w:r>
          <w:r w:rsidR="00000000" w:rsidRPr="00A809F1">
            <w:fldChar w:fldCharType="separate"/>
          </w:r>
          <w:r w:rsidR="00000000" w:rsidRPr="00A809F1">
            <w:t>6</w:t>
          </w:r>
          <w:r w:rsidR="00000000" w:rsidRPr="00A809F1">
            <w:fldChar w:fldCharType="end"/>
          </w:r>
        </w:p>
        <w:p w14:paraId="31AFD934" w14:textId="77777777" w:rsidR="00FD67EA" w:rsidRPr="00A809F1" w:rsidRDefault="00FD67EA" w:rsidP="007E7B5D">
          <w:pPr>
            <w:widowControl w:val="0"/>
            <w:tabs>
              <w:tab w:val="right" w:leader="dot" w:pos="9360"/>
            </w:tabs>
            <w:spacing w:before="60"/>
            <w:ind w:left="360"/>
            <w:jc w:val="left"/>
            <w:rPr>
              <w:color w:val="000000"/>
            </w:rPr>
          </w:pPr>
          <w:hyperlink w:anchor="_ungiaw1w386y">
            <w:r w:rsidRPr="00A809F1">
              <w:rPr>
                <w:color w:val="000000"/>
              </w:rPr>
              <w:t>Application of the Swiss Cheese Model</w:t>
            </w:r>
            <w:r w:rsidRPr="00A809F1">
              <w:rPr>
                <w:color w:val="000000"/>
              </w:rPr>
              <w:tab/>
            </w:r>
          </w:hyperlink>
          <w:r w:rsidR="00000000" w:rsidRPr="00A809F1">
            <w:fldChar w:fldCharType="begin"/>
          </w:r>
          <w:r w:rsidR="00000000" w:rsidRPr="00A809F1">
            <w:instrText xml:space="preserve"> PAGEREF _ungiaw1w386y \h </w:instrText>
          </w:r>
          <w:r w:rsidR="00000000" w:rsidRPr="00A809F1">
            <w:fldChar w:fldCharType="separate"/>
          </w:r>
          <w:r w:rsidR="00000000" w:rsidRPr="00A809F1">
            <w:t>6</w:t>
          </w:r>
          <w:r w:rsidR="00000000" w:rsidRPr="00A809F1">
            <w:fldChar w:fldCharType="end"/>
          </w:r>
        </w:p>
        <w:p w14:paraId="422C625A" w14:textId="77777777" w:rsidR="00FD67EA" w:rsidRPr="00A809F1" w:rsidRDefault="00FD67EA" w:rsidP="007E7B5D">
          <w:pPr>
            <w:widowControl w:val="0"/>
            <w:tabs>
              <w:tab w:val="right" w:leader="dot" w:pos="9360"/>
            </w:tabs>
            <w:spacing w:before="60"/>
            <w:jc w:val="left"/>
            <w:rPr>
              <w:color w:val="000000"/>
            </w:rPr>
          </w:pPr>
          <w:hyperlink w:anchor="_3ulk73l4zl8s">
            <w:r w:rsidRPr="00A809F1">
              <w:rPr>
                <w:color w:val="000000"/>
              </w:rPr>
              <w:t>Quality Evaluation: The Donabedian Model</w:t>
            </w:r>
            <w:r w:rsidRPr="00A809F1">
              <w:rPr>
                <w:color w:val="000000"/>
              </w:rPr>
              <w:tab/>
            </w:r>
          </w:hyperlink>
          <w:r w:rsidR="00000000" w:rsidRPr="00A809F1">
            <w:fldChar w:fldCharType="begin"/>
          </w:r>
          <w:r w:rsidR="00000000" w:rsidRPr="00A809F1">
            <w:instrText xml:space="preserve"> PAGEREF _3ulk73l4zl8s \h </w:instrText>
          </w:r>
          <w:r w:rsidR="00000000" w:rsidRPr="00A809F1">
            <w:fldChar w:fldCharType="separate"/>
          </w:r>
          <w:r w:rsidR="00000000" w:rsidRPr="00A809F1">
            <w:t>7</w:t>
          </w:r>
          <w:r w:rsidR="00000000" w:rsidRPr="00A809F1">
            <w:fldChar w:fldCharType="end"/>
          </w:r>
        </w:p>
        <w:p w14:paraId="3BC5F4F5" w14:textId="77777777" w:rsidR="00FD67EA" w:rsidRPr="00A809F1" w:rsidRDefault="00FD67EA" w:rsidP="007E7B5D">
          <w:pPr>
            <w:widowControl w:val="0"/>
            <w:tabs>
              <w:tab w:val="right" w:leader="dot" w:pos="9360"/>
            </w:tabs>
            <w:spacing w:before="60"/>
            <w:ind w:left="360"/>
            <w:jc w:val="left"/>
            <w:rPr>
              <w:color w:val="000000"/>
            </w:rPr>
          </w:pPr>
          <w:hyperlink w:anchor="_oj4kvm2crv85">
            <w:r w:rsidRPr="00A809F1">
              <w:rPr>
                <w:color w:val="000000"/>
              </w:rPr>
              <w:t>Structural Weaknesses</w:t>
            </w:r>
            <w:r w:rsidRPr="00A809F1">
              <w:rPr>
                <w:color w:val="000000"/>
              </w:rPr>
              <w:tab/>
            </w:r>
          </w:hyperlink>
          <w:r w:rsidR="00000000" w:rsidRPr="00A809F1">
            <w:fldChar w:fldCharType="begin"/>
          </w:r>
          <w:r w:rsidR="00000000" w:rsidRPr="00A809F1">
            <w:instrText xml:space="preserve"> PAGEREF _oj4kvm2crv85 \h </w:instrText>
          </w:r>
          <w:r w:rsidR="00000000" w:rsidRPr="00A809F1">
            <w:fldChar w:fldCharType="separate"/>
          </w:r>
          <w:r w:rsidR="00000000" w:rsidRPr="00A809F1">
            <w:t>7</w:t>
          </w:r>
          <w:r w:rsidR="00000000" w:rsidRPr="00A809F1">
            <w:fldChar w:fldCharType="end"/>
          </w:r>
        </w:p>
        <w:p w14:paraId="345321D0" w14:textId="77777777" w:rsidR="00FD67EA" w:rsidRPr="00A809F1" w:rsidRDefault="00FD67EA" w:rsidP="007E7B5D">
          <w:pPr>
            <w:widowControl w:val="0"/>
            <w:tabs>
              <w:tab w:val="right" w:leader="dot" w:pos="9360"/>
            </w:tabs>
            <w:spacing w:before="60"/>
            <w:ind w:left="360"/>
            <w:jc w:val="left"/>
            <w:rPr>
              <w:color w:val="000000"/>
            </w:rPr>
          </w:pPr>
          <w:hyperlink w:anchor="_5n4vkmgczqus">
            <w:r w:rsidRPr="00A809F1">
              <w:rPr>
                <w:color w:val="000000"/>
              </w:rPr>
              <w:t>Process Failures</w:t>
            </w:r>
            <w:r w:rsidRPr="00A809F1">
              <w:rPr>
                <w:color w:val="000000"/>
              </w:rPr>
              <w:tab/>
            </w:r>
          </w:hyperlink>
          <w:r w:rsidR="00000000" w:rsidRPr="00A809F1">
            <w:fldChar w:fldCharType="begin"/>
          </w:r>
          <w:r w:rsidR="00000000" w:rsidRPr="00A809F1">
            <w:instrText xml:space="preserve"> PAGEREF _5n4vkmgczqus \h </w:instrText>
          </w:r>
          <w:r w:rsidR="00000000" w:rsidRPr="00A809F1">
            <w:fldChar w:fldCharType="separate"/>
          </w:r>
          <w:r w:rsidR="00000000" w:rsidRPr="00A809F1">
            <w:t>7</w:t>
          </w:r>
          <w:r w:rsidR="00000000" w:rsidRPr="00A809F1">
            <w:fldChar w:fldCharType="end"/>
          </w:r>
        </w:p>
        <w:p w14:paraId="7444F4FD" w14:textId="77777777" w:rsidR="00FD67EA" w:rsidRPr="00A809F1" w:rsidRDefault="00FD67EA" w:rsidP="007E7B5D">
          <w:pPr>
            <w:widowControl w:val="0"/>
            <w:tabs>
              <w:tab w:val="right" w:leader="dot" w:pos="9360"/>
            </w:tabs>
            <w:spacing w:before="60"/>
            <w:ind w:left="360"/>
            <w:jc w:val="left"/>
            <w:rPr>
              <w:color w:val="000000"/>
            </w:rPr>
          </w:pPr>
          <w:hyperlink w:anchor="_6e4ibl7kgqwy">
            <w:r w:rsidRPr="00A809F1">
              <w:rPr>
                <w:color w:val="000000"/>
              </w:rPr>
              <w:t>Outcome Failures</w:t>
            </w:r>
            <w:r w:rsidRPr="00A809F1">
              <w:rPr>
                <w:color w:val="000000"/>
              </w:rPr>
              <w:tab/>
            </w:r>
          </w:hyperlink>
          <w:r w:rsidR="00000000" w:rsidRPr="00A809F1">
            <w:fldChar w:fldCharType="begin"/>
          </w:r>
          <w:r w:rsidR="00000000" w:rsidRPr="00A809F1">
            <w:instrText xml:space="preserve"> PAGEREF _6e4ibl7kgqwy \h </w:instrText>
          </w:r>
          <w:r w:rsidR="00000000" w:rsidRPr="00A809F1">
            <w:fldChar w:fldCharType="separate"/>
          </w:r>
          <w:r w:rsidR="00000000" w:rsidRPr="00A809F1">
            <w:t>7</w:t>
          </w:r>
          <w:r w:rsidR="00000000" w:rsidRPr="00A809F1">
            <w:fldChar w:fldCharType="end"/>
          </w:r>
        </w:p>
        <w:p w14:paraId="1477723E" w14:textId="77777777" w:rsidR="00FD67EA" w:rsidRPr="00A809F1" w:rsidRDefault="00FD67EA" w:rsidP="007E7B5D">
          <w:pPr>
            <w:widowControl w:val="0"/>
            <w:tabs>
              <w:tab w:val="right" w:leader="dot" w:pos="9360"/>
            </w:tabs>
            <w:spacing w:before="60"/>
            <w:jc w:val="left"/>
            <w:rPr>
              <w:color w:val="000000"/>
            </w:rPr>
          </w:pPr>
          <w:hyperlink w:anchor="_4ect7ykx3y8x">
            <w:r w:rsidRPr="00A809F1">
              <w:rPr>
                <w:color w:val="000000"/>
              </w:rPr>
              <w:t>PESTLE Strategic Planning Analysis</w:t>
            </w:r>
            <w:r w:rsidRPr="00A809F1">
              <w:rPr>
                <w:color w:val="000000"/>
              </w:rPr>
              <w:tab/>
            </w:r>
          </w:hyperlink>
          <w:r w:rsidR="00000000" w:rsidRPr="00A809F1">
            <w:fldChar w:fldCharType="begin"/>
          </w:r>
          <w:r w:rsidR="00000000" w:rsidRPr="00A809F1">
            <w:instrText xml:space="preserve"> PAGEREF _4ect7ykx3y8x \h </w:instrText>
          </w:r>
          <w:r w:rsidR="00000000" w:rsidRPr="00A809F1">
            <w:fldChar w:fldCharType="separate"/>
          </w:r>
          <w:r w:rsidR="00000000" w:rsidRPr="00A809F1">
            <w:t>7</w:t>
          </w:r>
          <w:r w:rsidR="00000000" w:rsidRPr="00A809F1">
            <w:fldChar w:fldCharType="end"/>
          </w:r>
        </w:p>
        <w:p w14:paraId="45667064" w14:textId="77777777" w:rsidR="00FD67EA" w:rsidRPr="00A809F1" w:rsidRDefault="00FD67EA" w:rsidP="007E7B5D">
          <w:pPr>
            <w:widowControl w:val="0"/>
            <w:tabs>
              <w:tab w:val="right" w:leader="dot" w:pos="9360"/>
            </w:tabs>
            <w:spacing w:before="60"/>
            <w:ind w:left="360"/>
            <w:jc w:val="left"/>
            <w:rPr>
              <w:color w:val="000000"/>
            </w:rPr>
          </w:pPr>
          <w:hyperlink w:anchor="_3eylp2wxtdfj">
            <w:r w:rsidRPr="00A809F1">
              <w:rPr>
                <w:color w:val="000000"/>
              </w:rPr>
              <w:t>Political and Policy Situation</w:t>
            </w:r>
            <w:r w:rsidRPr="00A809F1">
              <w:rPr>
                <w:color w:val="000000"/>
              </w:rPr>
              <w:tab/>
            </w:r>
          </w:hyperlink>
          <w:r w:rsidR="00000000" w:rsidRPr="00A809F1">
            <w:fldChar w:fldCharType="begin"/>
          </w:r>
          <w:r w:rsidR="00000000" w:rsidRPr="00A809F1">
            <w:instrText xml:space="preserve"> PAGEREF _3eylp2wxtdfj \h </w:instrText>
          </w:r>
          <w:r w:rsidR="00000000" w:rsidRPr="00A809F1">
            <w:fldChar w:fldCharType="separate"/>
          </w:r>
          <w:r w:rsidR="00000000" w:rsidRPr="00A809F1">
            <w:t>7</w:t>
          </w:r>
          <w:r w:rsidR="00000000" w:rsidRPr="00A809F1">
            <w:fldChar w:fldCharType="end"/>
          </w:r>
        </w:p>
        <w:p w14:paraId="05F28B31" w14:textId="77777777" w:rsidR="00FD67EA" w:rsidRPr="00A809F1" w:rsidRDefault="00FD67EA" w:rsidP="007E7B5D">
          <w:pPr>
            <w:widowControl w:val="0"/>
            <w:tabs>
              <w:tab w:val="right" w:leader="dot" w:pos="9360"/>
            </w:tabs>
            <w:spacing w:before="60"/>
            <w:ind w:left="360"/>
            <w:jc w:val="left"/>
            <w:rPr>
              <w:color w:val="000000"/>
            </w:rPr>
          </w:pPr>
          <w:hyperlink w:anchor="_t4gk4ylie5hs">
            <w:r w:rsidRPr="00A809F1">
              <w:rPr>
                <w:color w:val="000000"/>
              </w:rPr>
              <w:t>Economic and Organisational Pressures</w:t>
            </w:r>
            <w:r w:rsidRPr="00A809F1">
              <w:rPr>
                <w:color w:val="000000"/>
              </w:rPr>
              <w:tab/>
            </w:r>
          </w:hyperlink>
          <w:r w:rsidR="00000000" w:rsidRPr="00A809F1">
            <w:fldChar w:fldCharType="begin"/>
          </w:r>
          <w:r w:rsidR="00000000" w:rsidRPr="00A809F1">
            <w:instrText xml:space="preserve"> PAGEREF _t4gk4ylie5hs \h </w:instrText>
          </w:r>
          <w:r w:rsidR="00000000" w:rsidRPr="00A809F1">
            <w:fldChar w:fldCharType="separate"/>
          </w:r>
          <w:r w:rsidR="00000000" w:rsidRPr="00A809F1">
            <w:t>8</w:t>
          </w:r>
          <w:r w:rsidR="00000000" w:rsidRPr="00A809F1">
            <w:fldChar w:fldCharType="end"/>
          </w:r>
        </w:p>
        <w:p w14:paraId="44D288A1" w14:textId="77777777" w:rsidR="00FD67EA" w:rsidRPr="00A809F1" w:rsidRDefault="00FD67EA" w:rsidP="007E7B5D">
          <w:pPr>
            <w:widowControl w:val="0"/>
            <w:tabs>
              <w:tab w:val="right" w:leader="dot" w:pos="9360"/>
            </w:tabs>
            <w:spacing w:before="60"/>
            <w:ind w:left="360"/>
            <w:jc w:val="left"/>
            <w:rPr>
              <w:color w:val="000000"/>
            </w:rPr>
          </w:pPr>
          <w:hyperlink w:anchor="_pnpbxfr12e8i">
            <w:r w:rsidRPr="00A809F1">
              <w:rPr>
                <w:color w:val="000000"/>
              </w:rPr>
              <w:t>Social and Cultural Factors</w:t>
            </w:r>
            <w:r w:rsidRPr="00A809F1">
              <w:rPr>
                <w:color w:val="000000"/>
              </w:rPr>
              <w:tab/>
            </w:r>
          </w:hyperlink>
          <w:r w:rsidR="00000000" w:rsidRPr="00A809F1">
            <w:fldChar w:fldCharType="begin"/>
          </w:r>
          <w:r w:rsidR="00000000" w:rsidRPr="00A809F1">
            <w:instrText xml:space="preserve"> PAGEREF _pnpbxfr12e8i \h </w:instrText>
          </w:r>
          <w:r w:rsidR="00000000" w:rsidRPr="00A809F1">
            <w:fldChar w:fldCharType="separate"/>
          </w:r>
          <w:r w:rsidR="00000000" w:rsidRPr="00A809F1">
            <w:t>8</w:t>
          </w:r>
          <w:r w:rsidR="00000000" w:rsidRPr="00A809F1">
            <w:fldChar w:fldCharType="end"/>
          </w:r>
        </w:p>
        <w:p w14:paraId="5BD05A4F" w14:textId="77777777" w:rsidR="00FD67EA" w:rsidRPr="00A809F1" w:rsidRDefault="00FD67EA" w:rsidP="007E7B5D">
          <w:pPr>
            <w:widowControl w:val="0"/>
            <w:tabs>
              <w:tab w:val="right" w:leader="dot" w:pos="9360"/>
            </w:tabs>
            <w:spacing w:before="60"/>
            <w:ind w:left="360"/>
            <w:jc w:val="left"/>
            <w:rPr>
              <w:color w:val="000000"/>
            </w:rPr>
          </w:pPr>
          <w:hyperlink w:anchor="_2rptpo6zujnf">
            <w:r w:rsidRPr="00A809F1">
              <w:rPr>
                <w:color w:val="000000"/>
              </w:rPr>
              <w:t>Technological and Legal Issues</w:t>
            </w:r>
            <w:r w:rsidRPr="00A809F1">
              <w:rPr>
                <w:color w:val="000000"/>
              </w:rPr>
              <w:tab/>
            </w:r>
          </w:hyperlink>
          <w:r w:rsidR="00000000" w:rsidRPr="00A809F1">
            <w:fldChar w:fldCharType="begin"/>
          </w:r>
          <w:r w:rsidR="00000000" w:rsidRPr="00A809F1">
            <w:instrText xml:space="preserve"> PAGEREF _2rptpo6zujnf \h </w:instrText>
          </w:r>
          <w:r w:rsidR="00000000" w:rsidRPr="00A809F1">
            <w:fldChar w:fldCharType="separate"/>
          </w:r>
          <w:r w:rsidR="00000000" w:rsidRPr="00A809F1">
            <w:t>8</w:t>
          </w:r>
          <w:r w:rsidR="00000000" w:rsidRPr="00A809F1">
            <w:fldChar w:fldCharType="end"/>
          </w:r>
        </w:p>
        <w:p w14:paraId="63257006" w14:textId="77777777" w:rsidR="00FD67EA" w:rsidRPr="00A809F1" w:rsidRDefault="00FD67EA" w:rsidP="007E7B5D">
          <w:pPr>
            <w:widowControl w:val="0"/>
            <w:tabs>
              <w:tab w:val="right" w:leader="dot" w:pos="9360"/>
            </w:tabs>
            <w:spacing w:before="60"/>
            <w:jc w:val="left"/>
            <w:rPr>
              <w:color w:val="000000"/>
            </w:rPr>
          </w:pPr>
          <w:hyperlink w:anchor="_y4s0ttr4w7vz">
            <w:r w:rsidRPr="00A809F1">
              <w:rPr>
                <w:color w:val="000000"/>
              </w:rPr>
              <w:t>Recommendations</w:t>
            </w:r>
            <w:r w:rsidRPr="00A809F1">
              <w:rPr>
                <w:color w:val="000000"/>
              </w:rPr>
              <w:tab/>
            </w:r>
          </w:hyperlink>
          <w:r w:rsidR="00000000" w:rsidRPr="00A809F1">
            <w:fldChar w:fldCharType="begin"/>
          </w:r>
          <w:r w:rsidR="00000000" w:rsidRPr="00A809F1">
            <w:instrText xml:space="preserve"> PAGEREF _y4s0ttr4w7vz \h </w:instrText>
          </w:r>
          <w:r w:rsidR="00000000" w:rsidRPr="00A809F1">
            <w:fldChar w:fldCharType="separate"/>
          </w:r>
          <w:r w:rsidR="00000000" w:rsidRPr="00A809F1">
            <w:t>8</w:t>
          </w:r>
          <w:r w:rsidR="00000000" w:rsidRPr="00A809F1">
            <w:fldChar w:fldCharType="end"/>
          </w:r>
        </w:p>
        <w:p w14:paraId="2E478287" w14:textId="77777777" w:rsidR="00FD67EA" w:rsidRPr="00A809F1" w:rsidRDefault="00FD67EA" w:rsidP="007E7B5D">
          <w:pPr>
            <w:widowControl w:val="0"/>
            <w:tabs>
              <w:tab w:val="right" w:leader="dot" w:pos="9360"/>
            </w:tabs>
            <w:spacing w:before="60"/>
            <w:ind w:left="360"/>
            <w:jc w:val="left"/>
            <w:rPr>
              <w:color w:val="000000"/>
            </w:rPr>
          </w:pPr>
          <w:hyperlink w:anchor="_xzbgw2eublla">
            <w:r w:rsidRPr="00A809F1">
              <w:rPr>
                <w:color w:val="000000"/>
              </w:rPr>
              <w:t>Short-term correctional measures</w:t>
            </w:r>
            <w:r w:rsidRPr="00A809F1">
              <w:rPr>
                <w:color w:val="000000"/>
              </w:rPr>
              <w:tab/>
            </w:r>
          </w:hyperlink>
          <w:r w:rsidR="00000000" w:rsidRPr="00A809F1">
            <w:fldChar w:fldCharType="begin"/>
          </w:r>
          <w:r w:rsidR="00000000" w:rsidRPr="00A809F1">
            <w:instrText xml:space="preserve"> PAGEREF _xzbgw2eublla \h </w:instrText>
          </w:r>
          <w:r w:rsidR="00000000" w:rsidRPr="00A809F1">
            <w:fldChar w:fldCharType="separate"/>
          </w:r>
          <w:r w:rsidR="00000000" w:rsidRPr="00A809F1">
            <w:t>8</w:t>
          </w:r>
          <w:r w:rsidR="00000000" w:rsidRPr="00A809F1">
            <w:fldChar w:fldCharType="end"/>
          </w:r>
        </w:p>
        <w:p w14:paraId="0867418C" w14:textId="77777777" w:rsidR="00FD67EA" w:rsidRPr="00A809F1" w:rsidRDefault="00FD67EA" w:rsidP="007E7B5D">
          <w:pPr>
            <w:widowControl w:val="0"/>
            <w:tabs>
              <w:tab w:val="right" w:leader="dot" w:pos="9360"/>
            </w:tabs>
            <w:spacing w:before="60"/>
            <w:ind w:left="360"/>
            <w:jc w:val="left"/>
            <w:rPr>
              <w:color w:val="000000"/>
            </w:rPr>
          </w:pPr>
          <w:hyperlink w:anchor="_mdvcr1vs4j79">
            <w:r w:rsidRPr="00A809F1">
              <w:rPr>
                <w:color w:val="000000"/>
              </w:rPr>
              <w:t>Strategic Improvements in the Long Term</w:t>
            </w:r>
            <w:r w:rsidRPr="00A809F1">
              <w:rPr>
                <w:color w:val="000000"/>
              </w:rPr>
              <w:tab/>
            </w:r>
          </w:hyperlink>
          <w:r w:rsidR="00000000" w:rsidRPr="00A809F1">
            <w:fldChar w:fldCharType="begin"/>
          </w:r>
          <w:r w:rsidR="00000000" w:rsidRPr="00A809F1">
            <w:instrText xml:space="preserve"> PAGEREF _mdvcr1vs4j79 \h </w:instrText>
          </w:r>
          <w:r w:rsidR="00000000" w:rsidRPr="00A809F1">
            <w:fldChar w:fldCharType="separate"/>
          </w:r>
          <w:r w:rsidR="00000000" w:rsidRPr="00A809F1">
            <w:t>9</w:t>
          </w:r>
          <w:r w:rsidR="00000000" w:rsidRPr="00A809F1">
            <w:fldChar w:fldCharType="end"/>
          </w:r>
        </w:p>
        <w:p w14:paraId="7C4A5CCA" w14:textId="77777777" w:rsidR="00FD67EA" w:rsidRPr="00A809F1" w:rsidRDefault="00FD67EA" w:rsidP="007E7B5D">
          <w:pPr>
            <w:widowControl w:val="0"/>
            <w:tabs>
              <w:tab w:val="right" w:leader="dot" w:pos="9360"/>
            </w:tabs>
            <w:spacing w:before="60"/>
            <w:ind w:left="360"/>
            <w:jc w:val="left"/>
            <w:rPr>
              <w:color w:val="000000"/>
            </w:rPr>
          </w:pPr>
          <w:hyperlink w:anchor="_ohkvugbm5lmb">
            <w:r w:rsidRPr="00A809F1">
              <w:rPr>
                <w:color w:val="000000"/>
              </w:rPr>
              <w:t>Strategy to implement with the help of the PDSA model</w:t>
            </w:r>
            <w:r w:rsidRPr="00A809F1">
              <w:rPr>
                <w:color w:val="000000"/>
              </w:rPr>
              <w:tab/>
            </w:r>
          </w:hyperlink>
          <w:r w:rsidR="00000000" w:rsidRPr="00A809F1">
            <w:fldChar w:fldCharType="begin"/>
          </w:r>
          <w:r w:rsidR="00000000" w:rsidRPr="00A809F1">
            <w:instrText xml:space="preserve"> PAGEREF _ohkvugbm5lmb \h </w:instrText>
          </w:r>
          <w:r w:rsidR="00000000" w:rsidRPr="00A809F1">
            <w:fldChar w:fldCharType="separate"/>
          </w:r>
          <w:r w:rsidR="00000000" w:rsidRPr="00A809F1">
            <w:t>10</w:t>
          </w:r>
          <w:r w:rsidR="00000000" w:rsidRPr="00A809F1">
            <w:fldChar w:fldCharType="end"/>
          </w:r>
        </w:p>
        <w:p w14:paraId="4BD6B5C8" w14:textId="77777777" w:rsidR="00FD67EA" w:rsidRPr="00A809F1" w:rsidRDefault="00FD67EA" w:rsidP="007E7B5D">
          <w:pPr>
            <w:widowControl w:val="0"/>
            <w:tabs>
              <w:tab w:val="right" w:leader="dot" w:pos="9360"/>
            </w:tabs>
            <w:spacing w:before="60"/>
            <w:jc w:val="left"/>
            <w:rPr>
              <w:color w:val="000000"/>
            </w:rPr>
          </w:pPr>
          <w:hyperlink w:anchor="_9ev4yt145qre">
            <w:r w:rsidRPr="00A809F1">
              <w:rPr>
                <w:color w:val="000000"/>
              </w:rPr>
              <w:t>Conclusion</w:t>
            </w:r>
            <w:r w:rsidRPr="00A809F1">
              <w:rPr>
                <w:color w:val="000000"/>
              </w:rPr>
              <w:tab/>
            </w:r>
          </w:hyperlink>
          <w:r w:rsidR="00000000" w:rsidRPr="00A809F1">
            <w:fldChar w:fldCharType="begin"/>
          </w:r>
          <w:r w:rsidR="00000000" w:rsidRPr="00A809F1">
            <w:instrText xml:space="preserve"> PAGEREF _9ev4yt145qre \h </w:instrText>
          </w:r>
          <w:r w:rsidR="00000000" w:rsidRPr="00A809F1">
            <w:fldChar w:fldCharType="separate"/>
          </w:r>
          <w:r w:rsidR="00000000" w:rsidRPr="00A809F1">
            <w:t>10</w:t>
          </w:r>
          <w:r w:rsidR="00000000" w:rsidRPr="00A809F1">
            <w:fldChar w:fldCharType="end"/>
          </w:r>
        </w:p>
        <w:p w14:paraId="07089200" w14:textId="77777777" w:rsidR="00FD67EA" w:rsidRPr="00A809F1" w:rsidRDefault="00FD67EA" w:rsidP="007E7B5D">
          <w:pPr>
            <w:widowControl w:val="0"/>
            <w:tabs>
              <w:tab w:val="right" w:leader="dot" w:pos="9360"/>
            </w:tabs>
            <w:spacing w:before="60"/>
            <w:jc w:val="left"/>
            <w:rPr>
              <w:color w:val="000000"/>
            </w:rPr>
          </w:pPr>
          <w:hyperlink w:anchor="_srvdmcm74cnk">
            <w:r w:rsidRPr="00A809F1">
              <w:rPr>
                <w:color w:val="000000"/>
              </w:rPr>
              <w:t>References</w:t>
            </w:r>
            <w:r w:rsidRPr="00A809F1">
              <w:rPr>
                <w:color w:val="000000"/>
              </w:rPr>
              <w:tab/>
            </w:r>
          </w:hyperlink>
          <w:r w:rsidR="00000000" w:rsidRPr="00A809F1">
            <w:fldChar w:fldCharType="begin"/>
          </w:r>
          <w:r w:rsidR="00000000" w:rsidRPr="00A809F1">
            <w:instrText xml:space="preserve"> PAGEREF _srvdmcm74cnk \h </w:instrText>
          </w:r>
          <w:r w:rsidR="00000000" w:rsidRPr="00A809F1">
            <w:fldChar w:fldCharType="separate"/>
          </w:r>
          <w:r w:rsidR="00000000" w:rsidRPr="00A809F1">
            <w:t>11</w:t>
          </w:r>
          <w:r w:rsidR="00000000" w:rsidRPr="00A809F1">
            <w:fldChar w:fldCharType="end"/>
          </w:r>
          <w:r w:rsidR="00000000" w:rsidRPr="00A809F1">
            <w:fldChar w:fldCharType="end"/>
          </w:r>
        </w:p>
      </w:sdtContent>
    </w:sdt>
    <w:p w14:paraId="6ED5C364" w14:textId="77777777" w:rsidR="00FD67EA" w:rsidRDefault="00000000" w:rsidP="007E7B5D">
      <w:r>
        <w:br w:type="page"/>
      </w:r>
    </w:p>
    <w:p w14:paraId="19B5D8C7" w14:textId="77777777" w:rsidR="00FD67EA" w:rsidRDefault="00000000">
      <w:pPr>
        <w:pStyle w:val="Heading1"/>
      </w:pPr>
      <w:bookmarkStart w:id="0" w:name="_yonil99f2s2" w:colFirst="0" w:colLast="0"/>
      <w:bookmarkEnd w:id="0"/>
      <w:r>
        <w:lastRenderedPageBreak/>
        <w:t>Introduction</w:t>
      </w:r>
    </w:p>
    <w:p w14:paraId="704A1119" w14:textId="77777777" w:rsidR="00FD67EA" w:rsidRDefault="00000000">
      <w:pPr>
        <w:pStyle w:val="Heading2"/>
      </w:pPr>
      <w:bookmarkStart w:id="1" w:name="_z31y3e2jj36j" w:colFirst="0" w:colLast="0"/>
      <w:bookmarkEnd w:id="1"/>
      <w:r>
        <w:t>Context and Background</w:t>
      </w:r>
    </w:p>
    <w:p w14:paraId="647EDEDF" w14:textId="77777777" w:rsidR="00FD67EA" w:rsidRDefault="00000000">
      <w:r>
        <w:t>The Lucy Letby case is one of the most egregious patient-safety incidents in the history of the contemporary NHS and has cast a pressing challenge to the organisational accountability, governance, and clinical oversight in the neonatal services. A trend of intriguingly unexplainable worsening and fatalities in the neonatal unit of the Countess of Chester Hospital had been observed in 2015-2016, and despite a greater clinical concern, the system did not act at the right time, leading to preventable harm and the inability of the protective mechanisms. The case pointed to the system's frailty, and the failure of several safety layers of protection, namely clinical reporting, leadership action, regulatory escalation and cultural openness, all concurrently. It has been highlighted in the recent literature that preventable harm is more probable in high-risk clinical settings in which patient-safety structures are not ingrained as systemic priorities (Holcombe, 2023).</w:t>
      </w:r>
    </w:p>
    <w:p w14:paraId="7238F557" w14:textId="77777777" w:rsidR="00FD67EA" w:rsidRDefault="00000000">
      <w:pPr>
        <w:pStyle w:val="Heading2"/>
      </w:pPr>
      <w:bookmarkStart w:id="2" w:name="_8ccjqsbx5v8t" w:colFirst="0" w:colLast="0"/>
      <w:bookmarkEnd w:id="2"/>
      <w:r>
        <w:t>Problem Identification</w:t>
      </w:r>
    </w:p>
    <w:p w14:paraId="0E28ECC4" w14:textId="77777777" w:rsidR="00FD67EA" w:rsidRDefault="00000000">
      <w:r>
        <w:t>Evaluation of evidence available indicates that the fundamental issue was not the misconduct of individuals but was caused by structural failures in governance, organisational learning, whistleblowing mechanisms, risk management, and safety culture. Employee issues were ignored, reporting processes were poor, and regulatory responses were not responsive, and this led to the persistence of harm. This shows a lack of leadership responsibility, an increase in the incidence and internal clinical governance, major aspects of quality assurance in healthcare. Studies have been growing more focused on the idea that patient-safety incidents can hardly be caused by single malpractices but rather manifest as a consequence of maladjusted systems, inefficient communication, and inefficient management procedures (Capper, Ferguson and Muurlink, 2024).</w:t>
      </w:r>
    </w:p>
    <w:p w14:paraId="530FCCE1" w14:textId="77777777" w:rsidR="00FD67EA" w:rsidRDefault="00000000">
      <w:pPr>
        <w:pStyle w:val="Heading2"/>
      </w:pPr>
      <w:bookmarkStart w:id="3" w:name="_59990cf38s4e" w:colFirst="0" w:colLast="0"/>
      <w:bookmarkEnd w:id="3"/>
      <w:r>
        <w:t>Relevance of Service Improvement to Health and Social Care</w:t>
      </w:r>
    </w:p>
    <w:p w14:paraId="2033BDFD" w14:textId="77777777" w:rsidR="00FD67EA" w:rsidRDefault="00000000">
      <w:r>
        <w:t xml:space="preserve">The frameworks of service improvement are essential in the context of health and social care as they can help organisations to learn about the failures, assess the quality gaps, and redesign the systems to improve safety, equity, and effectiveness. At the NHS, quality assurance practices and improvement science are a compulsory endeavour to maintain the accountability of services to the best practice standards, evidence-based, and in line with the standards of best practice to protect the population. In the case of weak or haphazard implementation of these mechanisms, avoidable damage, mistrust, and disruption of the service appear. According to recent research, intensive </w:t>
      </w:r>
      <w:r>
        <w:lastRenderedPageBreak/>
        <w:t xml:space="preserve">service improvement procedures decrease adverse occurrences and enhance safety cultures by integrating ongoing learning and open reporting (Wiegmann </w:t>
      </w:r>
      <w:r>
        <w:rPr>
          <w:i/>
          <w:iCs/>
        </w:rPr>
        <w:t>et al.</w:t>
      </w:r>
      <w:r>
        <w:t>, 2022).</w:t>
      </w:r>
    </w:p>
    <w:p w14:paraId="7C0C5C1D" w14:textId="77777777" w:rsidR="00FD67EA" w:rsidRDefault="00000000">
      <w:pPr>
        <w:pStyle w:val="Heading2"/>
      </w:pPr>
      <w:bookmarkStart w:id="4" w:name="_7u10pyr966vi" w:colFirst="0" w:colLast="0"/>
      <w:bookmarkEnd w:id="4"/>
      <w:r>
        <w:t>Application of Analytical and Theoretical Tools</w:t>
      </w:r>
    </w:p>
    <w:p w14:paraId="0136B023" w14:textId="77777777" w:rsidR="00FD67EA" w:rsidRDefault="00000000">
      <w:r>
        <w:t>In order to identify the failures in this case, the report will assume a systematic analytical methodology in terms of the identified quality and patient-safety frameworks. The root-cause exploration will be supported by the Fishbone Diagram, 5 Whys, and Donabedian Model, and the strategic evaluation will rely on the SWOT or PESTLE analysis, as mentioned in the assignment specification. The implementation of these models enhances critical analysis and enables the systematic identification of organisational weaknesses in terms of structure, process, policy and results. There is an indicator that structured analytical tools can assist in making diagnoses more accurate during safety investigations and ensuring that the improvement recommendations are aligned with the realities of operations (Jason and Bobak, 2022).</w:t>
      </w:r>
    </w:p>
    <w:p w14:paraId="2A0FDBE6" w14:textId="77777777" w:rsidR="00FD67EA" w:rsidRDefault="00000000">
      <w:pPr>
        <w:pStyle w:val="Heading2"/>
      </w:pPr>
      <w:bookmarkStart w:id="5" w:name="_14j4n9vnpw6e" w:colFirst="0" w:colLast="0"/>
      <w:bookmarkEnd w:id="5"/>
      <w:r>
        <w:t>Purpose and Importance of the Report</w:t>
      </w:r>
    </w:p>
    <w:p w14:paraId="3D73CE56" w14:textId="77777777" w:rsidR="00FD67EA" w:rsidRDefault="00000000">
      <w:r>
        <w:t>The purpose of this report is to critically examine the governance, cultural, and operational flaws that led to the failures that were witnessed in the Lucy Letby case and to recommend evidence-based suggestions to the same using quality-improvement approaches. It is important to make sure that analogous failures of the system are minimised by better reporting channels, leadership responsibility, and enhanced patient-safety models. These gaps are critical to fill to regain public confidence, enhance the quality of neonatal care and make neonatal care services more resilient in the broader health system (Chakravorty, 2023).</w:t>
      </w:r>
    </w:p>
    <w:p w14:paraId="1EBF9F09" w14:textId="77777777" w:rsidR="00FD67EA" w:rsidRDefault="00FD67EA"/>
    <w:p w14:paraId="3844D9B6" w14:textId="77777777" w:rsidR="00FD67EA" w:rsidRDefault="00000000">
      <w:pPr>
        <w:pStyle w:val="Heading1"/>
      </w:pPr>
      <w:bookmarkStart w:id="6" w:name="_wzue5vfh0uda" w:colFirst="0" w:colLast="0"/>
      <w:bookmarkEnd w:id="6"/>
      <w:r>
        <w:t>Main Body: Critical Analysis and Theoretical Application</w:t>
      </w:r>
    </w:p>
    <w:p w14:paraId="4460F2DC" w14:textId="77777777" w:rsidR="00FD67EA" w:rsidRDefault="00000000">
      <w:pPr>
        <w:pStyle w:val="Heading2"/>
      </w:pPr>
      <w:bookmarkStart w:id="7" w:name="_hv1jib8yt8hn" w:colFirst="0" w:colLast="0"/>
      <w:bookmarkEnd w:id="7"/>
      <w:r>
        <w:t>Background of the Issue</w:t>
      </w:r>
    </w:p>
    <w:p w14:paraId="5651B04C" w14:textId="77777777" w:rsidR="00FD67EA" w:rsidRDefault="00000000">
      <w:r>
        <w:t xml:space="preserve">The case of Lucy Letby has shown the trend of systemic failure that went beyond individual offence and proved that organisational governance, risk management and safety culture were severely flawed. During 2015-2016, warnings were issued by clinicians regarding the abnormal baby collapses during Letby's shifts, but the warnings were systematically downplayed instead of being appropriately given weight, which is a failure of leadership accountability and clinical supervision models. The lack of safety disclosure, belittling of deviance, and not implementing precautionary measures led to the avoidable damage and late intervention as exhibited in this environment. The recent study also addresses the fact that in an environment where the leadership </w:t>
      </w:r>
      <w:r>
        <w:lastRenderedPageBreak/>
        <w:t>is more focused on the organisational reputation than clinical transparency, patient safety systems are not enhanced; instead, the harmful events that take place are hidden instead of being uncovered (Holcombe, 2023). The whistle-blowing mechanisms were also unsuccessful since there was an environment of fear, retaliation, and psychological insecurity among the clinical personnel who tried to issue warnings. Those consultants who tried to escalate were asked to apologise, which reflects the lack of utilisation of safety intelligence and suppression, as opposed to utilisation, which is consistent with the literature highlighting the high-level association between whistleblower retaliation and service failure and reduced safety rates in healthcare. This organisational environment did not support communication and transparency, which is in line with the findings that healthcare failures are frequent in being constituted by silenced concerns and fragmented escalation routes but rarely by isolated clinical error (Capper, Ferguson and Muurlink, 2024).</w:t>
      </w:r>
    </w:p>
    <w:p w14:paraId="16E52D4D" w14:textId="77777777" w:rsidR="00FD67EA" w:rsidRDefault="00000000">
      <w:r>
        <w:t>The mechanisms of regulatory oversight also collapsed, with the external bodies not being informed till late and inspections failing to capture the risks that internal staff already understood. This evidences poor escalation channels, information profiles and irregular risk surveillance frameworks, a factor that contributes to protracted exposure to avoidable damages. It claims that the modern quality-assurance research proposes that regulatory systems should be proactive, intelligence-driven, and intertwined with clinical reporting frameworks to ensure the latent failures do not escalate into disastrous consequences (Wiegmann</w:t>
      </w:r>
      <w:r>
        <w:rPr>
          <w:i/>
          <w:iCs/>
        </w:rPr>
        <w:t xml:space="preserve"> et al.,</w:t>
      </w:r>
      <w:r>
        <w:t xml:space="preserve"> 2022).</w:t>
      </w:r>
    </w:p>
    <w:p w14:paraId="7107A6B5" w14:textId="77777777" w:rsidR="00FD67EA" w:rsidRDefault="00FD67EA"/>
    <w:p w14:paraId="4D934F63" w14:textId="77777777" w:rsidR="00FD67EA" w:rsidRDefault="00000000">
      <w:pPr>
        <w:pStyle w:val="Heading1"/>
      </w:pPr>
      <w:bookmarkStart w:id="8" w:name="_a6ispaxw2n37" w:colFirst="0" w:colLast="0"/>
      <w:bookmarkEnd w:id="8"/>
      <w:r>
        <w:lastRenderedPageBreak/>
        <w:t>Root Cause Analysis With Frameworks</w:t>
      </w:r>
    </w:p>
    <w:p w14:paraId="27595684" w14:textId="77777777" w:rsidR="00FD67EA" w:rsidRDefault="00000000">
      <w:pPr>
        <w:pStyle w:val="Heading2"/>
      </w:pPr>
      <w:bookmarkStart w:id="9" w:name="_1jo299lq0e7f" w:colFirst="0" w:colLast="0"/>
      <w:bookmarkEnd w:id="9"/>
      <w:r>
        <w:t>Use of the Fishbone Diagram</w:t>
      </w:r>
    </w:p>
    <w:p w14:paraId="2958DFB8" w14:textId="77777777" w:rsidR="00FD67EA" w:rsidRDefault="00000000">
      <w:r>
        <w:rPr>
          <w:noProof/>
        </w:rPr>
        <w:drawing>
          <wp:inline distT="114300" distB="114300" distL="114300" distR="114300" wp14:anchorId="0FE0DA06" wp14:editId="4018C297">
            <wp:extent cx="5943600" cy="3251200"/>
            <wp:effectExtent l="12700" t="12700" r="12700" b="1270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7"/>
                    <a:stretch>
                      <a:fillRect/>
                    </a:stretch>
                  </pic:blipFill>
                  <pic:spPr>
                    <a:xfrm>
                      <a:off x="0" y="0"/>
                      <a:ext cx="5943600" cy="3251200"/>
                    </a:xfrm>
                    <a:prstGeom prst="rect">
                      <a:avLst/>
                    </a:prstGeom>
                    <a:ln w="12700">
                      <a:solidFill>
                        <a:srgbClr val="000000"/>
                      </a:solidFill>
                      <a:prstDash val="solid"/>
                    </a:ln>
                  </pic:spPr>
                </pic:pic>
              </a:graphicData>
            </a:graphic>
          </wp:inline>
        </w:drawing>
      </w:r>
    </w:p>
    <w:p w14:paraId="518B608C" w14:textId="77777777" w:rsidR="00FD67EA" w:rsidRDefault="00000000">
      <w:pPr>
        <w:jc w:val="center"/>
        <w:rPr>
          <w:b/>
          <w:bCs/>
        </w:rPr>
      </w:pPr>
      <w:r>
        <w:rPr>
          <w:b/>
          <w:bCs/>
        </w:rPr>
        <w:t>Figure 1: Fishbone Diagram</w:t>
      </w:r>
    </w:p>
    <w:p w14:paraId="6B03B85E" w14:textId="77777777" w:rsidR="00FD67EA" w:rsidRDefault="00000000">
      <w:pPr>
        <w:jc w:val="center"/>
      </w:pPr>
      <w:r>
        <w:t>(Source: Leansix, 2025)</w:t>
      </w:r>
    </w:p>
    <w:p w14:paraId="08C4E25E" w14:textId="77777777" w:rsidR="00FD67EA" w:rsidRDefault="00000000">
      <w:r>
        <w:t xml:space="preserve">Application of the Fishbone Diagram to evaluate the Countess of Chester failure indicates a lack of performance in five areas, namely people, processes, leadership, environment and technology. The people dimension involved poor monitoring of the high-risk clinical practice and the absence of escalation capability of the top decision-makers, representing a governance climate in which there was unidentified clinical authority and safety stewardship. As observed, role accountability is closely associated with more harm in neonatal environments because of poor decision-making and unreliable clinical supervision (Chakravorty, 2023). The process category showed that handover practices were rather fragmented and incident-reporting systems were inconsistent, thus not allowing the recognition of patterns and impairing the traceability of unusual clinical events. The leadership systems also reflected defensive governance, in which reputational protection overrode the duty of candour obligations, undermining the safety, intelligence usage and culture learning processes. Environmental factors led to the strain of the system, with systematic understaffing and pressure-related decision-making, which is consistent with the studies that conclude that stressed neonatal units have poorer vigilance and worse safety performance. </w:t>
      </w:r>
      <w:r>
        <w:lastRenderedPageBreak/>
        <w:t>Technology was a cause of failure since it takes the form of electronic monitoring and data analytics to identify the trends of anomalies, which proved to be underdeveloped in terms of predictive capability in a digital assurance environment. The combination of these classes depicts a system in which latent, unmanaged risks were introduced into the operational practice.</w:t>
      </w:r>
    </w:p>
    <w:p w14:paraId="042CD923" w14:textId="77777777" w:rsidR="00FD67EA" w:rsidRDefault="00000000">
      <w:pPr>
        <w:pStyle w:val="Heading2"/>
      </w:pPr>
      <w:bookmarkStart w:id="10" w:name="_fyl7eb65uca7" w:colFirst="0" w:colLast="0"/>
      <w:bookmarkEnd w:id="10"/>
      <w:r>
        <w:t>Application of the Five Whys</w:t>
      </w:r>
    </w:p>
    <w:p w14:paraId="4792D4E7" w14:textId="77777777" w:rsidR="00FD67EA" w:rsidRDefault="00000000">
      <w:r>
        <w:t>The Five Whys approach demonstrates governance suppression and cultural silence as the key causal agents that support the perpetuation of harm. The first "why" focuses on the fact that clinical deteriorations were not examined, and as a result, the realisation that the concerns of escalation were ignored. The second why brings out the fact that the leadership sought to evade scrutiny of an organisation as opposed to taking precautionary action. The third reason is the reputation-protective behaviour as opposed to the patient-protection mandates. The fourth why reveals the lack of safe lines of escalation and psychological safety standards. The fifth cause of failure ensures that there was a failure of the systemic culture and not just an error. The researches show that Five Whys analysis seems to be especially effective in the high-risk environment as it helps to change the emphasis on the observation of the incident to organisational meaning-making and governance responsibility (Jason and Bobak, 2022).</w:t>
      </w:r>
    </w:p>
    <w:p w14:paraId="66FE7CCE" w14:textId="77777777" w:rsidR="00FD67EA" w:rsidRDefault="00000000">
      <w:pPr>
        <w:pStyle w:val="Heading2"/>
      </w:pPr>
      <w:bookmarkStart w:id="11" w:name="_ungiaw1w386y" w:colFirst="0" w:colLast="0"/>
      <w:bookmarkEnd w:id="11"/>
      <w:r>
        <w:t>Application of the Swiss Cheese Model</w:t>
      </w:r>
    </w:p>
    <w:p w14:paraId="4C06D156" w14:textId="77777777" w:rsidR="00FD67EA" w:rsidRDefault="00000000">
      <w:r>
        <w:t>Even though it is optional, the Swiss Cheese Model offers a suitable conceptualisation of cumulative failure as visualised in the case where several layers of the system, such as clinical reporting, leadership response, regulatory oversight, and workforce culture, all had breaches instead of safeguards. There was latent vulnerability in each organisational defence layer, such as ineffective supervision, absence of safety escalation channels, ineffective data monitoring and slow regulatory response. These holes, when coordinated, enabled damage to be inflicted on the system multiple times, and showed the failure of the system, but not an individual one. Recent empirical evidence indicates that the Swiss Cheese Model has been among the most effective models to explain disastrous failures in complex systems because it has the ability to describe the relationship between human error and systemic susceptibility (Moritz, Coffey and Buchanan, 2023).</w:t>
      </w:r>
    </w:p>
    <w:p w14:paraId="3C99BCAA" w14:textId="77777777" w:rsidR="00FD67EA" w:rsidRDefault="00FD67EA"/>
    <w:p w14:paraId="70E7993A" w14:textId="77777777" w:rsidR="00FD67EA" w:rsidRDefault="00000000">
      <w:pPr>
        <w:pStyle w:val="Heading1"/>
      </w:pPr>
      <w:bookmarkStart w:id="12" w:name="_3ulk73l4zl8s" w:colFirst="0" w:colLast="0"/>
      <w:bookmarkEnd w:id="12"/>
      <w:r>
        <w:lastRenderedPageBreak/>
        <w:t>Quality Evaluation: The Donabedian Model</w:t>
      </w:r>
    </w:p>
    <w:p w14:paraId="7FEE2D3E" w14:textId="77777777" w:rsidR="00FD67EA" w:rsidRDefault="00000000">
      <w:pPr>
        <w:pStyle w:val="Heading2"/>
      </w:pPr>
      <w:bookmarkStart w:id="13" w:name="_oj4kvm2crv85" w:colFirst="0" w:colLast="0"/>
      <w:bookmarkEnd w:id="13"/>
      <w:r>
        <w:t>Structural Weaknesses</w:t>
      </w:r>
    </w:p>
    <w:p w14:paraId="6F4AA85E" w14:textId="77777777" w:rsidR="00FD67EA" w:rsidRDefault="00000000">
      <w:r>
        <w:t>According to structural analysis within the Donabedian Model, the organisational infrastructure was inadequate in its safety capability, and it failed to track the data properly; it was not ready to lead, and whistleblowing systems were not present. The number of staff, training regimes and supervisory systems was under strength to facilitate safe neonatal care, which underpins that structural constraints had an impact on risk normalisation. It is reported in literature that high structural maturity, such as digital surveillance, well-developed staffing, and psychological-safety leadership training, is linked with greater reliability and the ability to identify the anomalous events sooner (Humphries, 2024).</w:t>
      </w:r>
    </w:p>
    <w:p w14:paraId="1E2A204D" w14:textId="77777777" w:rsidR="00FD67EA" w:rsidRDefault="00000000">
      <w:pPr>
        <w:pStyle w:val="Heading2"/>
      </w:pPr>
      <w:bookmarkStart w:id="14" w:name="_5n4vkmgczqus" w:colFirst="0" w:colLast="0"/>
      <w:bookmarkEnd w:id="14"/>
      <w:r>
        <w:t>Process Failures</w:t>
      </w:r>
    </w:p>
    <w:p w14:paraId="5125F114" w14:textId="77777777" w:rsidR="00FD67EA" w:rsidRDefault="00000000">
      <w:r>
        <w:t>The failures in the processes were observed by unalignment in documentation, information transmission among the clinical teams, ineffective risk escalation processes, and a lack of formal mortality review pathways. These malfunctions show how systems that are not aligned inhibit learning, conceal corrective action and reduce real-time detection of worsening conditions. Recently, it was observed that process reliability is among the most robust predictors of neonatal safety as it mediates the connection between leadership accountability, incident-reporting cultures and clinical vigilance (NHS England, 2023).</w:t>
      </w:r>
    </w:p>
    <w:p w14:paraId="379E7491" w14:textId="77777777" w:rsidR="00FD67EA" w:rsidRDefault="00000000">
      <w:pPr>
        <w:pStyle w:val="Heading2"/>
      </w:pPr>
      <w:bookmarkStart w:id="15" w:name="_6e4ibl7kgqwy" w:colFirst="0" w:colLast="0"/>
      <w:bookmarkEnd w:id="15"/>
      <w:r>
        <w:t>Outcome Failures</w:t>
      </w:r>
    </w:p>
    <w:p w14:paraId="54EAB285" w14:textId="77777777" w:rsidR="00FD67EA" w:rsidRDefault="00000000">
      <w:r>
        <w:t>Outcome analysis shows that much avoidable damage, death, lasting trauma in the family, negative reputation, finances and ultimate degradation and shutdown of neonatal services occur. There was a loss of trust and confidence, late intervention by the regulators and poor resilience of the service in the long term. Empirical evidence indicates that in instances where structural and process failures, as identified by Donabedian, remain, negative outcomes are no longer a surprise but expected, which explains the importance of proactive but not reactive governance (Seddon, 2025).</w:t>
      </w:r>
    </w:p>
    <w:p w14:paraId="4ACF7BF8" w14:textId="77777777" w:rsidR="00FD67EA" w:rsidRDefault="00FD67EA"/>
    <w:p w14:paraId="14D3C944" w14:textId="77777777" w:rsidR="00FD67EA" w:rsidRDefault="00000000">
      <w:pPr>
        <w:pStyle w:val="Heading1"/>
      </w:pPr>
      <w:bookmarkStart w:id="16" w:name="_4ect7ykx3y8x" w:colFirst="0" w:colLast="0"/>
      <w:bookmarkEnd w:id="16"/>
      <w:r>
        <w:t>PESTLE Strategic Planning Analysis</w:t>
      </w:r>
    </w:p>
    <w:p w14:paraId="1BDCE5F6" w14:textId="77777777" w:rsidR="00FD67EA" w:rsidRDefault="00000000">
      <w:pPr>
        <w:pStyle w:val="Heading2"/>
      </w:pPr>
      <w:bookmarkStart w:id="17" w:name="_3eylp2wxtdfj" w:colFirst="0" w:colLast="0"/>
      <w:bookmarkEnd w:id="17"/>
      <w:r>
        <w:t>Political and Policy Situation</w:t>
      </w:r>
    </w:p>
    <w:p w14:paraId="046EC0F3" w14:textId="77777777" w:rsidR="00FD67EA" w:rsidRDefault="00000000">
      <w:r>
        <w:t xml:space="preserve">The political context of governance and accountability in the NHS lays emphasis on compliance, patient protection, and open reporting. The Letby case showed that there were discrepancies between the policy intent and organisational action, showing inappropriate translation of national </w:t>
      </w:r>
      <w:r>
        <w:lastRenderedPageBreak/>
        <w:t>policy on patient safety. The literature suggests that gaps between policy and practice in healthcare governance lead to blind spots as harm increases without any intervention in time because accountability is not applied equally (Pilling, 2024).</w:t>
      </w:r>
    </w:p>
    <w:p w14:paraId="27ECCEB2" w14:textId="77777777" w:rsidR="00FD67EA" w:rsidRDefault="00000000">
      <w:pPr>
        <w:pStyle w:val="Heading2"/>
      </w:pPr>
      <w:bookmarkStart w:id="18" w:name="_t4gk4ylie5hs" w:colFirst="0" w:colLast="0"/>
      <w:bookmarkEnd w:id="18"/>
      <w:r>
        <w:t>Economic and Organisational Pressures</w:t>
      </w:r>
    </w:p>
    <w:p w14:paraId="42C240C8" w14:textId="77777777" w:rsidR="00FD67EA" w:rsidRDefault="00000000">
      <w:r>
        <w:t>Staffing, resources, and capacity of the system were determined by financial constraints that contributed to strain in safety. The issue of budget pressure might also have led to the leadership not being willing to reveal failures on account of envisaged organisational implications. The recent analysis shows that exhausted systems that are subjected to economic pressure will be less prone to intensifying safety-related issues because of the fear of reputational and financial punishment (Beeson and Syder, 2023).</w:t>
      </w:r>
    </w:p>
    <w:p w14:paraId="313C0263" w14:textId="77777777" w:rsidR="00FD67EA" w:rsidRDefault="00000000">
      <w:pPr>
        <w:pStyle w:val="Heading2"/>
      </w:pPr>
      <w:bookmarkStart w:id="19" w:name="_pnpbxfr12e8i" w:colFirst="0" w:colLast="0"/>
      <w:bookmarkEnd w:id="19"/>
      <w:r>
        <w:t>Social and Cultural Factors</w:t>
      </w:r>
    </w:p>
    <w:p w14:paraId="66345F9D" w14:textId="77777777" w:rsidR="00FD67EA" w:rsidRDefault="00000000">
      <w:r>
        <w:t>The organisational culture exhibited compliance out of fear, respect towards authority, and reduced psychological security. These elements inhibited transparency and reporting, as well as supporting hierarchy instead of collaboration. The literature confirms that cultural maturity, speaking-up norms, is a key indicator of reliability in services as well as harm prevention (Halliday, 2023).</w:t>
      </w:r>
    </w:p>
    <w:p w14:paraId="0244E71A" w14:textId="77777777" w:rsidR="00FD67EA" w:rsidRDefault="00000000">
      <w:pPr>
        <w:pStyle w:val="Heading2"/>
      </w:pPr>
      <w:bookmarkStart w:id="20" w:name="_2rptpo6zujnf" w:colFirst="0" w:colLast="0"/>
      <w:bookmarkEnd w:id="20"/>
      <w:r>
        <w:t>Technological and Legal Issues</w:t>
      </w:r>
    </w:p>
    <w:p w14:paraId="2862747D" w14:textId="77777777" w:rsidR="00FD67EA" w:rsidRDefault="00000000">
      <w:r>
        <w:t xml:space="preserve">It was also the case that the technological surveillance systems did not have intelligence-led analytics needed to detect the anomalies, and it was not until scrutiny by an external organisation that the duty of candour was enacted lawfully. Recent reports confirm that predictive monitoring with digital capabilities and sound law enforcement can help to decrease the number of avoidable casualties dramatically and increase the responsiveness of governance (Rashid </w:t>
      </w:r>
      <w:r>
        <w:rPr>
          <w:i/>
          <w:iCs/>
        </w:rPr>
        <w:t>et al.</w:t>
      </w:r>
      <w:r>
        <w:t>, 2014).</w:t>
      </w:r>
    </w:p>
    <w:p w14:paraId="641BA10C" w14:textId="77777777" w:rsidR="00FD67EA" w:rsidRDefault="00FD67EA"/>
    <w:p w14:paraId="12FE3EB3" w14:textId="77777777" w:rsidR="00FD67EA" w:rsidRDefault="00000000">
      <w:pPr>
        <w:pStyle w:val="Heading1"/>
      </w:pPr>
      <w:bookmarkStart w:id="21" w:name="_y4s0ttr4w7vz" w:colFirst="0" w:colLast="0"/>
      <w:bookmarkEnd w:id="21"/>
      <w:r>
        <w:t>Recommendations</w:t>
      </w:r>
    </w:p>
    <w:p w14:paraId="3EB81DBD" w14:textId="77777777" w:rsidR="00FD67EA" w:rsidRDefault="00000000">
      <w:pPr>
        <w:pStyle w:val="Heading2"/>
      </w:pPr>
      <w:bookmarkStart w:id="22" w:name="_xzbgw2eublla" w:colFirst="0" w:colLast="0"/>
      <w:bookmarkEnd w:id="22"/>
      <w:r>
        <w:t>Short-term correctional measures</w:t>
      </w:r>
    </w:p>
    <w:p w14:paraId="3859A4CA" w14:textId="77777777" w:rsidR="00FD67EA" w:rsidRDefault="00000000">
      <w:r>
        <w:t xml:space="preserve">Short-term corrective measures that should be taken are necessary to stabilise safety processes and ensure the harm never recurs, especially in the neonatal setting, where risks are increasing very fast when the governance and escalation processes are poor. The creation of multidisciplinary rapid review panels tasked with examining any form of unexpected clinical deterioration and escalating it to senior governance channels within a predetermined period of time can be considered one of the priority actions. It has been proven that the structures of rapid-response governance led to a significant decrease in the time interval between the identification of anomalies and organisational </w:t>
      </w:r>
      <w:r>
        <w:lastRenderedPageBreak/>
        <w:t xml:space="preserve">response to them, which has a positive impact on patient outcomes and accountability in high-risk areas of care provision (Wiegmann </w:t>
      </w:r>
      <w:r>
        <w:rPr>
          <w:i/>
          <w:iCs/>
        </w:rPr>
        <w:t>et al.,</w:t>
      </w:r>
      <w:r>
        <w:t xml:space="preserve"> 2022). The other priority is the enhancement of whistleblowing safeguards through the provision of independent reporting lines independent of hierarchical control, because the organisationally based lines in this regard resulted in intimidation and secrecy and not in transparency. The recent studies prove that the existence of reporting portals without identification, as well as the presence of the policy of non-retaliation, increases the willingness to report and enhances the learning conditions. Acute intervention should also involve speciality staffing risk evaluation, and emergency addition of specialist neonatal supervision positions to stabilise the operating capacity, since insufficiency of staffing contributed to missed pattern identification and unsafe clinical supervision. It has been shown that timely workforce stabilisation of the culture avoids cultural decay during the development of long-term reforms, so it is a primary short-term solution to high-risk healthcare facilities (Capper, Ferguson and Muurlink, 2024).</w:t>
      </w:r>
    </w:p>
    <w:p w14:paraId="6213BE02" w14:textId="77777777" w:rsidR="00FD67EA" w:rsidRDefault="00000000">
      <w:pPr>
        <w:pStyle w:val="Heading2"/>
      </w:pPr>
      <w:bookmarkStart w:id="23" w:name="_mdvcr1vs4j79" w:colFirst="0" w:colLast="0"/>
      <w:bookmarkEnd w:id="23"/>
      <w:r>
        <w:t>Strategic Improvements in the Long Term</w:t>
      </w:r>
    </w:p>
    <w:p w14:paraId="2A6D50C2" w14:textId="77777777" w:rsidR="00FD67EA" w:rsidRDefault="00000000">
      <w:r>
        <w:t xml:space="preserve">The cultural, organisational, regulatory, and technological gaps identified with the help of the analyses should be subject to long-term improvements so that systemic capability, learning mechanisms, and governance are established characteristics rather than the means of reaction. One of the key long-term suggestions is the elaboration of a redesigned patient safety governance structure with independent oversight committees that may be compulsory and with higher authority than the local hospital management. This change is an indication of contemporary healthcare governance literature, which states that independent oversight entities decrease bias, increase transparency, and guarantee accountability in complicated clinical inquiries (Chakravorty, 2023). It is also necessary to enhance regulation escalation channels such as compulsory notification of an external safety body when mortality or clinical incidence rates are below baseline levels, and this way avoid internal suppression of the high-risk patterns. Another priority is to create a psychologically secure organisational culture, and it involves systematic training on speaking-up behaviours, caring leadership, and high-reliability communication practices. Long-term reform should also include technological investment, which should be taken on board, specifically by implementing data-driven early warning systems, which would be able to identify statistical anomalies in neonatal outcomes and staffing trends. It is proven that real-time analytics and predictive digital tools minimise the decision latency, escalation reliability, and turn </w:t>
      </w:r>
      <w:r>
        <w:lastRenderedPageBreak/>
        <w:t>patient safety reporting into active surveillance based on intelligence (Rashid et al., 2014). Combined, these long-term plans take the organisation out of the response to failure prevention and put it on the path of proactive resilience in its systems.</w:t>
      </w:r>
    </w:p>
    <w:p w14:paraId="3EBFE9E2" w14:textId="77777777" w:rsidR="00FD67EA" w:rsidRDefault="00000000">
      <w:pPr>
        <w:pStyle w:val="Heading2"/>
      </w:pPr>
      <w:bookmarkStart w:id="24" w:name="_ohkvugbm5lmb" w:colFirst="0" w:colLast="0"/>
      <w:bookmarkEnd w:id="24"/>
      <w:r>
        <w:t>Strategy to implement with the help of the PDSA model</w:t>
      </w:r>
    </w:p>
    <w:p w14:paraId="637C60E9" w14:textId="77777777" w:rsidR="00FD67EA" w:rsidRDefault="00000000">
      <w:r>
        <w:t xml:space="preserve">The Plan-Do-Study-Act (PDSA) model will offer a suitable implementation model because it helps in preliminary testing, incessant enhancement, and continuous assessment- a crucial strategy when implementing reforms to complicated health systems. During the planning phase, the organisation must determine quantifiable goals per intervention, such as reporting volumes, timeliness of escalation, culture-safety outcomes, regulatory adherence and harm-reduction outcomes. The current literature also confirms that PDSA increases the implementation fidelity and supports organisational learning, since interventions are tested at a pilot scale and only rolled out to a full-scale system (Jason and Bobak, 2022). The Do stage will entail the operationalisation of the interventions, including the rapid-review panels, revised whistleblowing systems, and new governance guidelines, by piloting the operationalisation of these measures on a local basis in a few chosen neonatal units. The phase of the Study will involve the strict analysis of the effect by qualitative and quantitative monitoring via the dashboards, safety audits, and assessment of staff perception. This is going to be an analysis of whether or not reforms show improvement or need redesign. The last step, which is called Act, is the scaling of successful practices to larger hospital systems and integrating them into formal policy frameworks, which should be sustainable and do not rely on individual leaders or cultural circumstances. Literature notes that PDSA cycles can be specifically useful in the context of the environment that is recovering after the governance failure since it encourages accountability, transparency, and applied learning, which in turn justify the cultural repair and long-term dependability (Beeson and Syder, 2023).  </w:t>
      </w:r>
    </w:p>
    <w:p w14:paraId="359EB45F" w14:textId="77777777" w:rsidR="00FD67EA" w:rsidRDefault="00FD67EA"/>
    <w:p w14:paraId="247A5F4E" w14:textId="77777777" w:rsidR="00FD67EA" w:rsidRDefault="00000000">
      <w:pPr>
        <w:pStyle w:val="Heading1"/>
      </w:pPr>
      <w:bookmarkStart w:id="25" w:name="_9ev4yt145qre" w:colFirst="0" w:colLast="0"/>
      <w:bookmarkEnd w:id="25"/>
      <w:r>
        <w:t>Conclusion</w:t>
      </w:r>
    </w:p>
    <w:p w14:paraId="05A6EF0F" w14:textId="77777777" w:rsidR="00FD67EA" w:rsidRDefault="00000000">
      <w:r>
        <w:t xml:space="preserve">The case analysis of the Lucy Letby case shows that the failures were structural rather than individual, as they were caused by the flaws in leadership, escalation patterns, safety culture, and responsiveness to regulations. The implementation of theoretical models, such as the Fishbone Diagram, Donabedian Model, and Five Whys, demonstrated that the emergence of the unsafe conditions occurred due to the interplay of structural and cultural gaps that had no opportunity to identify the harm early and removed the concerns of clinical staff. Recommendations based on the </w:t>
      </w:r>
      <w:r>
        <w:lastRenderedPageBreak/>
        <w:t xml:space="preserve">findings have been evidence-based and point to short-term stabilisation efforts and long-term transformations of the culture and governance in order to restore safety and integrity in the neonatal services. Modern literature confirms that service improvement procedures with the help of PDSA cycles can be introduced in a systematic manner and monitored, making reforms quantifiable, cyclic, and long-term (Seddon, 2025). The relevance of this report goes beyond the case scenario because the lessons learnt are that clear systems, responsible leadership, fair regulation and predictive surveillance devices are the main building blocks in averting future disasters.  </w:t>
      </w:r>
    </w:p>
    <w:p w14:paraId="702DBD02" w14:textId="77777777" w:rsidR="00FD67EA" w:rsidRDefault="00FD67EA"/>
    <w:p w14:paraId="25B8D629" w14:textId="77777777" w:rsidR="00FD67EA" w:rsidRDefault="00FD67EA"/>
    <w:p w14:paraId="0AF58662" w14:textId="77777777" w:rsidR="00CC05BF" w:rsidRDefault="00CC05BF">
      <w:pPr>
        <w:rPr>
          <w:b/>
          <w:bCs/>
          <w:sz w:val="28"/>
          <w:szCs w:val="28"/>
        </w:rPr>
      </w:pPr>
      <w:bookmarkStart w:id="26" w:name="_srvdmcm74cnk" w:colFirst="0" w:colLast="0"/>
      <w:bookmarkEnd w:id="26"/>
      <w:r>
        <w:br w:type="page"/>
      </w:r>
    </w:p>
    <w:p w14:paraId="3EFCB40B" w14:textId="2848C68B" w:rsidR="00FD67EA" w:rsidRDefault="00000000">
      <w:pPr>
        <w:pStyle w:val="Heading1"/>
      </w:pPr>
      <w:r>
        <w:lastRenderedPageBreak/>
        <w:t>References</w:t>
      </w:r>
    </w:p>
    <w:p w14:paraId="7F93D8F8" w14:textId="77777777" w:rsidR="00FD67EA" w:rsidRPr="00CC05BF" w:rsidRDefault="00000000" w:rsidP="00CC05BF">
      <w:pPr>
        <w:spacing w:before="240" w:after="240"/>
        <w:rPr>
          <w:color w:val="1155CC"/>
          <w:u w:val="single"/>
        </w:rPr>
      </w:pPr>
      <w:r>
        <w:t xml:space="preserve">Beeson, E. and Syder, C. (2023) </w:t>
      </w:r>
      <w:r w:rsidRPr="00CC05BF">
        <w:rPr>
          <w:i/>
          <w:iCs/>
        </w:rPr>
        <w:t>The lessons to be learned across the NHS from the Lucy Letby verdict</w:t>
      </w:r>
      <w:r>
        <w:t>. Penningtons Law. Available at:</w:t>
      </w:r>
      <w:hyperlink r:id="rId8">
        <w:r w:rsidR="00FD67EA">
          <w:t xml:space="preserve"> </w:t>
        </w:r>
      </w:hyperlink>
      <w:hyperlink r:id="rId9">
        <w:r w:rsidR="00FD67EA" w:rsidRPr="00CC05BF">
          <w:rPr>
            <w:color w:val="1155CC"/>
            <w:u w:val="single"/>
          </w:rPr>
          <w:t>https://www.penningtonslaw.com/news-publications/latest-news/2023/the-lessons-to-be-learned-across-the-nhs-following-the-lucy-letby-verdict</w:t>
        </w:r>
      </w:hyperlink>
    </w:p>
    <w:p w14:paraId="65F78D2A" w14:textId="77777777" w:rsidR="00FD67EA" w:rsidRPr="00CC05BF" w:rsidRDefault="00000000" w:rsidP="00CC05BF">
      <w:pPr>
        <w:spacing w:before="240" w:after="240"/>
        <w:rPr>
          <w:color w:val="1155CC"/>
          <w:u w:val="single"/>
        </w:rPr>
      </w:pPr>
      <w:r>
        <w:t xml:space="preserve">Capper, T., Ferguson, B. and Muurlink, O. (2024) ‘Health professionals’ experiences of whistleblowing in maternal and newborn healthcare settings: A scoping review and thematic analysis’, </w:t>
      </w:r>
      <w:r w:rsidRPr="00CC05BF">
        <w:rPr>
          <w:i/>
          <w:iCs/>
        </w:rPr>
        <w:t>Women and Birth</w:t>
      </w:r>
      <w:r>
        <w:t>, 37(3). Available at:</w:t>
      </w:r>
      <w:hyperlink r:id="rId10">
        <w:r w:rsidR="00FD67EA">
          <w:t xml:space="preserve"> </w:t>
        </w:r>
      </w:hyperlink>
      <w:hyperlink r:id="rId11">
        <w:r w:rsidR="00FD67EA" w:rsidRPr="00CC05BF">
          <w:rPr>
            <w:color w:val="1155CC"/>
            <w:u w:val="single"/>
          </w:rPr>
          <w:t>https://doi.org/10.1016/j.wombi.2024.101593</w:t>
        </w:r>
      </w:hyperlink>
    </w:p>
    <w:p w14:paraId="64EF73D3" w14:textId="77777777" w:rsidR="00FD67EA" w:rsidRPr="00CC05BF" w:rsidRDefault="00000000" w:rsidP="00CC05BF">
      <w:pPr>
        <w:spacing w:before="240" w:after="240"/>
        <w:rPr>
          <w:color w:val="1155CC"/>
          <w:u w:val="single"/>
        </w:rPr>
      </w:pPr>
      <w:r>
        <w:t xml:space="preserve">Chakravorty, I. (2023) ‘Case of Nurse Letby: Systems failure in safeguarding patients’, </w:t>
      </w:r>
      <w:r w:rsidRPr="00CC05BF">
        <w:rPr>
          <w:i/>
          <w:iCs/>
        </w:rPr>
        <w:t>Sushruta Journal of Health Policy</w:t>
      </w:r>
      <w:r>
        <w:t>, 15(3). Available at:</w:t>
      </w:r>
      <w:hyperlink r:id="rId12">
        <w:r w:rsidR="00FD67EA">
          <w:t xml:space="preserve"> </w:t>
        </w:r>
      </w:hyperlink>
      <w:hyperlink r:id="rId13">
        <w:r w:rsidR="00FD67EA" w:rsidRPr="00CC05BF">
          <w:rPr>
            <w:color w:val="1155CC"/>
            <w:u w:val="single"/>
          </w:rPr>
          <w:t>https://doi.org/10.38192/15.3.4</w:t>
        </w:r>
      </w:hyperlink>
    </w:p>
    <w:p w14:paraId="513B5140" w14:textId="77777777" w:rsidR="00FD67EA" w:rsidRPr="00CC05BF" w:rsidRDefault="00000000" w:rsidP="00CC05BF">
      <w:pPr>
        <w:spacing w:before="240" w:after="240"/>
        <w:rPr>
          <w:color w:val="1155CC"/>
          <w:u w:val="single"/>
        </w:rPr>
      </w:pPr>
      <w:r>
        <w:t xml:space="preserve">Halliday, J. (2023) </w:t>
      </w:r>
      <w:r w:rsidRPr="00CC05BF">
        <w:rPr>
          <w:i/>
          <w:iCs/>
        </w:rPr>
        <w:t>Lucy Letby whistleblower says babies would have lived if hospital had acted sooner</w:t>
      </w:r>
      <w:r>
        <w:t>. The Guardian. Available at:</w:t>
      </w:r>
      <w:hyperlink r:id="rId14">
        <w:r w:rsidR="00FD67EA">
          <w:t xml:space="preserve"> </w:t>
        </w:r>
      </w:hyperlink>
      <w:hyperlink r:id="rId15">
        <w:r w:rsidR="00FD67EA" w:rsidRPr="00CC05BF">
          <w:rPr>
            <w:color w:val="1155CC"/>
            <w:u w:val="single"/>
          </w:rPr>
          <w:t>https://www.theguardian.com/uk-news/2023/aug/18/lucy-letby-whistleblower-babies-would-have-survived-if-hospital-had-acted-sooner</w:t>
        </w:r>
      </w:hyperlink>
    </w:p>
    <w:p w14:paraId="6BA8D7CB" w14:textId="77777777" w:rsidR="00FD67EA" w:rsidRPr="00CC05BF" w:rsidRDefault="00000000" w:rsidP="00CC05BF">
      <w:pPr>
        <w:spacing w:before="240" w:after="240"/>
        <w:rPr>
          <w:color w:val="1155CC"/>
          <w:u w:val="single"/>
        </w:rPr>
      </w:pPr>
      <w:r>
        <w:t xml:space="preserve">Holcombe, C. (2023) ‘Letby and managerial regulation — a warning for NHS culture’, </w:t>
      </w:r>
      <w:r w:rsidRPr="00CC05BF">
        <w:rPr>
          <w:i/>
          <w:iCs/>
        </w:rPr>
        <w:t>BMJ</w:t>
      </w:r>
      <w:r>
        <w:t>, 383, p.p2273. Available at:</w:t>
      </w:r>
      <w:hyperlink r:id="rId16">
        <w:r w:rsidR="00FD67EA">
          <w:t xml:space="preserve"> </w:t>
        </w:r>
      </w:hyperlink>
      <w:hyperlink r:id="rId17">
        <w:r w:rsidR="00FD67EA" w:rsidRPr="00CC05BF">
          <w:rPr>
            <w:color w:val="1155CC"/>
            <w:u w:val="single"/>
          </w:rPr>
          <w:t>https://doi.org/10.1136/bmj.p2273</w:t>
        </w:r>
      </w:hyperlink>
    </w:p>
    <w:p w14:paraId="476B74E4" w14:textId="77777777" w:rsidR="00FD67EA" w:rsidRPr="00CC05BF" w:rsidRDefault="00000000" w:rsidP="00CC05BF">
      <w:pPr>
        <w:spacing w:before="240" w:after="240"/>
        <w:rPr>
          <w:color w:val="1155CC"/>
          <w:u w:val="single"/>
        </w:rPr>
      </w:pPr>
      <w:r>
        <w:t xml:space="preserve">Humphries, J. (2024) </w:t>
      </w:r>
      <w:r w:rsidRPr="00CC05BF">
        <w:rPr>
          <w:i/>
          <w:iCs/>
        </w:rPr>
        <w:t>Lucy Letby: NHS duty of candour ‘not working’, inquiry hears</w:t>
      </w:r>
      <w:r>
        <w:t>. BBC News. Available at:</w:t>
      </w:r>
      <w:hyperlink r:id="rId18">
        <w:r w:rsidR="00FD67EA">
          <w:t xml:space="preserve"> </w:t>
        </w:r>
      </w:hyperlink>
      <w:hyperlink r:id="rId19">
        <w:r w:rsidR="00FD67EA" w:rsidRPr="00CC05BF">
          <w:rPr>
            <w:color w:val="1155CC"/>
            <w:u w:val="single"/>
          </w:rPr>
          <w:t>https://www.bbc.com/news/articles/c9q740wnvpno</w:t>
        </w:r>
      </w:hyperlink>
    </w:p>
    <w:p w14:paraId="00702945" w14:textId="77777777" w:rsidR="00FD67EA" w:rsidRDefault="00000000" w:rsidP="00CC05BF">
      <w:pPr>
        <w:spacing w:before="240" w:after="240"/>
      </w:pPr>
      <w:r>
        <w:t xml:space="preserve">Jason, L.A. and Bobak, T. (2022) ‘Using systems theory to improve intervention outcomes’, </w:t>
      </w:r>
      <w:r w:rsidRPr="00CC05BF">
        <w:rPr>
          <w:i/>
          <w:iCs/>
        </w:rPr>
        <w:t>Professional Psychology: Research and Practice</w:t>
      </w:r>
      <w:r>
        <w:t xml:space="preserve">, 53(4). Available at: </w:t>
      </w:r>
      <w:hyperlink r:id="rId20">
        <w:r w:rsidR="00FD67EA" w:rsidRPr="00CC05BF">
          <w:rPr>
            <w:color w:val="1155CC"/>
            <w:u w:val="single"/>
          </w:rPr>
          <w:t>https://doi.org/10.1037/pro0000468</w:t>
        </w:r>
      </w:hyperlink>
      <w:r>
        <w:t xml:space="preserve"> </w:t>
      </w:r>
    </w:p>
    <w:p w14:paraId="69EBF8C2" w14:textId="77777777" w:rsidR="00FD67EA" w:rsidRDefault="00000000" w:rsidP="00CC05BF">
      <w:pPr>
        <w:spacing w:after="240"/>
      </w:pPr>
      <w:r>
        <w:t xml:space="preserve">Leansix (2025). Available at: </w:t>
      </w:r>
      <w:hyperlink r:id="rId21">
        <w:r w:rsidR="00FD67EA" w:rsidRPr="00CC05BF">
          <w:rPr>
            <w:color w:val="1155CC"/>
            <w:u w:val="single"/>
          </w:rPr>
          <w:t>https://www.leansixsigmadefinition.com/wp-content/uploads/2020/06/fishbone_ishikawa_cause_effect_diagram.png</w:t>
        </w:r>
      </w:hyperlink>
      <w:r>
        <w:t xml:space="preserve">  [Accessed 9 Dec. 2025].</w:t>
      </w:r>
    </w:p>
    <w:p w14:paraId="1CB30944" w14:textId="77777777" w:rsidR="00FD67EA" w:rsidRPr="00CC05BF" w:rsidRDefault="00000000" w:rsidP="00CC05BF">
      <w:pPr>
        <w:spacing w:before="240" w:after="240"/>
        <w:rPr>
          <w:color w:val="1155CC"/>
          <w:u w:val="single"/>
        </w:rPr>
      </w:pPr>
      <w:r>
        <w:t xml:space="preserve">Moritz, J., Coffey, J. and Buchanan, M. (2023) </w:t>
      </w:r>
      <w:r w:rsidRPr="00CC05BF">
        <w:rPr>
          <w:i/>
          <w:iCs/>
        </w:rPr>
        <w:t>Hospital bosses ignored months of doctors’ warnings about Lucy Letby</w:t>
      </w:r>
      <w:r>
        <w:t>. BBC News. Available at:</w:t>
      </w:r>
      <w:hyperlink r:id="rId22">
        <w:r w:rsidR="00FD67EA">
          <w:t xml:space="preserve"> </w:t>
        </w:r>
      </w:hyperlink>
      <w:hyperlink r:id="rId23">
        <w:r w:rsidR="00FD67EA" w:rsidRPr="00CC05BF">
          <w:rPr>
            <w:color w:val="1155CC"/>
            <w:u w:val="single"/>
          </w:rPr>
          <w:t>https://www.bbc.com/news/uk-66120934</w:t>
        </w:r>
      </w:hyperlink>
    </w:p>
    <w:p w14:paraId="1B772C07" w14:textId="77777777" w:rsidR="00FD67EA" w:rsidRPr="00CC05BF" w:rsidRDefault="00000000" w:rsidP="00CC05BF">
      <w:pPr>
        <w:spacing w:before="240" w:after="240"/>
        <w:rPr>
          <w:color w:val="1155CC"/>
          <w:u w:val="single"/>
        </w:rPr>
      </w:pPr>
      <w:r>
        <w:lastRenderedPageBreak/>
        <w:t xml:space="preserve">NHS England (2023) </w:t>
      </w:r>
      <w:r w:rsidRPr="00CC05BF">
        <w:rPr>
          <w:i/>
          <w:iCs/>
        </w:rPr>
        <w:t>Freedom to speak up</w:t>
      </w:r>
      <w:r>
        <w:t>. Available at:</w:t>
      </w:r>
      <w:hyperlink r:id="rId24">
        <w:r w:rsidR="00FD67EA">
          <w:t xml:space="preserve"> </w:t>
        </w:r>
      </w:hyperlink>
      <w:hyperlink r:id="rId25">
        <w:r w:rsidR="00FD67EA" w:rsidRPr="00CC05BF">
          <w:rPr>
            <w:color w:val="1155CC"/>
            <w:u w:val="single"/>
          </w:rPr>
          <w:t>https://www.england.nhs.uk/ourwork/freedom-to-speak-up/</w:t>
        </w:r>
      </w:hyperlink>
    </w:p>
    <w:p w14:paraId="45E0D678" w14:textId="77777777" w:rsidR="00FD67EA" w:rsidRDefault="00000000" w:rsidP="00CC05BF">
      <w:pPr>
        <w:spacing w:before="240" w:after="240"/>
      </w:pPr>
      <w:r>
        <w:t xml:space="preserve">Pilling, K. (2024) </w:t>
      </w:r>
      <w:r w:rsidRPr="00CC05BF">
        <w:rPr>
          <w:i/>
          <w:iCs/>
        </w:rPr>
        <w:t>CQC inspectors not told of concerns over deaths at Letby hospital, inquiry hears</w:t>
      </w:r>
      <w:r>
        <w:t>. The Independent. Available at:</w:t>
      </w:r>
      <w:hyperlink r:id="rId26">
        <w:r w:rsidR="00FD67EA">
          <w:t xml:space="preserve"> </w:t>
        </w:r>
      </w:hyperlink>
      <w:hyperlink r:id="rId27">
        <w:r w:rsidR="00FD67EA" w:rsidRPr="00CC05BF">
          <w:rPr>
            <w:color w:val="1155CC"/>
            <w:u w:val="single"/>
          </w:rPr>
          <w:t>https://www.independent.co.uk/news/uk/cqc-hereford-manchester-crown-court-b2647186.html</w:t>
        </w:r>
      </w:hyperlink>
    </w:p>
    <w:p w14:paraId="5D908FD6" w14:textId="77777777" w:rsidR="00FD67EA" w:rsidRPr="00CC05BF" w:rsidRDefault="00000000" w:rsidP="00CC05BF">
      <w:pPr>
        <w:spacing w:before="240" w:after="240"/>
        <w:rPr>
          <w:color w:val="1155CC"/>
          <w:u w:val="single"/>
        </w:rPr>
      </w:pPr>
      <w:r>
        <w:t xml:space="preserve">Rashid, A. et al. (2014) ‘Evaluation of rapid response team implementation in medical emergencies: A gallant evidence-based medicine initiative’, </w:t>
      </w:r>
      <w:r w:rsidRPr="00CC05BF">
        <w:rPr>
          <w:i/>
          <w:iCs/>
        </w:rPr>
        <w:t>International Journal of Critical Illness and Injury Science</w:t>
      </w:r>
      <w:r>
        <w:t>, 4(1), pp. 3–10. Available at:</w:t>
      </w:r>
      <w:hyperlink r:id="rId28">
        <w:r w:rsidR="00FD67EA">
          <w:t xml:space="preserve"> </w:t>
        </w:r>
      </w:hyperlink>
      <w:hyperlink r:id="rId29">
        <w:r w:rsidR="00FD67EA" w:rsidRPr="00CC05BF">
          <w:rPr>
            <w:color w:val="1155CC"/>
            <w:u w:val="single"/>
          </w:rPr>
          <w:t>https://doi.org/10.4103/2229-5151.128005</w:t>
        </w:r>
      </w:hyperlink>
    </w:p>
    <w:p w14:paraId="0DEAE135" w14:textId="77777777" w:rsidR="00FD67EA" w:rsidRPr="00CC05BF" w:rsidRDefault="00000000" w:rsidP="00CC05BF">
      <w:pPr>
        <w:spacing w:before="240" w:after="240"/>
        <w:rPr>
          <w:color w:val="1155CC"/>
          <w:u w:val="single"/>
        </w:rPr>
      </w:pPr>
      <w:r>
        <w:t xml:space="preserve">Seddon, S. (2025) </w:t>
      </w:r>
      <w:r w:rsidRPr="00CC05BF">
        <w:rPr>
          <w:i/>
          <w:iCs/>
        </w:rPr>
        <w:t>Lucy Letby: Why are medical experts disputing evidence?</w:t>
      </w:r>
      <w:r>
        <w:t xml:space="preserve"> BBC News. Available at:</w:t>
      </w:r>
      <w:hyperlink r:id="rId30">
        <w:r w:rsidR="00FD67EA">
          <w:t xml:space="preserve"> </w:t>
        </w:r>
      </w:hyperlink>
      <w:hyperlink r:id="rId31">
        <w:r w:rsidR="00FD67EA" w:rsidRPr="00CC05BF">
          <w:rPr>
            <w:color w:val="1155CC"/>
            <w:u w:val="single"/>
          </w:rPr>
          <w:t>https://www.bbc.com/news/articles/ce8y28ny1n0o</w:t>
        </w:r>
      </w:hyperlink>
    </w:p>
    <w:p w14:paraId="06CE6747" w14:textId="77777777" w:rsidR="00FD67EA" w:rsidRDefault="00000000" w:rsidP="00CC05BF">
      <w:pPr>
        <w:spacing w:before="240" w:after="240"/>
      </w:pPr>
      <w:r>
        <w:t xml:space="preserve">Wiegmann, D.A. et al. (2022) ‘Understanding the Swiss cheese model and its application to patient safety’, </w:t>
      </w:r>
      <w:r w:rsidRPr="00CC05BF">
        <w:rPr>
          <w:i/>
          <w:iCs/>
        </w:rPr>
        <w:t>Journal of Patient Safety</w:t>
      </w:r>
      <w:r>
        <w:t xml:space="preserve">, 18(2), pp.119–123. Available at: </w:t>
      </w:r>
      <w:hyperlink r:id="rId32">
        <w:r w:rsidR="00FD67EA" w:rsidRPr="00CC05BF">
          <w:rPr>
            <w:color w:val="1155CC"/>
            <w:u w:val="single"/>
          </w:rPr>
          <w:t>https://doi.org/10.1097/PTS.0000000000000901</w:t>
        </w:r>
      </w:hyperlink>
      <w:r>
        <w:t xml:space="preserve"> </w:t>
      </w:r>
    </w:p>
    <w:p w14:paraId="375CCB09" w14:textId="77777777" w:rsidR="00FD67EA" w:rsidRDefault="00FD67EA" w:rsidP="00CC05BF"/>
    <w:p w14:paraId="7DE5F39B" w14:textId="77777777" w:rsidR="00FD67EA" w:rsidRDefault="00FD67EA">
      <w:pPr>
        <w:rPr>
          <w:rFonts w:ascii="Arial" w:eastAsia="Arial" w:hAnsi="Arial" w:cs="Arial"/>
          <w:color w:val="111111"/>
          <w:shd w:val="clear" w:color="auto" w:fill="D4EDDA"/>
        </w:rPr>
      </w:pPr>
    </w:p>
    <w:p w14:paraId="79BF6B41" w14:textId="77777777" w:rsidR="00FD67EA" w:rsidRDefault="00FD67EA"/>
    <w:p w14:paraId="3F8296D2" w14:textId="77777777" w:rsidR="00FD67EA" w:rsidRDefault="00FD67EA"/>
    <w:sectPr w:rsidR="00FD67EA" w:rsidSect="007E7B5D">
      <w:footerReference w:type="default" r:id="rId33"/>
      <w:footerReference w:type="first" r:id="rId34"/>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38500F" w14:textId="77777777" w:rsidR="00D8245E" w:rsidRDefault="00D8245E">
      <w:pPr>
        <w:spacing w:line="240" w:lineRule="auto"/>
      </w:pPr>
      <w:r>
        <w:separator/>
      </w:r>
    </w:p>
  </w:endnote>
  <w:endnote w:type="continuationSeparator" w:id="0">
    <w:p w14:paraId="5DEC7265" w14:textId="77777777" w:rsidR="00D8245E" w:rsidRDefault="00D8245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embedRegular r:id="rId1" w:fontKey="{D8C7B13E-DD63-4308-86C3-ED9C836F7B5B}"/>
  </w:font>
  <w:font w:name="Shruti">
    <w:panose1 w:val="02000500000000000000"/>
    <w:charset w:val="00"/>
    <w:family w:val="swiss"/>
    <w:pitch w:val="variable"/>
    <w:sig w:usb0="00040003" w:usb1="00000000" w:usb2="00000000" w:usb3="00000000" w:csb0="00000001" w:csb1="00000000"/>
    <w:embedRegular r:id="rId2" w:fontKey="{00730670-20C9-46A6-B510-04EF5C21EF2D}"/>
  </w:font>
  <w:font w:name="Cambria">
    <w:panose1 w:val="02040503050406030204"/>
    <w:charset w:val="00"/>
    <w:family w:val="roman"/>
    <w:pitch w:val="variable"/>
    <w:sig w:usb0="E00006FF" w:usb1="420024FF" w:usb2="02000000" w:usb3="00000000" w:csb0="0000019F" w:csb1="00000000"/>
    <w:embedRegular r:id="rId3" w:fontKey="{53ABC3F4-439C-4C8C-8F5C-92414D774D5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9A3900" w14:textId="77777777" w:rsidR="00FD67EA" w:rsidRDefault="00000000">
    <w:pPr>
      <w:jc w:val="right"/>
    </w:pPr>
    <w:r>
      <w:fldChar w:fldCharType="begin"/>
    </w:r>
    <w:r>
      <w:instrText>PAGE</w:instrText>
    </w:r>
    <w:r>
      <w:fldChar w:fldCharType="separate"/>
    </w:r>
    <w:r w:rsidR="00A809F1">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AFA5FC" w14:textId="77777777" w:rsidR="00FD67EA" w:rsidRDefault="00FD67E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6E6DBF" w14:textId="77777777" w:rsidR="00D8245E" w:rsidRDefault="00D8245E">
      <w:pPr>
        <w:spacing w:line="240" w:lineRule="auto"/>
      </w:pPr>
      <w:r>
        <w:separator/>
      </w:r>
    </w:p>
  </w:footnote>
  <w:footnote w:type="continuationSeparator" w:id="0">
    <w:p w14:paraId="31CD46CB" w14:textId="77777777" w:rsidR="00D8245E" w:rsidRDefault="00D8245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A61468"/>
    <w:multiLevelType w:val="hybridMultilevel"/>
    <w:tmpl w:val="39EC5D8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374537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67EA"/>
    <w:rsid w:val="001B09D4"/>
    <w:rsid w:val="007E7B5D"/>
    <w:rsid w:val="00A809F1"/>
    <w:rsid w:val="00AD3C82"/>
    <w:rsid w:val="00CC05BF"/>
    <w:rsid w:val="00D8245E"/>
    <w:rsid w:val="00E273C6"/>
    <w:rsid w:val="00FD67EA"/>
  </w:rsids>
  <m:mathPr>
    <m:mathFont m:val="Cambria Math"/>
    <m:brkBin m:val="before"/>
    <m:brkBinSub m:val="--"/>
    <m:smallFrac m:val="0"/>
    <m:dispDef/>
    <m:lMargin m:val="0"/>
    <m:rMargin m:val="0"/>
    <m:defJc m:val="centerGroup"/>
    <m:wrapIndent m:val="1440"/>
    <m:intLim m:val="subSup"/>
    <m:naryLim m:val="undOvr"/>
  </m:mathPr>
  <w:themeFontLang w:val="en-IN" w:eastAsia="zh-TW"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908A8B"/>
  <w15:docId w15:val="{5D49E33C-7978-4778-8315-C1CFE2EF1C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bCs/>
      <w:sz w:val="28"/>
      <w:szCs w:val="28"/>
    </w:rPr>
  </w:style>
  <w:style w:type="paragraph" w:styleId="Heading2">
    <w:name w:val="heading 2"/>
    <w:basedOn w:val="Normal"/>
    <w:next w:val="Normal"/>
    <w:pPr>
      <w:keepNext/>
      <w:keepLines/>
      <w:outlineLvl w:val="1"/>
    </w:pPr>
    <w:rPr>
      <w:b/>
      <w:bCs/>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paragraph" w:styleId="ListParagraph">
    <w:name w:val="List Paragraph"/>
    <w:basedOn w:val="Normal"/>
    <w:uiPriority w:val="34"/>
    <w:qFormat/>
    <w:rsid w:val="00CC05B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doi.org/10.38192/15.3.4" TargetMode="External"/><Relationship Id="rId18" Type="http://schemas.openxmlformats.org/officeDocument/2006/relationships/hyperlink" Target="https://www.bbc.com/news/articles/c9q740wnvpno" TargetMode="External"/><Relationship Id="rId26" Type="http://schemas.openxmlformats.org/officeDocument/2006/relationships/hyperlink" Target="https://www.independent.co.uk/news/uk/cqc-hereford-manchester-crown-court-b2647186.html" TargetMode="External"/><Relationship Id="rId3" Type="http://schemas.openxmlformats.org/officeDocument/2006/relationships/settings" Target="settings.xml"/><Relationship Id="rId21" Type="http://schemas.openxmlformats.org/officeDocument/2006/relationships/hyperlink" Target="https://www.leansixsigmadefinition.com/wp-content/uploads/2020/06/fishbone_ishikawa_cause_effect_diagram.png" TargetMode="External"/><Relationship Id="rId34" Type="http://schemas.openxmlformats.org/officeDocument/2006/relationships/footer" Target="footer2.xml"/><Relationship Id="rId7" Type="http://schemas.openxmlformats.org/officeDocument/2006/relationships/image" Target="media/image1.png"/><Relationship Id="rId12" Type="http://schemas.openxmlformats.org/officeDocument/2006/relationships/hyperlink" Target="https://doi.org/10.38192/15.3.4" TargetMode="External"/><Relationship Id="rId17" Type="http://schemas.openxmlformats.org/officeDocument/2006/relationships/hyperlink" Target="https://doi.org/10.1136/bmj.p2273" TargetMode="External"/><Relationship Id="rId25" Type="http://schemas.openxmlformats.org/officeDocument/2006/relationships/hyperlink" Target="https://www.england.nhs.uk/ourwork/freedom-to-speak-up/" TargetMode="External"/><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doi.org/10.1136/bmj.p2273" TargetMode="External"/><Relationship Id="rId20" Type="http://schemas.openxmlformats.org/officeDocument/2006/relationships/hyperlink" Target="https://doi.org/10.1037/pro0000468" TargetMode="External"/><Relationship Id="rId29" Type="http://schemas.openxmlformats.org/officeDocument/2006/relationships/hyperlink" Target="https://doi.org/10.4103/2229-5151.12800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16/j.wombi.2024.101593" TargetMode="External"/><Relationship Id="rId24" Type="http://schemas.openxmlformats.org/officeDocument/2006/relationships/hyperlink" Target="https://www.england.nhs.uk/ourwork/freedom-to-speak-up/" TargetMode="External"/><Relationship Id="rId32" Type="http://schemas.openxmlformats.org/officeDocument/2006/relationships/hyperlink" Target="https://doi.org/10.1097/PTS.0000000000000901" TargetMode="External"/><Relationship Id="rId5" Type="http://schemas.openxmlformats.org/officeDocument/2006/relationships/footnotes" Target="footnotes.xml"/><Relationship Id="rId15" Type="http://schemas.openxmlformats.org/officeDocument/2006/relationships/hyperlink" Target="https://www.theguardian.com/uk-news/2023/aug/18/lucy-letby-whistleblower-babies-would-have-survived-if-hospital-had-acted-sooner" TargetMode="External"/><Relationship Id="rId23" Type="http://schemas.openxmlformats.org/officeDocument/2006/relationships/hyperlink" Target="https://www.bbc.com/news/uk-66120934" TargetMode="External"/><Relationship Id="rId28" Type="http://schemas.openxmlformats.org/officeDocument/2006/relationships/hyperlink" Target="https://doi.org/10.4103/2229-5151.128005" TargetMode="External"/><Relationship Id="rId36" Type="http://schemas.openxmlformats.org/officeDocument/2006/relationships/theme" Target="theme/theme1.xml"/><Relationship Id="rId10" Type="http://schemas.openxmlformats.org/officeDocument/2006/relationships/hyperlink" Target="https://doi.org/10.1016/j.wombi.2024.101593" TargetMode="External"/><Relationship Id="rId19" Type="http://schemas.openxmlformats.org/officeDocument/2006/relationships/hyperlink" Target="https://www.bbc.com/news/articles/c9q740wnvpno" TargetMode="External"/><Relationship Id="rId31" Type="http://schemas.openxmlformats.org/officeDocument/2006/relationships/hyperlink" Target="https://www.bbc.com/news/articles/ce8y28ny1n0o" TargetMode="External"/><Relationship Id="rId4" Type="http://schemas.openxmlformats.org/officeDocument/2006/relationships/webSettings" Target="webSettings.xml"/><Relationship Id="rId9" Type="http://schemas.openxmlformats.org/officeDocument/2006/relationships/hyperlink" Target="https://www.penningtonslaw.com/news-publications/latest-news/2023/the-lessons-to-be-learned-across-the-nhs-following-the-lucy-letby-verdict" TargetMode="External"/><Relationship Id="rId14" Type="http://schemas.openxmlformats.org/officeDocument/2006/relationships/hyperlink" Target="https://www.theguardian.com/uk-news/2023/aug/18/lucy-letby-whistleblower-babies-would-have-survived-if-hospital-had-acted-sooner" TargetMode="External"/><Relationship Id="rId22" Type="http://schemas.openxmlformats.org/officeDocument/2006/relationships/hyperlink" Target="https://www.bbc.com/news/uk-66120934" TargetMode="External"/><Relationship Id="rId27" Type="http://schemas.openxmlformats.org/officeDocument/2006/relationships/hyperlink" Target="https://www.independent.co.uk/news/uk/cqc-hereford-manchester-crown-court-b2647186.html" TargetMode="External"/><Relationship Id="rId30" Type="http://schemas.openxmlformats.org/officeDocument/2006/relationships/hyperlink" Target="https://www.bbc.com/news/articles/ce8y28ny1n0o" TargetMode="External"/><Relationship Id="rId35" Type="http://schemas.openxmlformats.org/officeDocument/2006/relationships/fontTable" Target="fontTable.xml"/><Relationship Id="rId8" Type="http://schemas.openxmlformats.org/officeDocument/2006/relationships/hyperlink" Target="https://www.penningtonslaw.com/news-publications/latest-news/2023/the-lessons-to-be-learned-across-the-nhs-following-the-lucy-letby-verdict"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3773</Words>
  <Characters>25776</Characters>
  <Application>Microsoft Office Word</Application>
  <DocSecurity>0</DocSecurity>
  <Lines>548</Lines>
  <Paragraphs>220</Paragraphs>
  <ScaleCrop>false</ScaleCrop>
  <Company/>
  <LinksUpToDate>false</LinksUpToDate>
  <CharactersWithSpaces>29329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17563</cp:lastModifiedBy>
  <cp:revision>3</cp:revision>
  <dcterms:created xsi:type="dcterms:W3CDTF">2025-12-09T17:49:00Z</dcterms:created>
  <dcterms:modified xsi:type="dcterms:W3CDTF">2025-12-10T17:23:00Z</dcterms:modified>
</cp:coreProperties>
</file>