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95C391" w14:textId="6F5AA096" w:rsidR="00932E68" w:rsidRPr="0038306B" w:rsidRDefault="0038306B" w:rsidP="0038306B">
      <w:pPr>
        <w:jc w:val="center"/>
        <w:rPr>
          <w:rFonts w:ascii="Arial" w:hAnsi="Arial" w:cs="Arial"/>
          <w:sz w:val="24"/>
          <w:szCs w:val="24"/>
          <w:u w:val="single"/>
        </w:rPr>
      </w:pPr>
      <w:r w:rsidRPr="0038306B">
        <w:rPr>
          <w:rFonts w:ascii="Arial" w:hAnsi="Arial" w:cs="Arial"/>
          <w:sz w:val="24"/>
          <w:szCs w:val="24"/>
          <w:u w:val="single"/>
        </w:rPr>
        <w:t>Reference List</w:t>
      </w:r>
    </w:p>
    <w:p w14:paraId="5466248E" w14:textId="7E98FA16" w:rsidR="00AD3B8D" w:rsidRPr="0038306B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3B8D">
        <w:rPr>
          <w:rFonts w:ascii="Arial" w:hAnsi="Arial" w:cs="Arial"/>
          <w:sz w:val="24"/>
          <w:szCs w:val="24"/>
          <w:lang w:val="en-US"/>
        </w:rPr>
        <w:t xml:space="preserve">Baker, C. (2011) </w:t>
      </w:r>
      <w:r w:rsidRPr="00AD3B8D">
        <w:rPr>
          <w:rFonts w:ascii="Arial" w:hAnsi="Arial" w:cs="Arial"/>
          <w:i/>
          <w:iCs/>
          <w:sz w:val="24"/>
          <w:szCs w:val="24"/>
          <w:lang w:val="en-US"/>
        </w:rPr>
        <w:t>Foundations of Bilingual Education and Bilingualism</w:t>
      </w:r>
      <w:r w:rsidRPr="00AD3B8D">
        <w:rPr>
          <w:rFonts w:ascii="Arial" w:hAnsi="Arial" w:cs="Arial"/>
          <w:sz w:val="24"/>
          <w:szCs w:val="24"/>
          <w:lang w:val="en-US"/>
        </w:rPr>
        <w:t xml:space="preserve"> (5th ed). </w:t>
      </w:r>
      <w:proofErr w:type="spellStart"/>
      <w:r w:rsidRPr="00AD3B8D">
        <w:rPr>
          <w:rFonts w:ascii="Arial" w:hAnsi="Arial" w:cs="Arial"/>
          <w:sz w:val="24"/>
          <w:szCs w:val="24"/>
          <w:lang w:val="en-US"/>
        </w:rPr>
        <w:t>Clevedon</w:t>
      </w:r>
      <w:proofErr w:type="spellEnd"/>
      <w:r w:rsidRPr="00AD3B8D">
        <w:rPr>
          <w:rFonts w:ascii="Arial" w:hAnsi="Arial" w:cs="Arial"/>
          <w:sz w:val="24"/>
          <w:szCs w:val="24"/>
          <w:lang w:val="en-US"/>
        </w:rPr>
        <w:t>: Multilingual Matters.</w:t>
      </w:r>
    </w:p>
    <w:p w14:paraId="2D746E95" w14:textId="4DBF06E4" w:rsidR="00085DE8" w:rsidRPr="0038306B" w:rsidRDefault="00085DE8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306B">
        <w:rPr>
          <w:rFonts w:ascii="Arial" w:hAnsi="Arial" w:cs="Arial"/>
          <w:sz w:val="24"/>
          <w:szCs w:val="24"/>
        </w:rPr>
        <w:t xml:space="preserve">Carmarthenshire County Council. 2021. </w:t>
      </w:r>
      <w:r w:rsidRPr="0038306B">
        <w:rPr>
          <w:rFonts w:ascii="Arial" w:hAnsi="Arial" w:cs="Arial"/>
          <w:i/>
          <w:iCs/>
          <w:sz w:val="24"/>
          <w:szCs w:val="24"/>
        </w:rPr>
        <w:t>Advantages of being bilingual</w:t>
      </w:r>
      <w:r w:rsidRPr="0038306B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38306B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https://www.carmarthenshire.gov.wales/home/council-services/education-schools/bilingual-education/advantages-of-being-bilingual/#.YF7-8j-nzIV</w:t>
        </w:r>
      </w:hyperlink>
      <w:r w:rsidRPr="0038306B">
        <w:rPr>
          <w:rFonts w:ascii="Arial" w:hAnsi="Arial" w:cs="Arial"/>
          <w:sz w:val="24"/>
          <w:szCs w:val="24"/>
        </w:rPr>
        <w:t xml:space="preserve"> (Accessed: 18</w:t>
      </w:r>
      <w:r w:rsidRPr="0038306B">
        <w:rPr>
          <w:rFonts w:ascii="Arial" w:hAnsi="Arial" w:cs="Arial"/>
          <w:sz w:val="24"/>
          <w:szCs w:val="24"/>
          <w:vertAlign w:val="superscript"/>
        </w:rPr>
        <w:t>th</w:t>
      </w:r>
      <w:r w:rsidRPr="0038306B">
        <w:rPr>
          <w:rFonts w:ascii="Arial" w:hAnsi="Arial" w:cs="Arial"/>
          <w:sz w:val="24"/>
          <w:szCs w:val="24"/>
        </w:rPr>
        <w:t xml:space="preserve"> March 2021). </w:t>
      </w:r>
    </w:p>
    <w:p w14:paraId="0B65ADEB" w14:textId="77777777" w:rsidR="00AD3B8D" w:rsidRPr="00AD3B8D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D3B8D">
        <w:rPr>
          <w:rFonts w:ascii="Arial" w:hAnsi="Arial" w:cs="Arial"/>
          <w:sz w:val="24"/>
          <w:szCs w:val="24"/>
        </w:rPr>
        <w:t>Cenzo</w:t>
      </w:r>
      <w:proofErr w:type="spellEnd"/>
      <w:r w:rsidRPr="00AD3B8D">
        <w:rPr>
          <w:rFonts w:ascii="Arial" w:hAnsi="Arial" w:cs="Arial"/>
          <w:sz w:val="24"/>
          <w:szCs w:val="24"/>
        </w:rPr>
        <w:t xml:space="preserve">, J. (2013) ‘Introduction to Multilingualism’, </w:t>
      </w:r>
      <w:r w:rsidRPr="00AD3B8D">
        <w:rPr>
          <w:rFonts w:ascii="Arial" w:hAnsi="Arial" w:cs="Arial"/>
          <w:i/>
          <w:sz w:val="24"/>
          <w:szCs w:val="24"/>
        </w:rPr>
        <w:t>Annual Review of Applied Linguistics</w:t>
      </w:r>
      <w:r w:rsidRPr="00AD3B8D">
        <w:rPr>
          <w:rFonts w:ascii="Arial" w:hAnsi="Arial" w:cs="Arial"/>
          <w:sz w:val="24"/>
          <w:szCs w:val="24"/>
        </w:rPr>
        <w:t>, 33, pp. 3-18.</w:t>
      </w:r>
    </w:p>
    <w:p w14:paraId="34783E0F" w14:textId="07B6D2C0" w:rsidR="00AD3B8D" w:rsidRPr="0038306B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3B8D">
        <w:rPr>
          <w:rFonts w:ascii="Arial" w:hAnsi="Arial" w:cs="Arial"/>
          <w:sz w:val="24"/>
          <w:szCs w:val="24"/>
        </w:rPr>
        <w:t xml:space="preserve">Conteh, J. (2015) </w:t>
      </w:r>
      <w:r w:rsidRPr="00AD3B8D">
        <w:rPr>
          <w:rFonts w:ascii="Arial" w:hAnsi="Arial" w:cs="Arial"/>
          <w:i/>
          <w:iCs/>
          <w:sz w:val="24"/>
          <w:szCs w:val="24"/>
        </w:rPr>
        <w:t xml:space="preserve">The EAL Teaching Book, Promoting Success for Multilingual Learners. </w:t>
      </w:r>
      <w:r w:rsidRPr="00AD3B8D">
        <w:rPr>
          <w:rFonts w:ascii="Arial" w:hAnsi="Arial" w:cs="Arial"/>
          <w:sz w:val="24"/>
          <w:szCs w:val="24"/>
        </w:rPr>
        <w:t xml:space="preserve">2nd </w:t>
      </w:r>
      <w:proofErr w:type="spellStart"/>
      <w:r w:rsidRPr="00AD3B8D">
        <w:rPr>
          <w:rFonts w:ascii="Arial" w:hAnsi="Arial" w:cs="Arial"/>
          <w:sz w:val="24"/>
          <w:szCs w:val="24"/>
        </w:rPr>
        <w:t>edn</w:t>
      </w:r>
      <w:proofErr w:type="spellEnd"/>
      <w:r w:rsidRPr="00AD3B8D">
        <w:rPr>
          <w:rFonts w:ascii="Arial" w:hAnsi="Arial" w:cs="Arial"/>
          <w:sz w:val="24"/>
          <w:szCs w:val="24"/>
        </w:rPr>
        <w:t xml:space="preserve">. London: Learning matters. </w:t>
      </w:r>
    </w:p>
    <w:p w14:paraId="22B1D1BE" w14:textId="566C5CD8" w:rsidR="00085DE8" w:rsidRPr="0038306B" w:rsidRDefault="00085DE8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306B">
        <w:rPr>
          <w:rFonts w:ascii="Arial" w:hAnsi="Arial" w:cs="Arial"/>
          <w:sz w:val="24"/>
          <w:szCs w:val="24"/>
        </w:rPr>
        <w:t xml:space="preserve">Drummond, C. 2014. How can UK schools support young children learning </w:t>
      </w:r>
      <w:proofErr w:type="gramStart"/>
      <w:r w:rsidRPr="0038306B">
        <w:rPr>
          <w:rFonts w:ascii="Arial" w:hAnsi="Arial" w:cs="Arial"/>
          <w:sz w:val="24"/>
          <w:szCs w:val="24"/>
        </w:rPr>
        <w:t>English.</w:t>
      </w:r>
      <w:proofErr w:type="gramEnd"/>
      <w:r w:rsidRPr="0038306B">
        <w:rPr>
          <w:rFonts w:ascii="Arial" w:hAnsi="Arial" w:cs="Arial"/>
          <w:sz w:val="24"/>
          <w:szCs w:val="24"/>
        </w:rPr>
        <w:t xml:space="preserve"> </w:t>
      </w:r>
      <w:r w:rsidR="00AD3B8D" w:rsidRPr="0038306B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AD3B8D" w:rsidRPr="0038306B">
          <w:rPr>
            <w:rStyle w:val="Hyperlink"/>
            <w:rFonts w:ascii="Arial" w:hAnsi="Arial" w:cs="Arial"/>
            <w:sz w:val="24"/>
            <w:szCs w:val="24"/>
          </w:rPr>
          <w:t>https://www.britishcouncil.org/voices-magazine/how-uk-schools-support-young-learners-english</w:t>
        </w:r>
      </w:hyperlink>
      <w:r w:rsidR="00AD3B8D" w:rsidRPr="0038306B">
        <w:rPr>
          <w:rFonts w:ascii="Arial" w:hAnsi="Arial" w:cs="Arial"/>
          <w:sz w:val="24"/>
          <w:szCs w:val="24"/>
        </w:rPr>
        <w:t xml:space="preserve"> (Accessed: 20</w:t>
      </w:r>
      <w:r w:rsidR="00AD3B8D" w:rsidRPr="0038306B">
        <w:rPr>
          <w:rFonts w:ascii="Arial" w:hAnsi="Arial" w:cs="Arial"/>
          <w:sz w:val="24"/>
          <w:szCs w:val="24"/>
          <w:vertAlign w:val="superscript"/>
        </w:rPr>
        <w:t>th</w:t>
      </w:r>
      <w:r w:rsidR="00AD3B8D" w:rsidRPr="0038306B">
        <w:rPr>
          <w:rFonts w:ascii="Arial" w:hAnsi="Arial" w:cs="Arial"/>
          <w:sz w:val="24"/>
          <w:szCs w:val="24"/>
        </w:rPr>
        <w:t xml:space="preserve"> March 2021). </w:t>
      </w:r>
    </w:p>
    <w:p w14:paraId="1632BA0A" w14:textId="331803F2" w:rsidR="00AD3B8D" w:rsidRPr="0038306B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3B8D">
        <w:rPr>
          <w:rFonts w:ascii="Arial" w:hAnsi="Arial" w:cs="Arial"/>
          <w:sz w:val="24"/>
          <w:szCs w:val="24"/>
        </w:rPr>
        <w:t xml:space="preserve">Garcia, O. (2009) </w:t>
      </w:r>
      <w:r w:rsidRPr="00AD3B8D">
        <w:rPr>
          <w:rFonts w:ascii="Arial" w:hAnsi="Arial" w:cs="Arial"/>
          <w:i/>
          <w:sz w:val="24"/>
          <w:szCs w:val="24"/>
        </w:rPr>
        <w:t>Bilingual Education in the 21</w:t>
      </w:r>
      <w:r w:rsidRPr="00AD3B8D">
        <w:rPr>
          <w:rFonts w:ascii="Arial" w:hAnsi="Arial" w:cs="Arial"/>
          <w:i/>
          <w:sz w:val="24"/>
          <w:szCs w:val="24"/>
          <w:vertAlign w:val="superscript"/>
        </w:rPr>
        <w:t>st</w:t>
      </w:r>
      <w:r w:rsidRPr="00AD3B8D">
        <w:rPr>
          <w:rFonts w:ascii="Arial" w:hAnsi="Arial" w:cs="Arial"/>
          <w:i/>
          <w:sz w:val="24"/>
          <w:szCs w:val="24"/>
        </w:rPr>
        <w:t xml:space="preserve"> Century A Global Perspective. </w:t>
      </w:r>
      <w:r w:rsidRPr="00AD3B8D">
        <w:rPr>
          <w:rFonts w:ascii="Arial" w:hAnsi="Arial" w:cs="Arial"/>
          <w:sz w:val="24"/>
          <w:szCs w:val="24"/>
        </w:rPr>
        <w:t>Oxford: Wiley-Blackwell</w:t>
      </w:r>
    </w:p>
    <w:p w14:paraId="060AB944" w14:textId="05C2CAFE" w:rsidR="00D76BF0" w:rsidRPr="0038306B" w:rsidRDefault="00BF577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306B">
        <w:rPr>
          <w:rFonts w:ascii="Arial" w:hAnsi="Arial" w:cs="Arial"/>
          <w:sz w:val="24"/>
          <w:szCs w:val="24"/>
        </w:rPr>
        <w:t>Goodman</w:t>
      </w:r>
      <w:r w:rsidR="00085DE8" w:rsidRPr="0038306B">
        <w:rPr>
          <w:rFonts w:ascii="Arial" w:hAnsi="Arial" w:cs="Arial"/>
          <w:sz w:val="24"/>
          <w:szCs w:val="24"/>
        </w:rPr>
        <w:t>, S.</w:t>
      </w:r>
      <w:r w:rsidRPr="0038306B">
        <w:rPr>
          <w:rFonts w:ascii="Arial" w:hAnsi="Arial" w:cs="Arial"/>
          <w:sz w:val="24"/>
          <w:szCs w:val="24"/>
        </w:rPr>
        <w:t xml:space="preserve"> 2014</w:t>
      </w:r>
      <w:r w:rsidR="00085DE8" w:rsidRPr="0038306B">
        <w:rPr>
          <w:rFonts w:ascii="Arial" w:hAnsi="Arial" w:cs="Arial"/>
          <w:sz w:val="24"/>
          <w:szCs w:val="24"/>
        </w:rPr>
        <w:t xml:space="preserve">. </w:t>
      </w:r>
      <w:r w:rsidR="00085DE8" w:rsidRPr="0038306B">
        <w:rPr>
          <w:rFonts w:ascii="Arial" w:hAnsi="Arial" w:cs="Arial"/>
          <w:i/>
          <w:iCs/>
          <w:sz w:val="24"/>
          <w:szCs w:val="24"/>
        </w:rPr>
        <w:t xml:space="preserve">Fuel Creativity in the Classroom </w:t>
      </w:r>
      <w:proofErr w:type="gramStart"/>
      <w:r w:rsidR="00085DE8" w:rsidRPr="0038306B">
        <w:rPr>
          <w:rFonts w:ascii="Arial" w:hAnsi="Arial" w:cs="Arial"/>
          <w:i/>
          <w:iCs/>
          <w:sz w:val="24"/>
          <w:szCs w:val="24"/>
        </w:rPr>
        <w:t>With</w:t>
      </w:r>
      <w:proofErr w:type="gramEnd"/>
      <w:r w:rsidR="00085DE8" w:rsidRPr="0038306B">
        <w:rPr>
          <w:rFonts w:ascii="Arial" w:hAnsi="Arial" w:cs="Arial"/>
          <w:i/>
          <w:iCs/>
          <w:sz w:val="24"/>
          <w:szCs w:val="24"/>
        </w:rPr>
        <w:t xml:space="preserve"> Divergent Thinking</w:t>
      </w:r>
      <w:r w:rsidR="00085DE8" w:rsidRPr="0038306B">
        <w:rPr>
          <w:rFonts w:ascii="Arial" w:hAnsi="Arial" w:cs="Arial"/>
          <w:i/>
          <w:iCs/>
          <w:sz w:val="24"/>
          <w:szCs w:val="24"/>
        </w:rPr>
        <w:t>.</w:t>
      </w:r>
      <w:r w:rsidR="00085DE8" w:rsidRPr="0038306B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085DE8" w:rsidRPr="0038306B">
          <w:rPr>
            <w:rStyle w:val="Hyperlink"/>
            <w:rFonts w:ascii="Arial" w:hAnsi="Arial" w:cs="Arial"/>
            <w:sz w:val="24"/>
            <w:szCs w:val="24"/>
          </w:rPr>
          <w:t>https://www.edutopia.org/blog/fueling-creativity-through-divergent-thinking-classroom-stacey-goodman</w:t>
        </w:r>
      </w:hyperlink>
      <w:r w:rsidR="00085DE8" w:rsidRPr="0038306B">
        <w:rPr>
          <w:rFonts w:ascii="Arial" w:hAnsi="Arial" w:cs="Arial"/>
          <w:sz w:val="24"/>
          <w:szCs w:val="24"/>
        </w:rPr>
        <w:t xml:space="preserve"> (Accessed: 25</w:t>
      </w:r>
      <w:r w:rsidR="00085DE8" w:rsidRPr="0038306B">
        <w:rPr>
          <w:rFonts w:ascii="Arial" w:hAnsi="Arial" w:cs="Arial"/>
          <w:sz w:val="24"/>
          <w:szCs w:val="24"/>
          <w:vertAlign w:val="superscript"/>
        </w:rPr>
        <w:t>th</w:t>
      </w:r>
      <w:r w:rsidR="00085DE8" w:rsidRPr="0038306B">
        <w:rPr>
          <w:rFonts w:ascii="Arial" w:hAnsi="Arial" w:cs="Arial"/>
          <w:sz w:val="24"/>
          <w:szCs w:val="24"/>
        </w:rPr>
        <w:t xml:space="preserve"> March 2021).</w:t>
      </w:r>
    </w:p>
    <w:p w14:paraId="38A61DC7" w14:textId="77777777" w:rsidR="00AD3B8D" w:rsidRPr="00AD3B8D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D3B8D">
        <w:rPr>
          <w:rFonts w:ascii="Arial" w:hAnsi="Arial" w:cs="Arial"/>
          <w:sz w:val="24"/>
          <w:szCs w:val="24"/>
        </w:rPr>
        <w:t>Luk</w:t>
      </w:r>
      <w:proofErr w:type="spellEnd"/>
      <w:r w:rsidRPr="00AD3B8D">
        <w:rPr>
          <w:rFonts w:ascii="Arial" w:hAnsi="Arial" w:cs="Arial"/>
          <w:sz w:val="24"/>
          <w:szCs w:val="24"/>
        </w:rPr>
        <w:t>, E. and De Sa, E. (2011) ‘Is there a relation between onset age if bilingualism and enhancement of cognitive control?’</w:t>
      </w:r>
      <w:r w:rsidRPr="00AD3B8D">
        <w:rPr>
          <w:rFonts w:ascii="Arial" w:hAnsi="Arial" w:cs="Arial"/>
          <w:i/>
          <w:sz w:val="24"/>
          <w:szCs w:val="24"/>
        </w:rPr>
        <w:t xml:space="preserve"> Bilingualism: Language and Cognition</w:t>
      </w:r>
      <w:r w:rsidRPr="00AD3B8D">
        <w:rPr>
          <w:rFonts w:ascii="Arial" w:hAnsi="Arial" w:cs="Arial"/>
          <w:sz w:val="24"/>
          <w:szCs w:val="24"/>
        </w:rPr>
        <w:t>, 14(4), pp. 599-595.</w:t>
      </w:r>
    </w:p>
    <w:p w14:paraId="548B289A" w14:textId="4EF21EC2" w:rsidR="00AD3B8D" w:rsidRPr="0038306B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3B8D">
        <w:rPr>
          <w:rFonts w:ascii="Arial" w:hAnsi="Arial" w:cs="Arial"/>
          <w:sz w:val="24"/>
          <w:szCs w:val="24"/>
        </w:rPr>
        <w:t xml:space="preserve">McLeod, S. (2018) Skinner-Operant Conditioning. Available at: </w:t>
      </w:r>
      <w:hyperlink r:id="rId9" w:history="1">
        <w:r w:rsidRPr="00AD3B8D">
          <w:rPr>
            <w:rStyle w:val="Hyperlink"/>
            <w:rFonts w:ascii="Arial" w:hAnsi="Arial" w:cs="Arial"/>
            <w:sz w:val="24"/>
            <w:szCs w:val="24"/>
          </w:rPr>
          <w:t>https://www.simplypsychology.org/operant-conditioning.html</w:t>
        </w:r>
      </w:hyperlink>
      <w:r w:rsidRPr="00AD3B8D">
        <w:rPr>
          <w:rFonts w:ascii="Arial" w:hAnsi="Arial" w:cs="Arial"/>
          <w:sz w:val="24"/>
          <w:szCs w:val="24"/>
        </w:rPr>
        <w:t xml:space="preserve"> (Accessed: 2</w:t>
      </w:r>
      <w:r w:rsidRPr="0038306B">
        <w:rPr>
          <w:rFonts w:ascii="Arial" w:hAnsi="Arial" w:cs="Arial"/>
          <w:sz w:val="24"/>
          <w:szCs w:val="24"/>
        </w:rPr>
        <w:t>4</w:t>
      </w:r>
      <w:r w:rsidRPr="00AD3B8D">
        <w:rPr>
          <w:rFonts w:ascii="Arial" w:hAnsi="Arial" w:cs="Arial"/>
          <w:sz w:val="24"/>
          <w:szCs w:val="24"/>
          <w:vertAlign w:val="superscript"/>
        </w:rPr>
        <w:t>th</w:t>
      </w:r>
      <w:r w:rsidRPr="00AD3B8D">
        <w:rPr>
          <w:rFonts w:ascii="Arial" w:hAnsi="Arial" w:cs="Arial"/>
          <w:sz w:val="24"/>
          <w:szCs w:val="24"/>
        </w:rPr>
        <w:t xml:space="preserve"> March 20</w:t>
      </w:r>
      <w:r w:rsidRPr="0038306B">
        <w:rPr>
          <w:rFonts w:ascii="Arial" w:hAnsi="Arial" w:cs="Arial"/>
          <w:sz w:val="24"/>
          <w:szCs w:val="24"/>
        </w:rPr>
        <w:t>21</w:t>
      </w:r>
      <w:r w:rsidRPr="00AD3B8D">
        <w:rPr>
          <w:rFonts w:ascii="Arial" w:hAnsi="Arial" w:cs="Arial"/>
          <w:sz w:val="24"/>
          <w:szCs w:val="24"/>
        </w:rPr>
        <w:t>).</w:t>
      </w:r>
    </w:p>
    <w:p w14:paraId="3307FE4E" w14:textId="033563D4" w:rsidR="00AD3B8D" w:rsidRPr="00AD3B8D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D3B8D">
        <w:rPr>
          <w:rFonts w:ascii="Arial" w:hAnsi="Arial" w:cs="Arial"/>
          <w:sz w:val="24"/>
          <w:szCs w:val="24"/>
        </w:rPr>
        <w:t>Mudiad</w:t>
      </w:r>
      <w:proofErr w:type="spellEnd"/>
      <w:r w:rsidRPr="00AD3B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3B8D">
        <w:rPr>
          <w:rFonts w:ascii="Arial" w:hAnsi="Arial" w:cs="Arial"/>
          <w:sz w:val="24"/>
          <w:szCs w:val="24"/>
        </w:rPr>
        <w:t>Meithrin</w:t>
      </w:r>
      <w:proofErr w:type="spellEnd"/>
      <w:r w:rsidRPr="00AD3B8D">
        <w:rPr>
          <w:rFonts w:ascii="Arial" w:hAnsi="Arial" w:cs="Arial"/>
          <w:sz w:val="24"/>
          <w:szCs w:val="24"/>
        </w:rPr>
        <w:t xml:space="preserve"> (No date) </w:t>
      </w:r>
      <w:r w:rsidRPr="00AD3B8D">
        <w:rPr>
          <w:rFonts w:ascii="Arial" w:hAnsi="Arial" w:cs="Arial"/>
          <w:i/>
          <w:sz w:val="24"/>
          <w:szCs w:val="24"/>
        </w:rPr>
        <w:t>Language Immersion.</w:t>
      </w:r>
      <w:r w:rsidRPr="00AD3B8D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AD3B8D">
          <w:rPr>
            <w:rStyle w:val="Hyperlink"/>
            <w:rFonts w:ascii="Arial" w:hAnsi="Arial" w:cs="Arial"/>
            <w:sz w:val="24"/>
            <w:szCs w:val="24"/>
          </w:rPr>
          <w:t>https://www.meithrin.cymru/creo_files/upload/downloads/prif_egwyddorion_y_dull_trochi.pdf</w:t>
        </w:r>
      </w:hyperlink>
      <w:r w:rsidRPr="00AD3B8D">
        <w:rPr>
          <w:rFonts w:ascii="Arial" w:hAnsi="Arial" w:cs="Arial"/>
          <w:sz w:val="24"/>
          <w:szCs w:val="24"/>
        </w:rPr>
        <w:t xml:space="preserve"> (Accessed: 19</w:t>
      </w:r>
      <w:r w:rsidRPr="00AD3B8D">
        <w:rPr>
          <w:rFonts w:ascii="Arial" w:hAnsi="Arial" w:cs="Arial"/>
          <w:sz w:val="24"/>
          <w:szCs w:val="24"/>
          <w:vertAlign w:val="superscript"/>
        </w:rPr>
        <w:t>th</w:t>
      </w:r>
      <w:r w:rsidRPr="00AD3B8D">
        <w:rPr>
          <w:rFonts w:ascii="Arial" w:hAnsi="Arial" w:cs="Arial"/>
          <w:sz w:val="24"/>
          <w:szCs w:val="24"/>
        </w:rPr>
        <w:t xml:space="preserve"> March 20</w:t>
      </w:r>
      <w:r w:rsidRPr="0038306B">
        <w:rPr>
          <w:rFonts w:ascii="Arial" w:hAnsi="Arial" w:cs="Arial"/>
          <w:sz w:val="24"/>
          <w:szCs w:val="24"/>
        </w:rPr>
        <w:t>21</w:t>
      </w:r>
      <w:r w:rsidRPr="00AD3B8D">
        <w:rPr>
          <w:rFonts w:ascii="Arial" w:hAnsi="Arial" w:cs="Arial"/>
          <w:sz w:val="24"/>
          <w:szCs w:val="24"/>
        </w:rPr>
        <w:t>)</w:t>
      </w:r>
      <w:r w:rsidRPr="0038306B">
        <w:rPr>
          <w:rFonts w:ascii="Arial" w:hAnsi="Arial" w:cs="Arial"/>
          <w:sz w:val="24"/>
          <w:szCs w:val="24"/>
        </w:rPr>
        <w:t>.</w:t>
      </w:r>
    </w:p>
    <w:p w14:paraId="3BC3254E" w14:textId="32437663" w:rsidR="00085DE8" w:rsidRPr="0038306B" w:rsidRDefault="00085DE8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8306B">
        <w:rPr>
          <w:rFonts w:ascii="Arial" w:hAnsi="Arial" w:cs="Arial"/>
          <w:sz w:val="24"/>
          <w:szCs w:val="24"/>
        </w:rPr>
        <w:lastRenderedPageBreak/>
        <w:t>Trautner</w:t>
      </w:r>
      <w:proofErr w:type="spellEnd"/>
      <w:r w:rsidRPr="0038306B">
        <w:rPr>
          <w:rFonts w:ascii="Arial" w:hAnsi="Arial" w:cs="Arial"/>
          <w:sz w:val="24"/>
          <w:szCs w:val="24"/>
        </w:rPr>
        <w:t xml:space="preserve">, T. 2019. </w:t>
      </w:r>
      <w:r w:rsidRPr="0038306B">
        <w:rPr>
          <w:rFonts w:ascii="Arial" w:hAnsi="Arial" w:cs="Arial"/>
          <w:i/>
          <w:iCs/>
          <w:sz w:val="24"/>
          <w:szCs w:val="24"/>
        </w:rPr>
        <w:t>Advantages of a bilingual brain</w:t>
      </w:r>
      <w:r w:rsidRPr="0038306B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38306B">
          <w:rPr>
            <w:rStyle w:val="Hyperlink"/>
            <w:rFonts w:ascii="Arial" w:hAnsi="Arial" w:cs="Arial"/>
            <w:sz w:val="24"/>
            <w:szCs w:val="24"/>
          </w:rPr>
          <w:t>https://www.canr.msu.edu/news/advantages_of_a_bilingual_brain</w:t>
        </w:r>
      </w:hyperlink>
      <w:r w:rsidRPr="0038306B">
        <w:rPr>
          <w:rFonts w:ascii="Arial" w:hAnsi="Arial" w:cs="Arial"/>
          <w:sz w:val="24"/>
          <w:szCs w:val="24"/>
        </w:rPr>
        <w:t xml:space="preserve"> (Accessed: 17</w:t>
      </w:r>
      <w:r w:rsidRPr="0038306B">
        <w:rPr>
          <w:rFonts w:ascii="Arial" w:hAnsi="Arial" w:cs="Arial"/>
          <w:sz w:val="24"/>
          <w:szCs w:val="24"/>
          <w:vertAlign w:val="superscript"/>
        </w:rPr>
        <w:t>th</w:t>
      </w:r>
      <w:r w:rsidRPr="0038306B">
        <w:rPr>
          <w:rFonts w:ascii="Arial" w:hAnsi="Arial" w:cs="Arial"/>
          <w:sz w:val="24"/>
          <w:szCs w:val="24"/>
        </w:rPr>
        <w:t xml:space="preserve"> March 2021). </w:t>
      </w:r>
    </w:p>
    <w:p w14:paraId="61217A8C" w14:textId="5DE1B29B" w:rsidR="00AD3B8D" w:rsidRPr="0038306B" w:rsidRDefault="00AD3B8D" w:rsidP="0038306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AD3B8D">
        <w:rPr>
          <w:rFonts w:ascii="Arial" w:hAnsi="Arial" w:cs="Arial"/>
          <w:sz w:val="24"/>
          <w:szCs w:val="24"/>
          <w:lang w:val="en-US"/>
        </w:rPr>
        <w:t>Unicef</w:t>
      </w:r>
      <w:proofErr w:type="spellEnd"/>
      <w:r w:rsidRPr="00AD3B8D">
        <w:rPr>
          <w:rFonts w:ascii="Arial" w:hAnsi="Arial" w:cs="Arial"/>
          <w:sz w:val="24"/>
          <w:szCs w:val="24"/>
          <w:lang w:val="en-US"/>
        </w:rPr>
        <w:t xml:space="preserve"> (No date) </w:t>
      </w:r>
      <w:r w:rsidRPr="00AD3B8D">
        <w:rPr>
          <w:rFonts w:ascii="Arial" w:hAnsi="Arial" w:cs="Arial"/>
          <w:i/>
          <w:sz w:val="24"/>
          <w:szCs w:val="24"/>
          <w:lang w:val="en-US"/>
        </w:rPr>
        <w:t>United Nations Convention on the Rights for the child</w:t>
      </w:r>
      <w:r w:rsidRPr="00AD3B8D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2" w:history="1">
        <w:r w:rsidRPr="00AD3B8D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https://www.unicef.org.uk/what-we-do/un-convention-child-rights/</w:t>
        </w:r>
      </w:hyperlink>
      <w:r w:rsidRPr="00AD3B8D">
        <w:rPr>
          <w:rFonts w:ascii="Arial" w:hAnsi="Arial" w:cs="Arial"/>
          <w:sz w:val="24"/>
          <w:szCs w:val="24"/>
          <w:lang w:val="en-US"/>
        </w:rPr>
        <w:t xml:space="preserve"> (Accessed: 2</w:t>
      </w:r>
      <w:r w:rsidRPr="0038306B">
        <w:rPr>
          <w:rFonts w:ascii="Arial" w:hAnsi="Arial" w:cs="Arial"/>
          <w:sz w:val="24"/>
          <w:szCs w:val="24"/>
          <w:lang w:val="en-US"/>
        </w:rPr>
        <w:t>4</w:t>
      </w:r>
      <w:r w:rsidRPr="00AD3B8D">
        <w:rPr>
          <w:rFonts w:ascii="Arial" w:hAnsi="Arial" w:cs="Arial"/>
          <w:sz w:val="24"/>
          <w:szCs w:val="24"/>
          <w:lang w:val="en-US"/>
        </w:rPr>
        <w:t>th March 20</w:t>
      </w:r>
      <w:r w:rsidRPr="0038306B">
        <w:rPr>
          <w:rFonts w:ascii="Arial" w:hAnsi="Arial" w:cs="Arial"/>
          <w:sz w:val="24"/>
          <w:szCs w:val="24"/>
          <w:lang w:val="en-US"/>
        </w:rPr>
        <w:t>21</w:t>
      </w:r>
      <w:r w:rsidRPr="00AD3B8D">
        <w:rPr>
          <w:rFonts w:ascii="Arial" w:hAnsi="Arial" w:cs="Arial"/>
          <w:sz w:val="24"/>
          <w:szCs w:val="24"/>
          <w:lang w:val="en-US"/>
        </w:rPr>
        <w:t>).</w:t>
      </w:r>
    </w:p>
    <w:p w14:paraId="20FEDEAD" w14:textId="1BFC5E87" w:rsidR="00085DE8" w:rsidRPr="0038306B" w:rsidRDefault="00085DE8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306B">
        <w:rPr>
          <w:rFonts w:ascii="Arial" w:hAnsi="Arial" w:cs="Arial"/>
          <w:sz w:val="24"/>
          <w:szCs w:val="24"/>
        </w:rPr>
        <w:t xml:space="preserve">Welsh Government. 2019. </w:t>
      </w:r>
      <w:r w:rsidRPr="0038306B">
        <w:rPr>
          <w:rFonts w:ascii="Arial" w:hAnsi="Arial" w:cs="Arial"/>
          <w:i/>
          <w:iCs/>
          <w:sz w:val="24"/>
          <w:szCs w:val="24"/>
        </w:rPr>
        <w:t>Siarter Iaith Framework: Initial guidance for schools</w:t>
      </w:r>
      <w:r w:rsidRPr="0038306B">
        <w:rPr>
          <w:rFonts w:ascii="Arial" w:hAnsi="Arial" w:cs="Arial"/>
          <w:sz w:val="24"/>
          <w:szCs w:val="24"/>
        </w:rPr>
        <w:t>. Wales: Welsh Government.</w:t>
      </w:r>
    </w:p>
    <w:p w14:paraId="571E60AE" w14:textId="250A8E39" w:rsidR="009B0369" w:rsidRPr="0038306B" w:rsidRDefault="00085DE8" w:rsidP="00383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306B">
        <w:rPr>
          <w:rFonts w:ascii="Arial" w:hAnsi="Arial" w:cs="Arial"/>
          <w:sz w:val="24"/>
          <w:szCs w:val="24"/>
        </w:rPr>
        <w:t xml:space="preserve">Welsh Government. 2021. </w:t>
      </w:r>
      <w:r w:rsidRPr="0038306B">
        <w:rPr>
          <w:rFonts w:ascii="Arial" w:hAnsi="Arial" w:cs="Arial"/>
          <w:i/>
          <w:iCs/>
          <w:sz w:val="24"/>
          <w:szCs w:val="24"/>
        </w:rPr>
        <w:t>Siarter Iaith.</w:t>
      </w:r>
      <w:r w:rsidRPr="0038306B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38306B">
          <w:rPr>
            <w:rStyle w:val="Hyperlink"/>
            <w:rFonts w:ascii="Arial" w:hAnsi="Arial" w:cs="Arial"/>
            <w:sz w:val="24"/>
            <w:szCs w:val="24"/>
          </w:rPr>
          <w:t>https://hwb.gov.wales/curriculum-for-wales/siarter-iaith</w:t>
        </w:r>
      </w:hyperlink>
      <w:r w:rsidRPr="0038306B">
        <w:rPr>
          <w:rFonts w:ascii="Arial" w:hAnsi="Arial" w:cs="Arial"/>
          <w:sz w:val="24"/>
          <w:szCs w:val="24"/>
        </w:rPr>
        <w:t xml:space="preserve"> (Accessed 25th March 2021). </w:t>
      </w:r>
    </w:p>
    <w:sectPr w:rsidR="009B0369" w:rsidRPr="0038306B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74B801" w14:textId="77777777" w:rsidR="001A596A" w:rsidRDefault="001A596A" w:rsidP="0038306B">
      <w:pPr>
        <w:spacing w:after="0" w:line="240" w:lineRule="auto"/>
      </w:pPr>
      <w:r>
        <w:separator/>
      </w:r>
    </w:p>
  </w:endnote>
  <w:endnote w:type="continuationSeparator" w:id="0">
    <w:p w14:paraId="6BBCE3E1" w14:textId="77777777" w:rsidR="001A596A" w:rsidRDefault="001A596A" w:rsidP="003830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8FD413" w14:textId="77777777" w:rsidR="001A596A" w:rsidRDefault="001A596A" w:rsidP="0038306B">
      <w:pPr>
        <w:spacing w:after="0" w:line="240" w:lineRule="auto"/>
      </w:pPr>
      <w:r>
        <w:separator/>
      </w:r>
    </w:p>
  </w:footnote>
  <w:footnote w:type="continuationSeparator" w:id="0">
    <w:p w14:paraId="02DF18FA" w14:textId="77777777" w:rsidR="001A596A" w:rsidRDefault="001A596A" w:rsidP="003830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5C3A03" w14:textId="56EC6AF7" w:rsidR="0038306B" w:rsidRDefault="0038306B">
    <w:pPr>
      <w:pStyle w:val="Header"/>
    </w:pPr>
    <w:r>
      <w:t xml:space="preserve">Sophie Lewis </w:t>
    </w:r>
    <w:r>
      <w:tab/>
      <w:t xml:space="preserve">Multilingualism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BF0"/>
    <w:rsid w:val="00085DE8"/>
    <w:rsid w:val="001A596A"/>
    <w:rsid w:val="0038306B"/>
    <w:rsid w:val="0075539A"/>
    <w:rsid w:val="00932E68"/>
    <w:rsid w:val="009B0369"/>
    <w:rsid w:val="00AD3B8D"/>
    <w:rsid w:val="00BF577D"/>
    <w:rsid w:val="00D76BF0"/>
    <w:rsid w:val="00DA788F"/>
    <w:rsid w:val="00E36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098116"/>
  <w15:chartTrackingRefBased/>
  <w15:docId w15:val="{9BE14881-FCC2-405C-8DE3-65256D150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6BF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6BF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5DE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83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306B"/>
  </w:style>
  <w:style w:type="paragraph" w:styleId="Footer">
    <w:name w:val="footer"/>
    <w:basedOn w:val="Normal"/>
    <w:link w:val="FooterChar"/>
    <w:uiPriority w:val="99"/>
    <w:unhideWhenUsed/>
    <w:rsid w:val="00383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0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844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utopia.org/blog/fueling-creativity-through-divergent-thinking-classroom-stacey-goodman" TargetMode="External"/><Relationship Id="rId13" Type="http://schemas.openxmlformats.org/officeDocument/2006/relationships/hyperlink" Target="https://hwb.gov.wales/curriculum-for-wales/siarter-iaith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ritishcouncil.org/voices-magazine/how-uk-schools-support-young-learners-english" TargetMode="External"/><Relationship Id="rId12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education-schools/bilingual-education/advantages-of-being-bilingual/#.YF7-8j-nzIV" TargetMode="External"/><Relationship Id="rId11" Type="http://schemas.openxmlformats.org/officeDocument/2006/relationships/hyperlink" Target="https://www.canr.msu.edu/news/advantages_of_a_bilingual_brain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meithrin.cymru/creo_files/upload/downloads/prif_egwyddorion_y_dull_trochi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implypsychology.org/operant-conditioning.html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452</Words>
  <Characters>2583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Lewis (Ysgol Pen Rhos)</dc:creator>
  <cp:keywords/>
  <dc:description/>
  <cp:lastModifiedBy>S Lewis (Ysgol Pen Rhos)</cp:lastModifiedBy>
  <cp:revision>4</cp:revision>
  <dcterms:created xsi:type="dcterms:W3CDTF">2021-03-25T20:38:00Z</dcterms:created>
  <dcterms:modified xsi:type="dcterms:W3CDTF">2021-03-27T10:00:00Z</dcterms:modified>
</cp:coreProperties>
</file>