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BC8DD2"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6C99A2A7"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5D01DA0D"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2B170874"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2DAC1AEA"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3E915581" w14:textId="77777777" w:rsidR="00366AB8" w:rsidRPr="005A15EE" w:rsidRDefault="00366AB8">
      <w:pPr>
        <w:spacing w:line="360" w:lineRule="auto"/>
        <w:jc w:val="center"/>
        <w:rPr>
          <w:rFonts w:ascii="Times New Roman" w:eastAsia="Times New Roman" w:hAnsi="Times New Roman" w:cs="Times New Roman"/>
          <w:b/>
          <w:color w:val="000000" w:themeColor="text1"/>
          <w:sz w:val="32"/>
          <w:szCs w:val="32"/>
        </w:rPr>
      </w:pPr>
    </w:p>
    <w:p w14:paraId="688A0F2D" w14:textId="77777777" w:rsidR="00366AB8" w:rsidRPr="005A15EE" w:rsidRDefault="00366AB8">
      <w:pPr>
        <w:spacing w:line="360" w:lineRule="auto"/>
        <w:jc w:val="center"/>
        <w:rPr>
          <w:rFonts w:ascii="Times New Roman" w:eastAsia="Times New Roman" w:hAnsi="Times New Roman" w:cs="Times New Roman"/>
          <w:b/>
          <w:color w:val="000000" w:themeColor="text1"/>
          <w:sz w:val="32"/>
          <w:szCs w:val="32"/>
        </w:rPr>
      </w:pPr>
    </w:p>
    <w:p w14:paraId="13751EF9"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0F31DFF8"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0769F8B3"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0776A912" w14:textId="77777777" w:rsidR="00BC2061" w:rsidRPr="005A15EE" w:rsidRDefault="00BC2061">
      <w:pPr>
        <w:spacing w:line="360" w:lineRule="auto"/>
        <w:jc w:val="center"/>
        <w:rPr>
          <w:rFonts w:ascii="Times New Roman" w:eastAsia="Times New Roman" w:hAnsi="Times New Roman" w:cs="Times New Roman"/>
          <w:b/>
          <w:color w:val="000000" w:themeColor="text1"/>
          <w:sz w:val="32"/>
          <w:szCs w:val="32"/>
        </w:rPr>
      </w:pPr>
    </w:p>
    <w:p w14:paraId="6E40DA4C" w14:textId="77777777" w:rsidR="00BC2061" w:rsidRPr="005A15EE" w:rsidRDefault="007C61B5">
      <w:pPr>
        <w:spacing w:line="360" w:lineRule="auto"/>
        <w:jc w:val="center"/>
        <w:rPr>
          <w:rFonts w:ascii="Times New Roman" w:eastAsia="Times New Roman" w:hAnsi="Times New Roman" w:cs="Times New Roman"/>
          <w:b/>
          <w:color w:val="000000" w:themeColor="text1"/>
          <w:sz w:val="32"/>
          <w:szCs w:val="32"/>
        </w:rPr>
      </w:pPr>
      <w:r w:rsidRPr="005A15EE">
        <w:rPr>
          <w:rFonts w:ascii="Times New Roman" w:eastAsia="Times New Roman" w:hAnsi="Times New Roman" w:cs="Times New Roman"/>
          <w:b/>
          <w:color w:val="000000" w:themeColor="text1"/>
          <w:sz w:val="32"/>
          <w:szCs w:val="32"/>
        </w:rPr>
        <w:t>ACADEMIC AND EMPLOYABILITY SKILLS</w:t>
      </w:r>
      <w:r w:rsidRPr="005A15EE">
        <w:rPr>
          <w:color w:val="000000" w:themeColor="text1"/>
        </w:rPr>
        <w:br w:type="page"/>
      </w:r>
    </w:p>
    <w:p w14:paraId="49038FBE" w14:textId="77777777" w:rsidR="00BC2061" w:rsidRPr="005A15EE" w:rsidRDefault="007C61B5">
      <w:pPr>
        <w:spacing w:line="360" w:lineRule="auto"/>
        <w:jc w:val="center"/>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lastRenderedPageBreak/>
        <w:t>Executive Summary</w:t>
      </w:r>
    </w:p>
    <w:p w14:paraId="28AE48DD"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Professional skills are essential for healthcare providers to ensure that the kind of care provided by them is made more effective and more efficient. Through the means of analysing own professional capabilities, adequate measures can be identified that can help in ensuring that proper healthcare is provided to service users. In this study, own professional capabilities and skills have been analysed to assess the way they can help in improving the quality of care that is provided to the service users. Through the means of analysing own skills identified through in-class exercise, the ways in which they can contribute to own professional growth in the future has also been analysed.</w:t>
      </w:r>
    </w:p>
    <w:p w14:paraId="412DFBC9" w14:textId="77777777" w:rsidR="00BC2061" w:rsidRPr="005A15EE" w:rsidRDefault="007C61B5">
      <w:pPr>
        <w:spacing w:line="360" w:lineRule="auto"/>
        <w:jc w:val="both"/>
        <w:rPr>
          <w:rFonts w:ascii="Times New Roman" w:eastAsia="Times New Roman" w:hAnsi="Times New Roman" w:cs="Times New Roman"/>
          <w:b/>
          <w:color w:val="000000" w:themeColor="text1"/>
          <w:sz w:val="24"/>
          <w:szCs w:val="24"/>
        </w:rPr>
      </w:pPr>
      <w:r w:rsidRPr="005A15EE">
        <w:rPr>
          <w:color w:val="000000" w:themeColor="text1"/>
        </w:rPr>
        <w:br w:type="page"/>
      </w:r>
    </w:p>
    <w:p w14:paraId="1C211C06" w14:textId="77777777" w:rsidR="009E2273" w:rsidRPr="005A15EE" w:rsidRDefault="009E2273" w:rsidP="009E2273">
      <w:pPr>
        <w:spacing w:line="360" w:lineRule="auto"/>
        <w:jc w:val="center"/>
        <w:rPr>
          <w:rFonts w:ascii="Times New Roman" w:hAnsi="Times New Roman"/>
          <w:b/>
          <w:color w:val="000000" w:themeColor="text1"/>
          <w:sz w:val="24"/>
          <w:szCs w:val="40"/>
        </w:rPr>
      </w:pPr>
      <w:r w:rsidRPr="005A15EE">
        <w:rPr>
          <w:rFonts w:ascii="Times New Roman" w:hAnsi="Times New Roman"/>
          <w:b/>
          <w:color w:val="000000" w:themeColor="text1"/>
          <w:sz w:val="24"/>
          <w:szCs w:val="40"/>
        </w:rPr>
        <w:lastRenderedPageBreak/>
        <w:t>Table of Contents</w:t>
      </w:r>
    </w:p>
    <w:p w14:paraId="3D3CC907" w14:textId="77777777" w:rsidR="00AE551E" w:rsidRPr="005A15EE" w:rsidRDefault="004D5BC6"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r w:rsidRPr="005A15EE">
        <w:rPr>
          <w:rFonts w:ascii="Times New Roman" w:hAnsi="Times New Roman" w:cs="Times New Roman"/>
          <w:b/>
          <w:color w:val="000000" w:themeColor="text1"/>
          <w:sz w:val="24"/>
          <w:szCs w:val="24"/>
        </w:rPr>
        <w:fldChar w:fldCharType="begin"/>
      </w:r>
      <w:r w:rsidR="002D65DA" w:rsidRPr="005A15EE">
        <w:rPr>
          <w:rFonts w:ascii="Times New Roman" w:hAnsi="Times New Roman" w:cs="Times New Roman"/>
          <w:b/>
          <w:color w:val="000000" w:themeColor="text1"/>
          <w:sz w:val="24"/>
          <w:szCs w:val="24"/>
        </w:rPr>
        <w:instrText xml:space="preserve"> TOC \h \z \t "Heading 1" \c </w:instrText>
      </w:r>
      <w:r w:rsidRPr="005A15EE">
        <w:rPr>
          <w:rFonts w:ascii="Times New Roman" w:hAnsi="Times New Roman" w:cs="Times New Roman"/>
          <w:b/>
          <w:color w:val="000000" w:themeColor="text1"/>
          <w:sz w:val="24"/>
          <w:szCs w:val="24"/>
        </w:rPr>
        <w:fldChar w:fldCharType="separate"/>
      </w:r>
      <w:hyperlink w:anchor="_Toc28437406" w:history="1">
        <w:r w:rsidR="00AE551E" w:rsidRPr="005A15EE">
          <w:rPr>
            <w:rStyle w:val="Hyperlink"/>
            <w:rFonts w:ascii="Times New Roman" w:hAnsi="Times New Roman" w:cs="Times New Roman"/>
            <w:noProof/>
            <w:color w:val="000000" w:themeColor="text1"/>
            <w:sz w:val="24"/>
            <w:szCs w:val="24"/>
          </w:rPr>
          <w:t>Introduction</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_Toc28437406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3</w:t>
        </w:r>
        <w:r w:rsidR="00AE551E" w:rsidRPr="005A15EE">
          <w:rPr>
            <w:rFonts w:ascii="Times New Roman" w:hAnsi="Times New Roman" w:cs="Times New Roman"/>
            <w:noProof/>
            <w:webHidden/>
            <w:color w:val="000000" w:themeColor="text1"/>
            <w:sz w:val="24"/>
            <w:szCs w:val="24"/>
          </w:rPr>
          <w:fldChar w:fldCharType="end"/>
        </w:r>
      </w:hyperlink>
    </w:p>
    <w:p w14:paraId="5FF8E9E2" w14:textId="77777777" w:rsidR="00AE551E" w:rsidRPr="005A15EE" w:rsidRDefault="00F46C17"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28437407" w:history="1">
        <w:r w:rsidR="00AE551E" w:rsidRPr="005A15EE">
          <w:rPr>
            <w:rStyle w:val="Hyperlink"/>
            <w:rFonts w:ascii="Times New Roman" w:hAnsi="Times New Roman" w:cs="Times New Roman"/>
            <w:noProof/>
            <w:color w:val="000000" w:themeColor="text1"/>
            <w:sz w:val="24"/>
            <w:szCs w:val="24"/>
          </w:rPr>
          <w:t>Academic and employability skills required in health and social care</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_Toc28437407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3</w:t>
        </w:r>
        <w:r w:rsidR="00AE551E" w:rsidRPr="005A15EE">
          <w:rPr>
            <w:rFonts w:ascii="Times New Roman" w:hAnsi="Times New Roman" w:cs="Times New Roman"/>
            <w:noProof/>
            <w:webHidden/>
            <w:color w:val="000000" w:themeColor="text1"/>
            <w:sz w:val="24"/>
            <w:szCs w:val="24"/>
          </w:rPr>
          <w:fldChar w:fldCharType="end"/>
        </w:r>
      </w:hyperlink>
    </w:p>
    <w:p w14:paraId="6B3162DC" w14:textId="77777777" w:rsidR="00AE551E" w:rsidRPr="005A15EE" w:rsidRDefault="00F46C17"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28437408" w:history="1">
        <w:r w:rsidR="00AE551E" w:rsidRPr="005A15EE">
          <w:rPr>
            <w:rStyle w:val="Hyperlink"/>
            <w:rFonts w:ascii="Times New Roman" w:hAnsi="Times New Roman" w:cs="Times New Roman"/>
            <w:noProof/>
            <w:color w:val="000000" w:themeColor="text1"/>
            <w:sz w:val="24"/>
            <w:szCs w:val="24"/>
          </w:rPr>
          <w:t>Own academic and employability skills</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_Toc28437408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5</w:t>
        </w:r>
        <w:r w:rsidR="00AE551E" w:rsidRPr="005A15EE">
          <w:rPr>
            <w:rFonts w:ascii="Times New Roman" w:hAnsi="Times New Roman" w:cs="Times New Roman"/>
            <w:noProof/>
            <w:webHidden/>
            <w:color w:val="000000" w:themeColor="text1"/>
            <w:sz w:val="24"/>
            <w:szCs w:val="24"/>
          </w:rPr>
          <w:fldChar w:fldCharType="end"/>
        </w:r>
      </w:hyperlink>
    </w:p>
    <w:p w14:paraId="60AA7101" w14:textId="77777777" w:rsidR="00AE551E" w:rsidRPr="005A15EE" w:rsidRDefault="00F46C17"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28437409" w:history="1">
        <w:r w:rsidR="00AE551E" w:rsidRPr="005A15EE">
          <w:rPr>
            <w:rStyle w:val="Hyperlink"/>
            <w:rFonts w:ascii="Times New Roman" w:hAnsi="Times New Roman" w:cs="Times New Roman"/>
            <w:noProof/>
            <w:color w:val="000000" w:themeColor="text1"/>
            <w:sz w:val="24"/>
            <w:szCs w:val="24"/>
          </w:rPr>
          <w:t>Analysis of own academic and employability skills</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_Toc28437409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6</w:t>
        </w:r>
        <w:r w:rsidR="00AE551E" w:rsidRPr="005A15EE">
          <w:rPr>
            <w:rFonts w:ascii="Times New Roman" w:hAnsi="Times New Roman" w:cs="Times New Roman"/>
            <w:noProof/>
            <w:webHidden/>
            <w:color w:val="000000" w:themeColor="text1"/>
            <w:sz w:val="24"/>
            <w:szCs w:val="24"/>
          </w:rPr>
          <w:fldChar w:fldCharType="end"/>
        </w:r>
      </w:hyperlink>
    </w:p>
    <w:p w14:paraId="05BE208A" w14:textId="77777777" w:rsidR="00AE551E" w:rsidRPr="005A15EE" w:rsidRDefault="00F46C17"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28437410" w:history="1">
        <w:r w:rsidR="00AE551E" w:rsidRPr="005A15EE">
          <w:rPr>
            <w:rStyle w:val="Hyperlink"/>
            <w:rFonts w:ascii="Times New Roman" w:hAnsi="Times New Roman" w:cs="Times New Roman"/>
            <w:noProof/>
            <w:color w:val="000000" w:themeColor="text1"/>
            <w:sz w:val="24"/>
            <w:szCs w:val="24"/>
          </w:rPr>
          <w:t>Role of own academic and employability skills in health and social care setting</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_Toc28437410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8</w:t>
        </w:r>
        <w:r w:rsidR="00AE551E" w:rsidRPr="005A15EE">
          <w:rPr>
            <w:rFonts w:ascii="Times New Roman" w:hAnsi="Times New Roman" w:cs="Times New Roman"/>
            <w:noProof/>
            <w:webHidden/>
            <w:color w:val="000000" w:themeColor="text1"/>
            <w:sz w:val="24"/>
            <w:szCs w:val="24"/>
          </w:rPr>
          <w:fldChar w:fldCharType="end"/>
        </w:r>
      </w:hyperlink>
    </w:p>
    <w:p w14:paraId="69F2F432" w14:textId="77777777" w:rsidR="00AE551E" w:rsidRPr="005A15EE" w:rsidRDefault="00F46C17"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28437411" w:history="1">
        <w:r w:rsidR="00AE551E" w:rsidRPr="005A15EE">
          <w:rPr>
            <w:rStyle w:val="Hyperlink"/>
            <w:rFonts w:ascii="Times New Roman" w:hAnsi="Times New Roman" w:cs="Times New Roman"/>
            <w:noProof/>
            <w:color w:val="000000" w:themeColor="text1"/>
            <w:sz w:val="24"/>
            <w:szCs w:val="24"/>
          </w:rPr>
          <w:t>Conclusion</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_Toc28437411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9</w:t>
        </w:r>
        <w:r w:rsidR="00AE551E" w:rsidRPr="005A15EE">
          <w:rPr>
            <w:rFonts w:ascii="Times New Roman" w:hAnsi="Times New Roman" w:cs="Times New Roman"/>
            <w:noProof/>
            <w:webHidden/>
            <w:color w:val="000000" w:themeColor="text1"/>
            <w:sz w:val="24"/>
            <w:szCs w:val="24"/>
          </w:rPr>
          <w:fldChar w:fldCharType="end"/>
        </w:r>
      </w:hyperlink>
    </w:p>
    <w:p w14:paraId="288F067F" w14:textId="77777777" w:rsidR="00AE551E" w:rsidRPr="005A15EE" w:rsidRDefault="00F46C17" w:rsidP="00AE551E">
      <w:pPr>
        <w:pStyle w:val="TableofFigures"/>
        <w:tabs>
          <w:tab w:val="right" w:leader="dot" w:pos="9019"/>
        </w:tabs>
        <w:spacing w:line="360" w:lineRule="auto"/>
        <w:jc w:val="both"/>
        <w:rPr>
          <w:rFonts w:ascii="Times New Roman" w:eastAsiaTheme="minorEastAsia" w:hAnsi="Times New Roman" w:cs="Times New Roman"/>
          <w:noProof/>
          <w:color w:val="000000" w:themeColor="text1"/>
          <w:sz w:val="24"/>
          <w:szCs w:val="24"/>
          <w:lang w:val="en-US" w:eastAsia="en-US"/>
        </w:rPr>
      </w:pPr>
      <w:hyperlink w:anchor="_Toc28437412" w:history="1">
        <w:r w:rsidR="00AE551E" w:rsidRPr="005A15EE">
          <w:rPr>
            <w:rStyle w:val="Hyperlink"/>
            <w:rFonts w:ascii="Times New Roman" w:hAnsi="Times New Roman" w:cs="Times New Roman"/>
            <w:noProof/>
            <w:color w:val="000000" w:themeColor="text1"/>
            <w:sz w:val="24"/>
            <w:szCs w:val="24"/>
          </w:rPr>
          <w:t>Reference List</w:t>
        </w:r>
        <w:r w:rsidR="00AE551E" w:rsidRPr="005A15EE">
          <w:rPr>
            <w:rFonts w:ascii="Times New Roman" w:hAnsi="Times New Roman" w:cs="Times New Roman"/>
            <w:noProof/>
            <w:webHidden/>
            <w:color w:val="000000" w:themeColor="text1"/>
            <w:sz w:val="24"/>
            <w:szCs w:val="24"/>
          </w:rPr>
          <w:tab/>
        </w:r>
        <w:r w:rsidR="00AE551E" w:rsidRPr="005A15EE">
          <w:rPr>
            <w:rFonts w:ascii="Times New Roman" w:hAnsi="Times New Roman" w:cs="Times New Roman"/>
            <w:noProof/>
            <w:webHidden/>
            <w:color w:val="000000" w:themeColor="text1"/>
            <w:sz w:val="24"/>
            <w:szCs w:val="24"/>
          </w:rPr>
          <w:fldChar w:fldCharType="begin"/>
        </w:r>
        <w:r w:rsidR="00AE551E" w:rsidRPr="005A15EE">
          <w:rPr>
            <w:rFonts w:ascii="Times New Roman" w:hAnsi="Times New Roman" w:cs="Times New Roman"/>
            <w:noProof/>
            <w:webHidden/>
            <w:color w:val="000000" w:themeColor="text1"/>
            <w:sz w:val="24"/>
            <w:szCs w:val="24"/>
          </w:rPr>
          <w:instrText xml:space="preserve"> PAGEREF _Toc28437412 \h </w:instrText>
        </w:r>
        <w:r w:rsidR="00AE551E" w:rsidRPr="005A15EE">
          <w:rPr>
            <w:rFonts w:ascii="Times New Roman" w:hAnsi="Times New Roman" w:cs="Times New Roman"/>
            <w:noProof/>
            <w:webHidden/>
            <w:color w:val="000000" w:themeColor="text1"/>
            <w:sz w:val="24"/>
            <w:szCs w:val="24"/>
          </w:rPr>
        </w:r>
        <w:r w:rsidR="00AE551E" w:rsidRPr="005A15EE">
          <w:rPr>
            <w:rFonts w:ascii="Times New Roman" w:hAnsi="Times New Roman" w:cs="Times New Roman"/>
            <w:noProof/>
            <w:webHidden/>
            <w:color w:val="000000" w:themeColor="text1"/>
            <w:sz w:val="24"/>
            <w:szCs w:val="24"/>
          </w:rPr>
          <w:fldChar w:fldCharType="separate"/>
        </w:r>
        <w:r w:rsidR="00AE551E" w:rsidRPr="005A15EE">
          <w:rPr>
            <w:rFonts w:ascii="Times New Roman" w:hAnsi="Times New Roman" w:cs="Times New Roman"/>
            <w:noProof/>
            <w:webHidden/>
            <w:color w:val="000000" w:themeColor="text1"/>
            <w:sz w:val="24"/>
            <w:szCs w:val="24"/>
          </w:rPr>
          <w:t>10</w:t>
        </w:r>
        <w:r w:rsidR="00AE551E" w:rsidRPr="005A15EE">
          <w:rPr>
            <w:rFonts w:ascii="Times New Roman" w:hAnsi="Times New Roman" w:cs="Times New Roman"/>
            <w:noProof/>
            <w:webHidden/>
            <w:color w:val="000000" w:themeColor="text1"/>
            <w:sz w:val="24"/>
            <w:szCs w:val="24"/>
          </w:rPr>
          <w:fldChar w:fldCharType="end"/>
        </w:r>
      </w:hyperlink>
    </w:p>
    <w:p w14:paraId="11F8F1EF" w14:textId="77777777" w:rsidR="009E2273" w:rsidRPr="005A15EE" w:rsidRDefault="004D5BC6" w:rsidP="00AE551E">
      <w:pPr>
        <w:spacing w:line="360" w:lineRule="auto"/>
        <w:jc w:val="both"/>
        <w:rPr>
          <w:rFonts w:ascii="Times New Roman" w:hAnsi="Times New Roman" w:cs="Times New Roman"/>
          <w:b/>
          <w:color w:val="000000" w:themeColor="text1"/>
          <w:sz w:val="24"/>
          <w:szCs w:val="24"/>
        </w:rPr>
      </w:pPr>
      <w:r w:rsidRPr="005A15EE">
        <w:rPr>
          <w:rFonts w:ascii="Times New Roman" w:hAnsi="Times New Roman" w:cs="Times New Roman"/>
          <w:b/>
          <w:color w:val="000000" w:themeColor="text1"/>
          <w:sz w:val="24"/>
          <w:szCs w:val="24"/>
        </w:rPr>
        <w:fldChar w:fldCharType="end"/>
      </w:r>
    </w:p>
    <w:p w14:paraId="16660F5B" w14:textId="77777777" w:rsidR="009E2273" w:rsidRPr="005A15EE" w:rsidRDefault="009E2273" w:rsidP="009E2273">
      <w:pPr>
        <w:spacing w:line="360" w:lineRule="auto"/>
        <w:jc w:val="center"/>
        <w:rPr>
          <w:rFonts w:ascii="Times New Roman" w:hAnsi="Times New Roman"/>
          <w:b/>
          <w:color w:val="000000" w:themeColor="text1"/>
          <w:sz w:val="24"/>
          <w:szCs w:val="40"/>
        </w:rPr>
      </w:pPr>
      <w:r w:rsidRPr="005A15EE">
        <w:rPr>
          <w:rFonts w:ascii="Times New Roman" w:hAnsi="Times New Roman"/>
          <w:b/>
          <w:color w:val="000000" w:themeColor="text1"/>
          <w:sz w:val="24"/>
          <w:szCs w:val="40"/>
        </w:rPr>
        <w:br w:type="page"/>
      </w:r>
    </w:p>
    <w:p w14:paraId="6467CC01" w14:textId="77777777" w:rsidR="00922348" w:rsidRPr="005A15EE" w:rsidRDefault="00922348" w:rsidP="004E610C">
      <w:pPr>
        <w:pStyle w:val="Heading1"/>
      </w:pPr>
      <w:bookmarkStart w:id="0" w:name="_Toc28437406"/>
      <w:r w:rsidRPr="005A15EE">
        <w:lastRenderedPageBreak/>
        <w:t>Introduction</w:t>
      </w:r>
      <w:bookmarkEnd w:id="0"/>
      <w:r w:rsidRPr="005A15EE">
        <w:t xml:space="preserve"> </w:t>
      </w:r>
    </w:p>
    <w:p w14:paraId="7D0A3A2C" w14:textId="77777777"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Academic and employability skill of an individual plays a crucial role in holding a challenging position in their career in the context of personal competencies. These skills also ensure to enhance the functional efficiencies of an individual. Therefore, the academic and employability skills that are required for enhancing the operational efficiency in health and social care has been demonstrated in this study. In addition to this, own academic and employability skills have also been evaluated in this study. Therefore, this would ensure to provide a better understanding to the learners regarding the academic and employability skills in health and social care sector.   </w:t>
      </w:r>
    </w:p>
    <w:p w14:paraId="0C6694D6" w14:textId="77777777" w:rsidR="00922348" w:rsidRPr="005A15EE" w:rsidRDefault="00922348" w:rsidP="004E610C">
      <w:pPr>
        <w:pStyle w:val="Heading1"/>
      </w:pPr>
      <w:bookmarkStart w:id="1" w:name="_Toc28437407"/>
      <w:r w:rsidRPr="005A15EE">
        <w:t>Academic and employability skills required in health and social care</w:t>
      </w:r>
      <w:bookmarkEnd w:id="1"/>
      <w:r w:rsidRPr="005A15EE">
        <w:t xml:space="preserve"> </w:t>
      </w:r>
    </w:p>
    <w:p w14:paraId="56688A1E" w14:textId="77777777"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In order to facilitate an efficient health care treatment for the care seekers, the academic and employability skills are essential for enhancing the healthcare treatments for the patients. The required skills are listed as follows:</w:t>
      </w:r>
    </w:p>
    <w:p w14:paraId="03877978" w14:textId="77777777" w:rsidR="00922348" w:rsidRPr="005A15EE" w:rsidRDefault="00922348" w:rsidP="00922348">
      <w:pPr>
        <w:pStyle w:val="Normal1"/>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t>Communication Skills</w:t>
      </w:r>
    </w:p>
    <w:p w14:paraId="7F4B9887" w14:textId="58642E75"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Communication skills allows an individual to express their thoughts with other people and it is one the most essential employability skills for the healthcare givers. As per the viewpoint of</w:t>
      </w:r>
      <w:r w:rsidR="00AE551E" w:rsidRPr="005A15EE">
        <w:rPr>
          <w:rFonts w:ascii="Times New Roman" w:eastAsia="Times New Roman" w:hAnsi="Times New Roman" w:cs="Times New Roman"/>
          <w:color w:val="000000" w:themeColor="text1"/>
          <w:sz w:val="24"/>
          <w:szCs w:val="24"/>
        </w:rPr>
        <w:t xml:space="preserve"> </w:t>
      </w:r>
      <w:proofErr w:type="spellStart"/>
      <w:r w:rsidRPr="005A15EE">
        <w:rPr>
          <w:rFonts w:ascii="Times New Roman" w:eastAsia="Times New Roman" w:hAnsi="Times New Roman" w:cs="Times New Roman"/>
          <w:color w:val="000000" w:themeColor="text1"/>
          <w:sz w:val="24"/>
          <w:szCs w:val="24"/>
          <w:highlight w:val="white"/>
        </w:rPr>
        <w:t>Vlachou</w:t>
      </w:r>
      <w:proofErr w:type="spellEnd"/>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 xml:space="preserve">et al. </w:t>
      </w:r>
      <w:r w:rsidRPr="005A15EE">
        <w:rPr>
          <w:rFonts w:ascii="Times New Roman" w:eastAsia="Times New Roman" w:hAnsi="Times New Roman" w:cs="Times New Roman"/>
          <w:color w:val="000000" w:themeColor="text1"/>
          <w:sz w:val="24"/>
          <w:szCs w:val="24"/>
        </w:rPr>
        <w:t xml:space="preserve">(2016), in this emerging competitive world, healthcare givers with excellent communication skills could ensure to facilitate better interaction with their colleagues and their patients. This ensures to recognise the workplace needs in an efficient manner and allows the healthcare professionals to improve their functional efficiencies. Therefore, the healthcare givers could ensure to develop their operational skills by enhancing their communication skills which could be out future sustainability for the healthcare professionals.   </w:t>
      </w:r>
    </w:p>
    <w:p w14:paraId="12276C21" w14:textId="77777777" w:rsidR="00922348" w:rsidRPr="005A15EE" w:rsidRDefault="00922348" w:rsidP="00922348">
      <w:pPr>
        <w:pStyle w:val="Normal1"/>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t>Teamwork skills</w:t>
      </w:r>
    </w:p>
    <w:p w14:paraId="0D6BF5D9" w14:textId="77777777"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As team work allows the healthcare professionals to accomplish their functional tasks collaborative and in a time efficient manner. Therefore, presence of teamwork skills allows the healthcare professionals to deliver better healthcare treatments. According to </w:t>
      </w:r>
      <w:r w:rsidRPr="005A15EE">
        <w:rPr>
          <w:rFonts w:ascii="Times New Roman" w:eastAsia="Times New Roman" w:hAnsi="Times New Roman" w:cs="Times New Roman"/>
          <w:color w:val="000000" w:themeColor="text1"/>
          <w:sz w:val="24"/>
          <w:szCs w:val="24"/>
          <w:highlight w:val="white"/>
        </w:rPr>
        <w:t xml:space="preserve">Matteson </w:t>
      </w:r>
      <w:r w:rsidRPr="005A15EE">
        <w:rPr>
          <w:rFonts w:ascii="Times New Roman" w:eastAsia="Times New Roman" w:hAnsi="Times New Roman" w:cs="Times New Roman"/>
          <w:i/>
          <w:color w:val="000000" w:themeColor="text1"/>
          <w:sz w:val="24"/>
          <w:szCs w:val="24"/>
          <w:highlight w:val="white"/>
        </w:rPr>
        <w:t xml:space="preserve">et al. </w:t>
      </w:r>
      <w:r w:rsidRPr="005A15EE">
        <w:rPr>
          <w:rFonts w:ascii="Times New Roman" w:eastAsia="Times New Roman" w:hAnsi="Times New Roman" w:cs="Times New Roman"/>
          <w:color w:val="000000" w:themeColor="text1"/>
          <w:sz w:val="24"/>
          <w:szCs w:val="24"/>
        </w:rPr>
        <w:t>(2016), collaborative and cooperative skills are the significant teamwork skill which allows the healthcare professionals to enhance their organisational efficiencies. Therefore, these, following teamwork skills could help the healthcare professionals to contribute more efficiently in their healthcare treatments.</w:t>
      </w:r>
    </w:p>
    <w:p w14:paraId="01C340BB" w14:textId="77777777" w:rsidR="00922348" w:rsidRPr="005A15EE" w:rsidRDefault="00922348" w:rsidP="00922348">
      <w:pPr>
        <w:pStyle w:val="Normal1"/>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t>Work Psychological skills</w:t>
      </w:r>
    </w:p>
    <w:p w14:paraId="3A96F092" w14:textId="77777777"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lastRenderedPageBreak/>
        <w:t xml:space="preserve">As influenced by </w:t>
      </w:r>
      <w:r w:rsidRPr="005A15EE">
        <w:rPr>
          <w:rFonts w:ascii="Times New Roman" w:eastAsia="Times New Roman" w:hAnsi="Times New Roman" w:cs="Times New Roman"/>
          <w:color w:val="000000" w:themeColor="text1"/>
          <w:sz w:val="24"/>
          <w:szCs w:val="24"/>
          <w:highlight w:val="white"/>
        </w:rPr>
        <w:t>Sisodia and Agarwal (2017)</w:t>
      </w:r>
      <w:r w:rsidRPr="005A15EE">
        <w:rPr>
          <w:rFonts w:ascii="Times New Roman" w:eastAsia="Times New Roman" w:hAnsi="Times New Roman" w:cs="Times New Roman"/>
          <w:color w:val="000000" w:themeColor="text1"/>
          <w:sz w:val="24"/>
          <w:szCs w:val="24"/>
        </w:rPr>
        <w:t xml:space="preserve">, work psychology is comprised of attitude, punctuality, cultural awareness, conflict management and integrity for an organisation which influences the work performances. Therefore, </w:t>
      </w:r>
      <w:proofErr w:type="gramStart"/>
      <w:r w:rsidRPr="005A15EE">
        <w:rPr>
          <w:rFonts w:ascii="Times New Roman" w:eastAsia="Times New Roman" w:hAnsi="Times New Roman" w:cs="Times New Roman"/>
          <w:color w:val="000000" w:themeColor="text1"/>
          <w:sz w:val="24"/>
          <w:szCs w:val="24"/>
        </w:rPr>
        <w:t>these following work psychology</w:t>
      </w:r>
      <w:proofErr w:type="gramEnd"/>
      <w:r w:rsidRPr="005A15EE">
        <w:rPr>
          <w:rFonts w:ascii="Times New Roman" w:eastAsia="Times New Roman" w:hAnsi="Times New Roman" w:cs="Times New Roman"/>
          <w:color w:val="000000" w:themeColor="text1"/>
          <w:sz w:val="24"/>
          <w:szCs w:val="24"/>
        </w:rPr>
        <w:t xml:space="preserve"> are essential for the development of healthcare support efficiencies among the organisational employees and this also ensures to adapt evolving changes of an organisation in a time efficient manner.    </w:t>
      </w:r>
    </w:p>
    <w:p w14:paraId="4B97D214" w14:textId="1E6F0CE0" w:rsidR="00922348" w:rsidRPr="005A15EE" w:rsidRDefault="007C3A6E" w:rsidP="00922348">
      <w:pPr>
        <w:pStyle w:val="Normal1"/>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t>Self-management</w:t>
      </w:r>
      <w:r w:rsidR="00922348" w:rsidRPr="005A15EE">
        <w:rPr>
          <w:rFonts w:ascii="Times New Roman" w:eastAsia="Times New Roman" w:hAnsi="Times New Roman" w:cs="Times New Roman"/>
          <w:b/>
          <w:color w:val="000000" w:themeColor="text1"/>
          <w:sz w:val="24"/>
          <w:szCs w:val="24"/>
        </w:rPr>
        <w:t xml:space="preserve"> skills</w:t>
      </w:r>
    </w:p>
    <w:p w14:paraId="1A632D39" w14:textId="5C78A9F5"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As opined by </w:t>
      </w:r>
      <w:r w:rsidRPr="005A15EE">
        <w:rPr>
          <w:rFonts w:ascii="Times New Roman" w:eastAsia="Times New Roman" w:hAnsi="Times New Roman" w:cs="Times New Roman"/>
          <w:color w:val="000000" w:themeColor="text1"/>
          <w:sz w:val="24"/>
          <w:szCs w:val="24"/>
          <w:highlight w:val="white"/>
        </w:rPr>
        <w:t xml:space="preserve">Swain </w:t>
      </w:r>
      <w:r w:rsidRPr="005A15EE">
        <w:rPr>
          <w:rFonts w:ascii="Times New Roman" w:eastAsia="Times New Roman" w:hAnsi="Times New Roman" w:cs="Times New Roman"/>
          <w:i/>
          <w:color w:val="000000" w:themeColor="text1"/>
          <w:sz w:val="24"/>
          <w:szCs w:val="24"/>
          <w:highlight w:val="white"/>
        </w:rPr>
        <w:t xml:space="preserve">et al. </w:t>
      </w:r>
      <w:r w:rsidRPr="005A15EE">
        <w:rPr>
          <w:rFonts w:ascii="Times New Roman" w:eastAsia="Times New Roman" w:hAnsi="Times New Roman" w:cs="Times New Roman"/>
          <w:color w:val="000000" w:themeColor="text1"/>
          <w:sz w:val="24"/>
          <w:szCs w:val="24"/>
        </w:rPr>
        <w:t xml:space="preserve">(2015), </w:t>
      </w:r>
      <w:r w:rsidR="007C3A6E" w:rsidRPr="005A15EE">
        <w:rPr>
          <w:rFonts w:ascii="Times New Roman" w:eastAsia="Times New Roman" w:hAnsi="Times New Roman" w:cs="Times New Roman"/>
          <w:color w:val="000000" w:themeColor="text1"/>
          <w:sz w:val="24"/>
          <w:szCs w:val="24"/>
        </w:rPr>
        <w:t>self-motivation</w:t>
      </w:r>
      <w:r w:rsidRPr="005A15EE">
        <w:rPr>
          <w:rFonts w:ascii="Times New Roman" w:eastAsia="Times New Roman" w:hAnsi="Times New Roman" w:cs="Times New Roman"/>
          <w:color w:val="000000" w:themeColor="text1"/>
          <w:sz w:val="24"/>
          <w:szCs w:val="24"/>
        </w:rPr>
        <w:t xml:space="preserve">, </w:t>
      </w:r>
      <w:r w:rsidR="007C3A6E" w:rsidRPr="005A15EE">
        <w:rPr>
          <w:rFonts w:ascii="Times New Roman" w:eastAsia="Times New Roman" w:hAnsi="Times New Roman" w:cs="Times New Roman"/>
          <w:color w:val="000000" w:themeColor="text1"/>
          <w:sz w:val="24"/>
          <w:szCs w:val="24"/>
        </w:rPr>
        <w:t>self-awareness</w:t>
      </w:r>
      <w:r w:rsidRPr="005A15EE">
        <w:rPr>
          <w:rFonts w:ascii="Times New Roman" w:eastAsia="Times New Roman" w:hAnsi="Times New Roman" w:cs="Times New Roman"/>
          <w:color w:val="000000" w:themeColor="text1"/>
          <w:sz w:val="24"/>
          <w:szCs w:val="24"/>
        </w:rPr>
        <w:t xml:space="preserve">, social skills and social awareness are the essential </w:t>
      </w:r>
      <w:r w:rsidR="007C3A6E" w:rsidRPr="005A15EE">
        <w:rPr>
          <w:rFonts w:ascii="Times New Roman" w:eastAsia="Times New Roman" w:hAnsi="Times New Roman" w:cs="Times New Roman"/>
          <w:color w:val="000000" w:themeColor="text1"/>
          <w:sz w:val="24"/>
          <w:szCs w:val="24"/>
        </w:rPr>
        <w:t>self-management</w:t>
      </w:r>
      <w:r w:rsidRPr="005A15EE">
        <w:rPr>
          <w:rFonts w:ascii="Times New Roman" w:eastAsia="Times New Roman" w:hAnsi="Times New Roman" w:cs="Times New Roman"/>
          <w:color w:val="000000" w:themeColor="text1"/>
          <w:sz w:val="24"/>
          <w:szCs w:val="24"/>
        </w:rPr>
        <w:t xml:space="preserve"> skills for an individual in the context with academic and employability skills. Therefore, the presence of these following skills among healthcare professionals would allow healthcare organisations to offer efficient health support for the patients. </w:t>
      </w:r>
    </w:p>
    <w:p w14:paraId="69CAA305" w14:textId="77777777" w:rsidR="00922348" w:rsidRPr="005A15EE" w:rsidRDefault="00922348" w:rsidP="00922348">
      <w:pPr>
        <w:pStyle w:val="Normal1"/>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t>Planning and organising skills</w:t>
      </w:r>
    </w:p>
    <w:p w14:paraId="1DDCE351" w14:textId="7C9EAF37" w:rsidR="00922348" w:rsidRPr="005A15EE" w:rsidRDefault="00922348" w:rsidP="00922348">
      <w:pPr>
        <w:pStyle w:val="Normal1"/>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As health and social care sector </w:t>
      </w:r>
      <w:r w:rsidR="007C3A6E" w:rsidRPr="005A15EE">
        <w:rPr>
          <w:rFonts w:ascii="Times New Roman" w:eastAsia="Times New Roman" w:hAnsi="Times New Roman" w:cs="Times New Roman"/>
          <w:color w:val="000000" w:themeColor="text1"/>
          <w:sz w:val="24"/>
          <w:szCs w:val="24"/>
        </w:rPr>
        <w:t>witness’s</w:t>
      </w:r>
      <w:r w:rsidRPr="005A15EE">
        <w:rPr>
          <w:rFonts w:ascii="Times New Roman" w:eastAsia="Times New Roman" w:hAnsi="Times New Roman" w:cs="Times New Roman"/>
          <w:color w:val="000000" w:themeColor="text1"/>
          <w:sz w:val="24"/>
          <w:szCs w:val="24"/>
        </w:rPr>
        <w:t xml:space="preserve"> various health complexities and this requires adequate planning to increase the treatment efficiencies. Therefore, the planning and organising skills allows healthcare practitioners to deliver pre</w:t>
      </w:r>
      <w:r w:rsidR="007C3A6E">
        <w:rPr>
          <w:rFonts w:ascii="Times New Roman" w:eastAsia="Times New Roman" w:hAnsi="Times New Roman" w:cs="Times New Roman"/>
          <w:color w:val="000000" w:themeColor="text1"/>
          <w:sz w:val="24"/>
          <w:szCs w:val="24"/>
        </w:rPr>
        <w:t>-</w:t>
      </w:r>
      <w:r w:rsidRPr="005A15EE">
        <w:rPr>
          <w:rFonts w:ascii="Times New Roman" w:eastAsia="Times New Roman" w:hAnsi="Times New Roman" w:cs="Times New Roman"/>
          <w:color w:val="000000" w:themeColor="text1"/>
          <w:sz w:val="24"/>
          <w:szCs w:val="24"/>
        </w:rPr>
        <w:t>planned efficient health treatments for the patients.</w:t>
      </w:r>
    </w:p>
    <w:p w14:paraId="3E094E80" w14:textId="77777777" w:rsidR="00922348" w:rsidRPr="005A15EE" w:rsidRDefault="00922348" w:rsidP="00922348">
      <w:pPr>
        <w:pStyle w:val="Normal1"/>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color w:val="000000" w:themeColor="text1"/>
          <w:sz w:val="24"/>
          <w:szCs w:val="24"/>
        </w:rPr>
        <w:t>Conceptual and analytical skills</w:t>
      </w:r>
    </w:p>
    <w:p w14:paraId="0615678F" w14:textId="77777777" w:rsidR="00922348" w:rsidRPr="005A15EE" w:rsidRDefault="00922348" w:rsidP="00922348">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As per the views of </w:t>
      </w:r>
      <w:r w:rsidRPr="005A15EE">
        <w:rPr>
          <w:rFonts w:ascii="Times New Roman" w:eastAsia="Times New Roman" w:hAnsi="Times New Roman" w:cs="Times New Roman"/>
          <w:color w:val="000000" w:themeColor="text1"/>
          <w:sz w:val="24"/>
          <w:szCs w:val="24"/>
          <w:highlight w:val="white"/>
        </w:rPr>
        <w:t>Sisodia and Agarwal (2017)</w:t>
      </w:r>
      <w:r w:rsidRPr="005A15EE">
        <w:rPr>
          <w:rFonts w:ascii="Times New Roman" w:eastAsia="Times New Roman" w:hAnsi="Times New Roman" w:cs="Times New Roman"/>
          <w:color w:val="000000" w:themeColor="text1"/>
          <w:sz w:val="24"/>
          <w:szCs w:val="24"/>
        </w:rPr>
        <w:t>, well developed conceptual and analytical skills allow an individual to be more creative in their workplaces which enhances the organisational efficiencies. Therefore, these skills are essential for healthcare practitioners to provide health support more efficiently and this also allows the management to facilitate better operational activity in the health care sectors.</w:t>
      </w:r>
    </w:p>
    <w:p w14:paraId="7E32915E" w14:textId="77777777" w:rsidR="00BC2061" w:rsidRPr="005A15EE" w:rsidRDefault="007C61B5" w:rsidP="00922348">
      <w:pPr>
        <w:pStyle w:val="Heading1"/>
      </w:pPr>
      <w:bookmarkStart w:id="2" w:name="_Toc28437408"/>
      <w:r w:rsidRPr="005A15EE">
        <w:lastRenderedPageBreak/>
        <w:t>Own academic and employability skills</w:t>
      </w:r>
      <w:bookmarkEnd w:id="2"/>
    </w:p>
    <w:p w14:paraId="74FFBABB" w14:textId="77777777" w:rsidR="00ED31BC" w:rsidRPr="005A15EE" w:rsidRDefault="00B61457" w:rsidP="00ED31BC">
      <w:pPr>
        <w:jc w:val="center"/>
        <w:rPr>
          <w:color w:val="000000" w:themeColor="text1"/>
        </w:rPr>
      </w:pPr>
      <w:r w:rsidRPr="005A15EE">
        <w:rPr>
          <w:noProof/>
          <w:color w:val="000000" w:themeColor="text1"/>
          <w:lang w:val="en-US" w:eastAsia="en-US"/>
        </w:rPr>
        <w:drawing>
          <wp:inline distT="0" distB="0" distL="0" distR="0" wp14:anchorId="3A524362" wp14:editId="00EFE77D">
            <wp:extent cx="5486400" cy="4136065"/>
            <wp:effectExtent l="0" t="57150" r="0" b="9334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1AB943E" w14:textId="77777777" w:rsidR="00CE3EDB" w:rsidRPr="005A15EE" w:rsidRDefault="00CE3EDB" w:rsidP="00CE3EDB">
      <w:pPr>
        <w:spacing w:line="360" w:lineRule="auto"/>
        <w:jc w:val="center"/>
        <w:rPr>
          <w:rFonts w:ascii="Times New Roman" w:hAnsi="Times New Roman" w:cs="Times New Roman"/>
          <w:b/>
          <w:color w:val="000000" w:themeColor="text1"/>
          <w:sz w:val="24"/>
        </w:rPr>
      </w:pPr>
      <w:r w:rsidRPr="005A15EE">
        <w:rPr>
          <w:rFonts w:ascii="Times New Roman" w:hAnsi="Times New Roman" w:cs="Times New Roman"/>
          <w:b/>
          <w:color w:val="000000" w:themeColor="text1"/>
          <w:sz w:val="24"/>
        </w:rPr>
        <w:t>Figure 1: Own academic and employability skills identified</w:t>
      </w:r>
    </w:p>
    <w:p w14:paraId="7E62CF2F" w14:textId="77777777" w:rsidR="00CE3EDB" w:rsidRPr="005A15EE" w:rsidRDefault="00CE3EDB" w:rsidP="00CE3EDB">
      <w:pPr>
        <w:spacing w:line="360" w:lineRule="auto"/>
        <w:jc w:val="center"/>
        <w:rPr>
          <w:rFonts w:ascii="Times New Roman" w:hAnsi="Times New Roman" w:cs="Times New Roman"/>
          <w:color w:val="000000" w:themeColor="text1"/>
          <w:sz w:val="24"/>
        </w:rPr>
      </w:pPr>
      <w:r w:rsidRPr="005A15EE">
        <w:rPr>
          <w:rFonts w:ascii="Times New Roman" w:hAnsi="Times New Roman" w:cs="Times New Roman"/>
          <w:color w:val="000000" w:themeColor="text1"/>
          <w:sz w:val="24"/>
        </w:rPr>
        <w:t xml:space="preserve">(Source: Influenced by </w:t>
      </w:r>
      <w:proofErr w:type="spellStart"/>
      <w:r w:rsidRPr="005A15EE">
        <w:rPr>
          <w:rFonts w:ascii="Times New Roman" w:hAnsi="Times New Roman" w:cs="Times New Roman"/>
          <w:color w:val="000000" w:themeColor="text1"/>
          <w:sz w:val="24"/>
        </w:rPr>
        <w:t>Hotić</w:t>
      </w:r>
      <w:r w:rsidRPr="005A15EE">
        <w:rPr>
          <w:rFonts w:ascii="Times New Roman" w:hAnsi="Times New Roman" w:cs="Times New Roman"/>
          <w:i/>
          <w:color w:val="000000" w:themeColor="text1"/>
          <w:sz w:val="24"/>
        </w:rPr>
        <w:t>et</w:t>
      </w:r>
      <w:proofErr w:type="spellEnd"/>
      <w:r w:rsidRPr="005A15EE">
        <w:rPr>
          <w:rFonts w:ascii="Times New Roman" w:hAnsi="Times New Roman" w:cs="Times New Roman"/>
          <w:i/>
          <w:color w:val="000000" w:themeColor="text1"/>
          <w:sz w:val="24"/>
        </w:rPr>
        <w:t xml:space="preserve"> al.</w:t>
      </w:r>
      <w:r w:rsidRPr="005A15EE">
        <w:rPr>
          <w:rFonts w:ascii="Times New Roman" w:hAnsi="Times New Roman" w:cs="Times New Roman"/>
          <w:color w:val="000000" w:themeColor="text1"/>
          <w:sz w:val="24"/>
        </w:rPr>
        <w:t xml:space="preserve"> 2018)</w:t>
      </w:r>
    </w:p>
    <w:p w14:paraId="2FB334E9" w14:textId="77777777" w:rsidR="00BC2061" w:rsidRPr="005A15EE" w:rsidRDefault="007C61B5">
      <w:pPr>
        <w:spacing w:line="360" w:lineRule="auto"/>
        <w:jc w:val="both"/>
        <w:rPr>
          <w:rFonts w:ascii="Times New Roman" w:eastAsia="Times New Roman" w:hAnsi="Times New Roman" w:cs="Times New Roman"/>
          <w:b/>
          <w:i/>
          <w:color w:val="000000" w:themeColor="text1"/>
          <w:sz w:val="24"/>
          <w:szCs w:val="24"/>
        </w:rPr>
      </w:pPr>
      <w:r w:rsidRPr="005A15EE">
        <w:rPr>
          <w:rFonts w:ascii="Times New Roman" w:eastAsia="Times New Roman" w:hAnsi="Times New Roman" w:cs="Times New Roman"/>
          <w:b/>
          <w:i/>
          <w:color w:val="000000" w:themeColor="text1"/>
          <w:sz w:val="24"/>
          <w:szCs w:val="24"/>
        </w:rPr>
        <w:t>Communication and team-working skills</w:t>
      </w:r>
    </w:p>
    <w:p w14:paraId="0901ABC9" w14:textId="49ADDDBE"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In accordance with some of the most crucial and necessary employability skills required in healthcare professionals, it is further required to conduct an analysis of own skills to ascertain the presence of these skills. Through the means of conducting a variety of in-class exercises, it can be determined that some of own employability skills in this regard include adequate communication skills and adequate teamwork skills. As influenced by Stenberg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 xml:space="preserve">(2018), it can be established that communication is an essential skill that is required in every medical practitioner. This includes the aspect of both verbal as well as written communication. In addition to communication, it has also been identified from the in-class exercises that being able to work effectively in a team is another skill possessed by own self. In accordance with the views of </w:t>
      </w:r>
      <w:proofErr w:type="spellStart"/>
      <w:r w:rsidRPr="005A15EE">
        <w:rPr>
          <w:rFonts w:ascii="Times New Roman" w:eastAsia="Times New Roman" w:hAnsi="Times New Roman" w:cs="Times New Roman"/>
          <w:color w:val="000000" w:themeColor="text1"/>
          <w:sz w:val="24"/>
          <w:szCs w:val="24"/>
        </w:rPr>
        <w:t>Hotić</w:t>
      </w:r>
      <w:proofErr w:type="spellEnd"/>
      <w:r w:rsidR="005441BA">
        <w:rPr>
          <w:rFonts w:ascii="Times New Roman" w:eastAsia="Times New Roman" w:hAnsi="Times New Roman" w:cs="Times New Roman"/>
          <w:color w:val="000000" w:themeColor="text1"/>
          <w:sz w:val="24"/>
          <w:szCs w:val="24"/>
        </w:rPr>
        <w:t xml:space="preserve">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(2018), the presence of skills to be able to work within a team is another essential ability that can ensure employability of healthcare professionals.</w:t>
      </w:r>
    </w:p>
    <w:p w14:paraId="2027E908" w14:textId="77777777" w:rsidR="00BC2061" w:rsidRPr="005A15EE" w:rsidRDefault="007C61B5">
      <w:pPr>
        <w:spacing w:line="360" w:lineRule="auto"/>
        <w:jc w:val="both"/>
        <w:rPr>
          <w:rFonts w:ascii="Times New Roman" w:eastAsia="Times New Roman" w:hAnsi="Times New Roman" w:cs="Times New Roman"/>
          <w:b/>
          <w:i/>
          <w:color w:val="000000" w:themeColor="text1"/>
          <w:sz w:val="24"/>
          <w:szCs w:val="24"/>
        </w:rPr>
      </w:pPr>
      <w:r w:rsidRPr="005A15EE">
        <w:rPr>
          <w:rFonts w:ascii="Times New Roman" w:eastAsia="Times New Roman" w:hAnsi="Times New Roman" w:cs="Times New Roman"/>
          <w:b/>
          <w:i/>
          <w:color w:val="000000" w:themeColor="text1"/>
          <w:sz w:val="24"/>
          <w:szCs w:val="24"/>
        </w:rPr>
        <w:t>Technical skills</w:t>
      </w:r>
    </w:p>
    <w:p w14:paraId="3623956C" w14:textId="2E2090ED"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lastRenderedPageBreak/>
        <w:t>In addition to the aspects of adequate and effective communication and teamwork skills, it can also be observed from the in-class exercises that another strong and positive employability skill present is adequate technical knowledge</w:t>
      </w:r>
      <w:r w:rsidR="003A24A9" w:rsidRPr="005A15EE">
        <w:rPr>
          <w:rFonts w:ascii="Times New Roman" w:eastAsia="Times New Roman" w:hAnsi="Times New Roman" w:cs="Times New Roman"/>
          <w:color w:val="000000" w:themeColor="text1"/>
          <w:sz w:val="24"/>
          <w:szCs w:val="24"/>
        </w:rPr>
        <w:t xml:space="preserve"> (</w:t>
      </w:r>
      <w:proofErr w:type="spellStart"/>
      <w:r w:rsidR="003A24A9" w:rsidRPr="005A15EE">
        <w:rPr>
          <w:rFonts w:ascii="Times New Roman" w:eastAsia="Times New Roman" w:hAnsi="Times New Roman" w:cs="Times New Roman"/>
          <w:color w:val="000000" w:themeColor="text1"/>
          <w:sz w:val="24"/>
          <w:szCs w:val="24"/>
        </w:rPr>
        <w:t>Maund</w:t>
      </w:r>
      <w:proofErr w:type="spellEnd"/>
      <w:r w:rsidR="005441BA">
        <w:rPr>
          <w:rFonts w:ascii="Times New Roman" w:eastAsia="Times New Roman" w:hAnsi="Times New Roman" w:cs="Times New Roman"/>
          <w:color w:val="000000" w:themeColor="text1"/>
          <w:sz w:val="24"/>
          <w:szCs w:val="24"/>
        </w:rPr>
        <w:t xml:space="preserve"> </w:t>
      </w:r>
      <w:r w:rsidR="003A24A9" w:rsidRPr="005A15EE">
        <w:rPr>
          <w:rFonts w:ascii="Times New Roman" w:eastAsia="Times New Roman" w:hAnsi="Times New Roman" w:cs="Times New Roman"/>
          <w:i/>
          <w:color w:val="000000" w:themeColor="text1"/>
          <w:sz w:val="24"/>
          <w:szCs w:val="24"/>
        </w:rPr>
        <w:t xml:space="preserve">et al. </w:t>
      </w:r>
      <w:r w:rsidR="003A24A9" w:rsidRPr="005A15EE">
        <w:rPr>
          <w:rFonts w:ascii="Times New Roman" w:eastAsia="Times New Roman" w:hAnsi="Times New Roman" w:cs="Times New Roman"/>
          <w:color w:val="000000" w:themeColor="text1"/>
          <w:sz w:val="24"/>
          <w:szCs w:val="24"/>
        </w:rPr>
        <w:t>2017)</w:t>
      </w:r>
      <w:r w:rsidRPr="005A15EE">
        <w:rPr>
          <w:rFonts w:ascii="Times New Roman" w:eastAsia="Times New Roman" w:hAnsi="Times New Roman" w:cs="Times New Roman"/>
          <w:color w:val="000000" w:themeColor="text1"/>
          <w:sz w:val="24"/>
          <w:szCs w:val="24"/>
        </w:rPr>
        <w:t xml:space="preserve">. Technical knowledge in the health and social care context refers to the knowledge regarding providing specialist care to those with special needs. It also includes the aspect of possessing knowledge regarding the ways in which regular health care services are provided to the service users. In accordance with the views of Fergusson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(2018), it can be implied that the presence of such technical skills is essential to improve the potential for employability of an individual.</w:t>
      </w:r>
    </w:p>
    <w:p w14:paraId="0E282EF2" w14:textId="77777777" w:rsidR="00BC2061" w:rsidRPr="005A15EE" w:rsidRDefault="007C61B5">
      <w:pPr>
        <w:spacing w:line="360" w:lineRule="auto"/>
        <w:jc w:val="both"/>
        <w:rPr>
          <w:rFonts w:ascii="Times New Roman" w:eastAsia="Times New Roman" w:hAnsi="Times New Roman" w:cs="Times New Roman"/>
          <w:b/>
          <w:i/>
          <w:color w:val="000000" w:themeColor="text1"/>
          <w:sz w:val="24"/>
          <w:szCs w:val="24"/>
        </w:rPr>
      </w:pPr>
      <w:r w:rsidRPr="005A15EE">
        <w:rPr>
          <w:rFonts w:ascii="Times New Roman" w:eastAsia="Times New Roman" w:hAnsi="Times New Roman" w:cs="Times New Roman"/>
          <w:b/>
          <w:i/>
          <w:color w:val="000000" w:themeColor="text1"/>
          <w:sz w:val="24"/>
          <w:szCs w:val="24"/>
        </w:rPr>
        <w:t>Learning and adapting skills</w:t>
      </w:r>
    </w:p>
    <w:p w14:paraId="369DC42B" w14:textId="326491D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In compliance with this concept, the presence of such technical skills in own self can be extremely beneficial to the future growth of own self in the future</w:t>
      </w:r>
      <w:r w:rsidR="007511AD" w:rsidRPr="005A15EE">
        <w:rPr>
          <w:rFonts w:ascii="Times New Roman" w:eastAsia="Times New Roman" w:hAnsi="Times New Roman" w:cs="Times New Roman"/>
          <w:color w:val="000000" w:themeColor="text1"/>
          <w:sz w:val="24"/>
          <w:szCs w:val="24"/>
        </w:rPr>
        <w:t xml:space="preserve"> (Morgan, 2016)</w:t>
      </w:r>
      <w:r w:rsidRPr="005A15EE">
        <w:rPr>
          <w:rFonts w:ascii="Times New Roman" w:eastAsia="Times New Roman" w:hAnsi="Times New Roman" w:cs="Times New Roman"/>
          <w:color w:val="000000" w:themeColor="text1"/>
          <w:sz w:val="24"/>
          <w:szCs w:val="24"/>
        </w:rPr>
        <w:t xml:space="preserve">. In addition to the presence of such technical skills, it can be further states that the willingness to learn even greater and more complex skills is another essential skill that has been identified. As identified by </w:t>
      </w:r>
      <w:proofErr w:type="spellStart"/>
      <w:r w:rsidRPr="005A15EE">
        <w:rPr>
          <w:rFonts w:ascii="Times New Roman" w:eastAsia="Times New Roman" w:hAnsi="Times New Roman" w:cs="Times New Roman"/>
          <w:color w:val="000000" w:themeColor="text1"/>
          <w:sz w:val="24"/>
          <w:szCs w:val="24"/>
        </w:rPr>
        <w:t>Höglund</w:t>
      </w:r>
      <w:proofErr w:type="spellEnd"/>
      <w:r w:rsidR="005441BA">
        <w:rPr>
          <w:rFonts w:ascii="Times New Roman" w:eastAsia="Times New Roman" w:hAnsi="Times New Roman" w:cs="Times New Roman"/>
          <w:color w:val="000000" w:themeColor="text1"/>
          <w:sz w:val="24"/>
          <w:szCs w:val="24"/>
        </w:rPr>
        <w:t xml:space="preserve">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(2018), the willingness to learn more complex skills and being receptive to criticism are essential qualities that can facilitate the potential for the future growth of the healthcare professional. As a result, it can also help to increase the employability and academic retention skills of the individual.</w:t>
      </w:r>
    </w:p>
    <w:p w14:paraId="5D7B7FAF" w14:textId="77777777" w:rsidR="00BC2061" w:rsidRPr="005A15EE" w:rsidRDefault="007C61B5" w:rsidP="00FE6EAD">
      <w:pPr>
        <w:pStyle w:val="Heading1"/>
      </w:pPr>
      <w:bookmarkStart w:id="3" w:name="_Toc28437409"/>
      <w:r w:rsidRPr="005A15EE">
        <w:t>Analysis of own academic and employability skills</w:t>
      </w:r>
      <w:bookmarkEnd w:id="3"/>
    </w:p>
    <w:p w14:paraId="65DE4326" w14:textId="77777777" w:rsidR="00BC2061" w:rsidRPr="005A15EE" w:rsidRDefault="007C61B5">
      <w:pPr>
        <w:spacing w:line="360" w:lineRule="auto"/>
        <w:jc w:val="both"/>
        <w:rPr>
          <w:rFonts w:ascii="Times New Roman" w:eastAsia="Times New Roman" w:hAnsi="Times New Roman" w:cs="Times New Roman"/>
          <w:b/>
          <w:color w:val="000000" w:themeColor="text1"/>
          <w:sz w:val="24"/>
          <w:szCs w:val="24"/>
        </w:rPr>
      </w:pPr>
      <w:r w:rsidRPr="005A15EE">
        <w:rPr>
          <w:rFonts w:ascii="Times New Roman" w:eastAsia="Times New Roman" w:hAnsi="Times New Roman" w:cs="Times New Roman"/>
          <w:b/>
          <w:i/>
          <w:color w:val="000000" w:themeColor="text1"/>
          <w:sz w:val="24"/>
          <w:szCs w:val="24"/>
        </w:rPr>
        <w:t>Communication and team-working skills</w:t>
      </w:r>
    </w:p>
    <w:p w14:paraId="1AC2FC32"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Through the analysis of own academic and employability skills identified, the presence of such qualities can be immensely beneficial to increasing the prospects and potential for growth of the healthcare professional in the future. The four skills identified, namely adequate communication, </w:t>
      </w:r>
      <w:r w:rsidR="00FE6EAD" w:rsidRPr="005A15EE">
        <w:rPr>
          <w:rFonts w:ascii="Times New Roman" w:eastAsia="Times New Roman" w:hAnsi="Times New Roman" w:cs="Times New Roman"/>
          <w:color w:val="000000" w:themeColor="text1"/>
          <w:sz w:val="24"/>
          <w:szCs w:val="24"/>
        </w:rPr>
        <w:t>team working</w:t>
      </w:r>
      <w:r w:rsidRPr="005A15EE">
        <w:rPr>
          <w:rFonts w:ascii="Times New Roman" w:eastAsia="Times New Roman" w:hAnsi="Times New Roman" w:cs="Times New Roman"/>
          <w:color w:val="000000" w:themeColor="text1"/>
          <w:sz w:val="24"/>
          <w:szCs w:val="24"/>
        </w:rPr>
        <w:t>, technical and learning skills, can help in improving the overall capability of the individual in a collective manner.</w:t>
      </w:r>
    </w:p>
    <w:p w14:paraId="4551D983"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The aspect of adequate communication and team working skills are transferable skills that are required in professionals regardless of the field of work. In this regard, it can be stated that the aspect of adequate communication and team working skills can also help in improving own professional competence in the field of health and social care. As per the views of Lestari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 xml:space="preserve">(2018), it can be stated that the presence of adequate communication skills can make the task of administering care more effective and efficient. In accordance with this aspect, it can be stated that the presence of these skills in own professional competence can help in improving own value as a healthcare professional. Through the means of being able to work effectively </w:t>
      </w:r>
      <w:r w:rsidRPr="005A15EE">
        <w:rPr>
          <w:rFonts w:ascii="Times New Roman" w:eastAsia="Times New Roman" w:hAnsi="Times New Roman" w:cs="Times New Roman"/>
          <w:color w:val="000000" w:themeColor="text1"/>
          <w:sz w:val="24"/>
          <w:szCs w:val="24"/>
        </w:rPr>
        <w:lastRenderedPageBreak/>
        <w:t>with a team to administer proper care, the ability of care professionals to increase own value in the field can be ensured</w:t>
      </w:r>
      <w:r w:rsidR="007511AD" w:rsidRPr="005A15EE">
        <w:rPr>
          <w:rFonts w:ascii="Times New Roman" w:eastAsia="Times New Roman" w:hAnsi="Times New Roman" w:cs="Times New Roman"/>
          <w:color w:val="000000" w:themeColor="text1"/>
          <w:sz w:val="24"/>
          <w:szCs w:val="24"/>
        </w:rPr>
        <w:t xml:space="preserve"> (Cottrell, 2010)</w:t>
      </w:r>
      <w:r w:rsidRPr="005A15EE">
        <w:rPr>
          <w:rFonts w:ascii="Times New Roman" w:eastAsia="Times New Roman" w:hAnsi="Times New Roman" w:cs="Times New Roman"/>
          <w:color w:val="000000" w:themeColor="text1"/>
          <w:sz w:val="24"/>
          <w:szCs w:val="24"/>
        </w:rPr>
        <w:t>. This can be done by being able to conduct tasks in an effective and efficient manner.</w:t>
      </w:r>
    </w:p>
    <w:p w14:paraId="70125E23" w14:textId="77777777" w:rsidR="00BC2061" w:rsidRPr="005A15EE" w:rsidRDefault="007C61B5">
      <w:pPr>
        <w:spacing w:line="360" w:lineRule="auto"/>
        <w:jc w:val="both"/>
        <w:rPr>
          <w:rFonts w:ascii="Times New Roman" w:eastAsia="Times New Roman" w:hAnsi="Times New Roman" w:cs="Times New Roman"/>
          <w:b/>
          <w:i/>
          <w:color w:val="000000" w:themeColor="text1"/>
          <w:sz w:val="24"/>
          <w:szCs w:val="24"/>
        </w:rPr>
      </w:pPr>
      <w:r w:rsidRPr="005A15EE">
        <w:rPr>
          <w:rFonts w:ascii="Times New Roman" w:eastAsia="Times New Roman" w:hAnsi="Times New Roman" w:cs="Times New Roman"/>
          <w:b/>
          <w:i/>
          <w:color w:val="000000" w:themeColor="text1"/>
          <w:sz w:val="24"/>
          <w:szCs w:val="24"/>
        </w:rPr>
        <w:t>Technical skills</w:t>
      </w:r>
    </w:p>
    <w:p w14:paraId="0BB265F8" w14:textId="573BB25B"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The presence of technical skills in own professional capabilities is another essential requirement that can help in increasing the potential for employability of an individual. In light of this, the presence of advanced technical skills can help in increasing own value in the field due to the ability to conduct technical tasks in an effective and efficient manner. In accordance with the views of </w:t>
      </w:r>
      <w:proofErr w:type="spellStart"/>
      <w:r w:rsidRPr="005A15EE">
        <w:rPr>
          <w:rFonts w:ascii="Times New Roman" w:eastAsia="Times New Roman" w:hAnsi="Times New Roman" w:cs="Times New Roman"/>
          <w:color w:val="000000" w:themeColor="text1"/>
          <w:sz w:val="24"/>
          <w:szCs w:val="24"/>
        </w:rPr>
        <w:t>Sollid</w:t>
      </w:r>
      <w:proofErr w:type="spellEnd"/>
      <w:r w:rsidR="005441BA">
        <w:rPr>
          <w:rFonts w:ascii="Times New Roman" w:eastAsia="Times New Roman" w:hAnsi="Times New Roman" w:cs="Times New Roman"/>
          <w:color w:val="000000" w:themeColor="text1"/>
          <w:sz w:val="24"/>
          <w:szCs w:val="24"/>
        </w:rPr>
        <w:t xml:space="preserve">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(2019), the presence of adequate technical skills can help an individual to be able to become qualified for extensive employment options. As a result, it can help to ensure that the value of the individual in the healthcare sector becomes enhanced as well. Through the means of increased technical knowledge and increased competence on the ways in which certain healthcare procedures are required to be executed, it can help to improve the employability of own self.</w:t>
      </w:r>
    </w:p>
    <w:p w14:paraId="55FE9B4E" w14:textId="77777777" w:rsidR="00BC2061" w:rsidRPr="005A15EE" w:rsidRDefault="007C61B5">
      <w:pPr>
        <w:spacing w:line="360" w:lineRule="auto"/>
        <w:jc w:val="both"/>
        <w:rPr>
          <w:rFonts w:ascii="Times New Roman" w:eastAsia="Times New Roman" w:hAnsi="Times New Roman" w:cs="Times New Roman"/>
          <w:b/>
          <w:i/>
          <w:color w:val="000000" w:themeColor="text1"/>
          <w:sz w:val="24"/>
          <w:szCs w:val="24"/>
        </w:rPr>
      </w:pPr>
      <w:r w:rsidRPr="005A15EE">
        <w:rPr>
          <w:rFonts w:ascii="Times New Roman" w:eastAsia="Times New Roman" w:hAnsi="Times New Roman" w:cs="Times New Roman"/>
          <w:b/>
          <w:i/>
          <w:color w:val="000000" w:themeColor="text1"/>
          <w:sz w:val="24"/>
          <w:szCs w:val="24"/>
        </w:rPr>
        <w:t>Learning and adapting skills</w:t>
      </w:r>
    </w:p>
    <w:p w14:paraId="46E66443" w14:textId="77777777" w:rsidR="005441BA"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In addition to the presence of adequate technical skills, there is also a requirement for own self to have extensive learning and adaptability skills in addition to the willingness to learn new things. As opined by Kee</w:t>
      </w:r>
      <w:r w:rsidR="005441BA">
        <w:rPr>
          <w:rFonts w:ascii="Times New Roman" w:eastAsia="Times New Roman" w:hAnsi="Times New Roman" w:cs="Times New Roman"/>
          <w:color w:val="000000" w:themeColor="text1"/>
          <w:sz w:val="24"/>
          <w:szCs w:val="24"/>
        </w:rPr>
        <w:t xml:space="preserve">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 xml:space="preserve">(2018), through adequate adaptability skills as well as the willingness to learn new aspects of providing healthcare, own competence and professional capabilities in healthcare can be enhanced. As a result, it can be stated to improve the potential for employability in the professional context since it denotes the willingness and ability of the individual to learn new concepts. </w:t>
      </w:r>
    </w:p>
    <w:p w14:paraId="2398F2BA" w14:textId="420EA540"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It can further help in making the task of administering care more efficient by being able to retain the knowledge for practical application in the future. In this manner, it can be especially helpful to ensure that an individual is willing to be receptive to new technical concepts that can make the task of administering care more efficient and effective. As opined by Olsen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(2018), it can help individuals in the healthcare context to be able to improve own professional capabilities and competencies. This can ultimately lead to the continued professional growth in the future and further improving employability of the individual in the field.</w:t>
      </w:r>
    </w:p>
    <w:p w14:paraId="3DA498EB" w14:textId="77777777" w:rsidR="00BC2061" w:rsidRPr="005A15EE" w:rsidRDefault="007C61B5" w:rsidP="00FE6EAD">
      <w:pPr>
        <w:pStyle w:val="Heading1"/>
      </w:pPr>
      <w:bookmarkStart w:id="4" w:name="_Toc28437410"/>
      <w:r w:rsidRPr="005A15EE">
        <w:lastRenderedPageBreak/>
        <w:t>Role of own academic and employability skills in health and social care setting</w:t>
      </w:r>
      <w:bookmarkEnd w:id="4"/>
    </w:p>
    <w:p w14:paraId="6E8B56EB" w14:textId="77777777" w:rsidR="00093DBF" w:rsidRPr="005A15EE" w:rsidRDefault="00086D73" w:rsidP="00093DBF">
      <w:pPr>
        <w:jc w:val="center"/>
        <w:rPr>
          <w:color w:val="000000" w:themeColor="text1"/>
        </w:rPr>
      </w:pPr>
      <w:r w:rsidRPr="005A15EE">
        <w:rPr>
          <w:noProof/>
          <w:color w:val="000000" w:themeColor="text1"/>
          <w:lang w:val="en-US" w:eastAsia="en-US"/>
        </w:rPr>
        <w:drawing>
          <wp:inline distT="0" distB="0" distL="0" distR="0" wp14:anchorId="0E905492" wp14:editId="52091452">
            <wp:extent cx="5486400" cy="3200400"/>
            <wp:effectExtent l="5715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292769F" w14:textId="77777777" w:rsidR="000C4084" w:rsidRPr="005A15EE" w:rsidRDefault="000C4084" w:rsidP="009C6C70">
      <w:pPr>
        <w:spacing w:line="360" w:lineRule="auto"/>
        <w:jc w:val="center"/>
        <w:rPr>
          <w:rFonts w:ascii="Times New Roman" w:hAnsi="Times New Roman" w:cs="Times New Roman"/>
          <w:b/>
          <w:color w:val="000000" w:themeColor="text1"/>
          <w:sz w:val="24"/>
          <w:szCs w:val="24"/>
        </w:rPr>
      </w:pPr>
      <w:r w:rsidRPr="005A15EE">
        <w:rPr>
          <w:rFonts w:ascii="Times New Roman" w:hAnsi="Times New Roman" w:cs="Times New Roman"/>
          <w:b/>
          <w:color w:val="000000" w:themeColor="text1"/>
          <w:sz w:val="24"/>
          <w:szCs w:val="24"/>
        </w:rPr>
        <w:t>Figure 2: Role of own employability skills in healthcare setting</w:t>
      </w:r>
    </w:p>
    <w:p w14:paraId="77DD9856" w14:textId="77777777" w:rsidR="009C6C70" w:rsidRPr="005A15EE" w:rsidRDefault="009C6C70" w:rsidP="009C6C70">
      <w:pPr>
        <w:spacing w:line="360" w:lineRule="auto"/>
        <w:jc w:val="center"/>
        <w:rPr>
          <w:rFonts w:ascii="Times New Roman" w:hAnsi="Times New Roman" w:cs="Times New Roman"/>
          <w:color w:val="000000" w:themeColor="text1"/>
          <w:sz w:val="24"/>
          <w:szCs w:val="24"/>
        </w:rPr>
      </w:pPr>
      <w:r w:rsidRPr="005A15EE">
        <w:rPr>
          <w:rFonts w:ascii="Times New Roman" w:hAnsi="Times New Roman" w:cs="Times New Roman"/>
          <w:color w:val="000000" w:themeColor="text1"/>
          <w:sz w:val="24"/>
          <w:szCs w:val="24"/>
        </w:rPr>
        <w:t xml:space="preserve">(Source: Influenced by </w:t>
      </w:r>
      <w:proofErr w:type="spellStart"/>
      <w:r w:rsidRPr="005A15EE">
        <w:rPr>
          <w:rFonts w:ascii="Times New Roman" w:eastAsia="Times New Roman" w:hAnsi="Times New Roman" w:cs="Times New Roman"/>
          <w:color w:val="000000" w:themeColor="text1"/>
          <w:sz w:val="24"/>
          <w:szCs w:val="24"/>
        </w:rPr>
        <w:t>Sanson</w:t>
      </w:r>
      <w:proofErr w:type="spellEnd"/>
      <w:r w:rsidRPr="005A15EE">
        <w:rPr>
          <w:rFonts w:ascii="Times New Roman" w:eastAsia="Times New Roman" w:hAnsi="Times New Roman" w:cs="Times New Roman"/>
          <w:color w:val="000000" w:themeColor="text1"/>
          <w:sz w:val="24"/>
          <w:szCs w:val="24"/>
        </w:rPr>
        <w:t xml:space="preserve">-Fisher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2018)</w:t>
      </w:r>
    </w:p>
    <w:p w14:paraId="0B2A0EB6"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The presence of own academic and employability skills can be extremely beneficial in the actual health and social care setting, in terms of the way in which care is administered. Through the means of making use of own qualities identified, it can be stated that it can make the task of providing care a highly convenient task that can further facilitate own professional growth.</w:t>
      </w:r>
    </w:p>
    <w:p w14:paraId="67830C25"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Through the means of adequate communication and team working skills, quality of care provided by self can be made more effective. This includes the aspect of communicating with the external as well as internal elements of the care facility. As stated by </w:t>
      </w:r>
      <w:proofErr w:type="spellStart"/>
      <w:r w:rsidRPr="005A15EE">
        <w:rPr>
          <w:rFonts w:ascii="Times New Roman" w:eastAsia="Times New Roman" w:hAnsi="Times New Roman" w:cs="Times New Roman"/>
          <w:color w:val="000000" w:themeColor="text1"/>
          <w:sz w:val="24"/>
          <w:szCs w:val="24"/>
        </w:rPr>
        <w:t>Sanson</w:t>
      </w:r>
      <w:proofErr w:type="spellEnd"/>
      <w:r w:rsidRPr="005A15EE">
        <w:rPr>
          <w:rFonts w:ascii="Times New Roman" w:eastAsia="Times New Roman" w:hAnsi="Times New Roman" w:cs="Times New Roman"/>
          <w:color w:val="000000" w:themeColor="text1"/>
          <w:sz w:val="24"/>
          <w:szCs w:val="24"/>
        </w:rPr>
        <w:t xml:space="preserve">-Fisher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(2018), it can be stated that communicating effectively with service users can help in diagnosing health issues in a better manner. Similarly, communicating effectively with team members and with other elements within the care facility can help in providing care effectively in accordance with the diagnosed health issues. As a result, it can be stated that the aspects of communication and team working are co-related concepts that are equally essential in the course of providing necessary care to the service users.</w:t>
      </w:r>
    </w:p>
    <w:p w14:paraId="2975D1D7"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In addition to such skills, the aspects of technical skills can further help in ensuring that the kind of care provided to the care seekers in accordance with the required quality standards. In collaboration with the required skills of being willing to learn, this can help to increase own proficiency in the practical healthcare context. As influenced by Shorten </w:t>
      </w:r>
      <w:r w:rsidRPr="005A15EE">
        <w:rPr>
          <w:rFonts w:ascii="Times New Roman" w:eastAsia="Times New Roman" w:hAnsi="Times New Roman" w:cs="Times New Roman"/>
          <w:i/>
          <w:color w:val="000000" w:themeColor="text1"/>
          <w:sz w:val="24"/>
          <w:szCs w:val="24"/>
        </w:rPr>
        <w:t xml:space="preserve">et al. </w:t>
      </w:r>
      <w:r w:rsidRPr="005A15EE">
        <w:rPr>
          <w:rFonts w:ascii="Times New Roman" w:eastAsia="Times New Roman" w:hAnsi="Times New Roman" w:cs="Times New Roman"/>
          <w:color w:val="000000" w:themeColor="text1"/>
          <w:sz w:val="24"/>
          <w:szCs w:val="24"/>
        </w:rPr>
        <w:t xml:space="preserve">(2018), it can help to ensure that the kind of service provided by own self is in compliance with the required </w:t>
      </w:r>
      <w:r w:rsidRPr="005A15EE">
        <w:rPr>
          <w:rFonts w:ascii="Times New Roman" w:eastAsia="Times New Roman" w:hAnsi="Times New Roman" w:cs="Times New Roman"/>
          <w:color w:val="000000" w:themeColor="text1"/>
          <w:sz w:val="24"/>
          <w:szCs w:val="24"/>
        </w:rPr>
        <w:lastRenderedPageBreak/>
        <w:t>standards and technological advancements of healthcare. As a result, it can help to ensure that own professional growth and development can be worked toward in an adequate manner. It can further help to ensure that the quality of care provided can be improved in addition to own professional capabilities in the field of healthcare.</w:t>
      </w:r>
    </w:p>
    <w:p w14:paraId="27FFFC40" w14:textId="77777777" w:rsidR="00BC2061" w:rsidRPr="005A15EE" w:rsidRDefault="007C61B5" w:rsidP="00FE6EAD">
      <w:pPr>
        <w:pStyle w:val="Heading1"/>
      </w:pPr>
      <w:bookmarkStart w:id="5" w:name="_Toc28437411"/>
      <w:r w:rsidRPr="005A15EE">
        <w:t>Conclusion</w:t>
      </w:r>
      <w:bookmarkEnd w:id="5"/>
    </w:p>
    <w:p w14:paraId="227CE03E"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Through the means of this study, it can be concluded that there are a number of skills that are required to be present in the case of improving employability of healthcare professionals. Through the means of engaging in the in-class exercises, it has been identified that some of the skills in own professional capabilities include communication, </w:t>
      </w:r>
      <w:r w:rsidR="00FE6EAD" w:rsidRPr="005A15EE">
        <w:rPr>
          <w:rFonts w:ascii="Times New Roman" w:eastAsia="Times New Roman" w:hAnsi="Times New Roman" w:cs="Times New Roman"/>
          <w:color w:val="000000" w:themeColor="text1"/>
          <w:sz w:val="24"/>
          <w:szCs w:val="24"/>
        </w:rPr>
        <w:t>team working</w:t>
      </w:r>
      <w:r w:rsidRPr="005A15EE">
        <w:rPr>
          <w:rFonts w:ascii="Times New Roman" w:eastAsia="Times New Roman" w:hAnsi="Times New Roman" w:cs="Times New Roman"/>
          <w:color w:val="000000" w:themeColor="text1"/>
          <w:sz w:val="24"/>
          <w:szCs w:val="24"/>
        </w:rPr>
        <w:t>, technical and learning skills. Through the means of developing these skills, healthcare professionals can ensure that adequate measures can be taken that can help to make practical and adequate use of professional skills.</w:t>
      </w:r>
    </w:p>
    <w:p w14:paraId="2BB37ED2" w14:textId="77777777" w:rsidR="00BC2061" w:rsidRPr="005A15EE" w:rsidRDefault="007C61B5">
      <w:pPr>
        <w:spacing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rPr>
        <w:t xml:space="preserve">Therefore, from the analysis of own employability skills, it can be concluded that communicating and </w:t>
      </w:r>
      <w:r w:rsidR="00FE6EAD" w:rsidRPr="005A15EE">
        <w:rPr>
          <w:rFonts w:ascii="Times New Roman" w:eastAsia="Times New Roman" w:hAnsi="Times New Roman" w:cs="Times New Roman"/>
          <w:color w:val="000000" w:themeColor="text1"/>
          <w:sz w:val="24"/>
          <w:szCs w:val="24"/>
        </w:rPr>
        <w:t>team working</w:t>
      </w:r>
      <w:r w:rsidRPr="005A15EE">
        <w:rPr>
          <w:rFonts w:ascii="Times New Roman" w:eastAsia="Times New Roman" w:hAnsi="Times New Roman" w:cs="Times New Roman"/>
          <w:color w:val="000000" w:themeColor="text1"/>
          <w:sz w:val="24"/>
          <w:szCs w:val="24"/>
        </w:rPr>
        <w:t xml:space="preserve"> skills in the healthcare context can help to improve the quality of services provided to the service users. Additionally, through the means of being willing to learn more skills and staying updated in the various technical requirements of the Health issues of service users, healthcare professionals can improve own competencies and professional capabilities. As a result, it can help to improve the kind of service and health and social care that is provided to service users.</w:t>
      </w:r>
    </w:p>
    <w:p w14:paraId="2014FF08" w14:textId="77777777" w:rsidR="00BC2061" w:rsidRPr="005A15EE" w:rsidRDefault="007C61B5">
      <w:pPr>
        <w:spacing w:line="360" w:lineRule="auto"/>
        <w:jc w:val="both"/>
        <w:rPr>
          <w:rFonts w:ascii="Times New Roman" w:eastAsia="Times New Roman" w:hAnsi="Times New Roman" w:cs="Times New Roman"/>
          <w:b/>
          <w:color w:val="000000" w:themeColor="text1"/>
          <w:sz w:val="24"/>
          <w:szCs w:val="24"/>
        </w:rPr>
      </w:pPr>
      <w:r w:rsidRPr="005A15EE">
        <w:rPr>
          <w:color w:val="000000" w:themeColor="text1"/>
        </w:rPr>
        <w:br w:type="page"/>
      </w:r>
    </w:p>
    <w:p w14:paraId="608886FC" w14:textId="77777777" w:rsidR="00BC2061" w:rsidRPr="005A15EE" w:rsidRDefault="007C61B5" w:rsidP="00FE6EAD">
      <w:pPr>
        <w:pStyle w:val="Heading1"/>
      </w:pPr>
      <w:bookmarkStart w:id="6" w:name="_Toc28437412"/>
      <w:r w:rsidRPr="005A15EE">
        <w:lastRenderedPageBreak/>
        <w:t>Reference List</w:t>
      </w:r>
      <w:bookmarkEnd w:id="6"/>
    </w:p>
    <w:p w14:paraId="70AF4A69"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rPr>
        <w:t xml:space="preserve">Cottrell, S. (2010). </w:t>
      </w:r>
      <w:r w:rsidRPr="005A15EE">
        <w:rPr>
          <w:rFonts w:ascii="Times New Roman" w:eastAsia="Times New Roman" w:hAnsi="Times New Roman" w:cs="Times New Roman"/>
          <w:i/>
          <w:color w:val="000000" w:themeColor="text1"/>
          <w:sz w:val="24"/>
          <w:szCs w:val="24"/>
        </w:rPr>
        <w:t>Skills for success</w:t>
      </w:r>
      <w:r w:rsidRPr="005A15EE">
        <w:rPr>
          <w:rFonts w:ascii="Times New Roman" w:eastAsia="Times New Roman" w:hAnsi="Times New Roman" w:cs="Times New Roman"/>
          <w:color w:val="000000" w:themeColor="text1"/>
          <w:sz w:val="24"/>
          <w:szCs w:val="24"/>
        </w:rPr>
        <w:t>, Eds. 2. Hampshire: Palgrave Macmillan.</w:t>
      </w:r>
    </w:p>
    <w:p w14:paraId="0FC68852"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highlight w:val="white"/>
        </w:rPr>
        <w:t xml:space="preserve">Fergusson, D.A., Grimshaw, J.M., </w:t>
      </w:r>
      <w:proofErr w:type="spellStart"/>
      <w:r w:rsidRPr="005A15EE">
        <w:rPr>
          <w:rFonts w:ascii="Times New Roman" w:eastAsia="Times New Roman" w:hAnsi="Times New Roman" w:cs="Times New Roman"/>
          <w:color w:val="000000" w:themeColor="text1"/>
          <w:sz w:val="24"/>
          <w:szCs w:val="24"/>
          <w:highlight w:val="white"/>
        </w:rPr>
        <w:t>Mamazza</w:t>
      </w:r>
      <w:proofErr w:type="spellEnd"/>
      <w:r w:rsidRPr="005A15EE">
        <w:rPr>
          <w:rFonts w:ascii="Times New Roman" w:eastAsia="Times New Roman" w:hAnsi="Times New Roman" w:cs="Times New Roman"/>
          <w:color w:val="000000" w:themeColor="text1"/>
          <w:sz w:val="24"/>
          <w:szCs w:val="24"/>
          <w:highlight w:val="white"/>
        </w:rPr>
        <w:t>, J., Mayhew, A., Poulin, E.C., Boushey, R.P. and Haggar, F. (2018). Improving surgical practice</w:t>
      </w:r>
      <w:r w:rsidRPr="005A15EE">
        <w:rPr>
          <w:rFonts w:ascii="Cambria Math" w:eastAsia="Times New Roman" w:hAnsi="Cambria Math" w:cs="Times New Roman"/>
          <w:color w:val="000000" w:themeColor="text1"/>
          <w:sz w:val="24"/>
          <w:szCs w:val="24"/>
          <w:highlight w:val="white"/>
        </w:rPr>
        <w:t>‐</w:t>
      </w:r>
      <w:r w:rsidRPr="005A15EE">
        <w:rPr>
          <w:rFonts w:ascii="Times New Roman" w:eastAsia="Times New Roman" w:hAnsi="Times New Roman" w:cs="Times New Roman"/>
          <w:color w:val="000000" w:themeColor="text1"/>
          <w:sz w:val="24"/>
          <w:szCs w:val="24"/>
          <w:highlight w:val="white"/>
        </w:rPr>
        <w:t xml:space="preserve">a systematic review of effective education strategies to improve surgical technical skills in operative procedures. </w:t>
      </w:r>
      <w:r w:rsidRPr="005A15EE">
        <w:rPr>
          <w:rFonts w:ascii="Times New Roman" w:eastAsia="Times New Roman" w:hAnsi="Times New Roman" w:cs="Times New Roman"/>
          <w:i/>
          <w:color w:val="000000" w:themeColor="text1"/>
          <w:sz w:val="24"/>
          <w:szCs w:val="24"/>
          <w:highlight w:val="white"/>
        </w:rPr>
        <w:t>The Cochrane database of systematic reviews</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2018</w:t>
      </w:r>
      <w:r w:rsidRPr="005A15EE">
        <w:rPr>
          <w:rFonts w:ascii="Times New Roman" w:eastAsia="Times New Roman" w:hAnsi="Times New Roman" w:cs="Times New Roman"/>
          <w:color w:val="000000" w:themeColor="text1"/>
          <w:sz w:val="24"/>
          <w:szCs w:val="24"/>
          <w:highlight w:val="white"/>
        </w:rPr>
        <w:t>(2), pp.150-166.</w:t>
      </w:r>
    </w:p>
    <w:p w14:paraId="4E68741A"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5A15EE">
        <w:rPr>
          <w:rFonts w:ascii="Times New Roman" w:eastAsia="Times New Roman" w:hAnsi="Times New Roman" w:cs="Times New Roman"/>
          <w:color w:val="000000" w:themeColor="text1"/>
          <w:sz w:val="24"/>
          <w:szCs w:val="24"/>
          <w:highlight w:val="white"/>
        </w:rPr>
        <w:t>Höglund</w:t>
      </w:r>
      <w:proofErr w:type="spellEnd"/>
      <w:r w:rsidRPr="005A15EE">
        <w:rPr>
          <w:rFonts w:ascii="Times New Roman" w:eastAsia="Times New Roman" w:hAnsi="Times New Roman" w:cs="Times New Roman"/>
          <w:color w:val="000000" w:themeColor="text1"/>
          <w:sz w:val="24"/>
          <w:szCs w:val="24"/>
          <w:highlight w:val="white"/>
        </w:rPr>
        <w:t xml:space="preserve">, A.T., Carlsson, M., </w:t>
      </w:r>
      <w:proofErr w:type="spellStart"/>
      <w:r w:rsidRPr="005A15EE">
        <w:rPr>
          <w:rFonts w:ascii="Times New Roman" w:eastAsia="Times New Roman" w:hAnsi="Times New Roman" w:cs="Times New Roman"/>
          <w:color w:val="000000" w:themeColor="text1"/>
          <w:sz w:val="24"/>
          <w:szCs w:val="24"/>
          <w:highlight w:val="white"/>
        </w:rPr>
        <w:t>Holmström</w:t>
      </w:r>
      <w:proofErr w:type="spellEnd"/>
      <w:r w:rsidRPr="005A15EE">
        <w:rPr>
          <w:rFonts w:ascii="Times New Roman" w:eastAsia="Times New Roman" w:hAnsi="Times New Roman" w:cs="Times New Roman"/>
          <w:color w:val="000000" w:themeColor="text1"/>
          <w:sz w:val="24"/>
          <w:szCs w:val="24"/>
          <w:highlight w:val="white"/>
        </w:rPr>
        <w:t xml:space="preserve">, I.K., </w:t>
      </w:r>
      <w:proofErr w:type="spellStart"/>
      <w:r w:rsidRPr="005A15EE">
        <w:rPr>
          <w:rFonts w:ascii="Times New Roman" w:eastAsia="Times New Roman" w:hAnsi="Times New Roman" w:cs="Times New Roman"/>
          <w:color w:val="000000" w:themeColor="text1"/>
          <w:sz w:val="24"/>
          <w:szCs w:val="24"/>
          <w:highlight w:val="white"/>
        </w:rPr>
        <w:t>Lännerström</w:t>
      </w:r>
      <w:proofErr w:type="spellEnd"/>
      <w:r w:rsidRPr="005A15EE">
        <w:rPr>
          <w:rFonts w:ascii="Times New Roman" w:eastAsia="Times New Roman" w:hAnsi="Times New Roman" w:cs="Times New Roman"/>
          <w:color w:val="000000" w:themeColor="text1"/>
          <w:sz w:val="24"/>
          <w:szCs w:val="24"/>
          <w:highlight w:val="white"/>
        </w:rPr>
        <w:t xml:space="preserve">, L. and Kaminsky, E. (2018). From denial to awareness: a conceptual model for obtaining equity in healthcare. </w:t>
      </w:r>
      <w:r w:rsidRPr="005A15EE">
        <w:rPr>
          <w:rFonts w:ascii="Times New Roman" w:eastAsia="Times New Roman" w:hAnsi="Times New Roman" w:cs="Times New Roman"/>
          <w:i/>
          <w:color w:val="000000" w:themeColor="text1"/>
          <w:sz w:val="24"/>
          <w:szCs w:val="24"/>
          <w:highlight w:val="white"/>
        </w:rPr>
        <w:t>International journal for equity in health</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17</w:t>
      </w:r>
      <w:r w:rsidRPr="005A15EE">
        <w:rPr>
          <w:rFonts w:ascii="Times New Roman" w:eastAsia="Times New Roman" w:hAnsi="Times New Roman" w:cs="Times New Roman"/>
          <w:color w:val="000000" w:themeColor="text1"/>
          <w:sz w:val="24"/>
          <w:szCs w:val="24"/>
          <w:highlight w:val="white"/>
        </w:rPr>
        <w:t>(1), pp.9-17.</w:t>
      </w:r>
    </w:p>
    <w:p w14:paraId="183AD9C5"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5A15EE">
        <w:rPr>
          <w:rFonts w:ascii="Times New Roman" w:eastAsia="Times New Roman" w:hAnsi="Times New Roman" w:cs="Times New Roman"/>
          <w:color w:val="000000" w:themeColor="text1"/>
          <w:sz w:val="24"/>
          <w:szCs w:val="24"/>
          <w:highlight w:val="white"/>
        </w:rPr>
        <w:t>Hotić</w:t>
      </w:r>
      <w:proofErr w:type="spellEnd"/>
      <w:r w:rsidRPr="005A15EE">
        <w:rPr>
          <w:rFonts w:ascii="Times New Roman" w:eastAsia="Times New Roman" w:hAnsi="Times New Roman" w:cs="Times New Roman"/>
          <w:color w:val="000000" w:themeColor="text1"/>
          <w:sz w:val="24"/>
          <w:szCs w:val="24"/>
          <w:highlight w:val="white"/>
        </w:rPr>
        <w:t xml:space="preserve">, N., </w:t>
      </w:r>
      <w:proofErr w:type="spellStart"/>
      <w:r w:rsidRPr="005A15EE">
        <w:rPr>
          <w:rFonts w:ascii="Times New Roman" w:eastAsia="Times New Roman" w:hAnsi="Times New Roman" w:cs="Times New Roman"/>
          <w:color w:val="000000" w:themeColor="text1"/>
          <w:sz w:val="24"/>
          <w:szCs w:val="24"/>
          <w:highlight w:val="white"/>
        </w:rPr>
        <w:t>Bećarević</w:t>
      </w:r>
      <w:proofErr w:type="spellEnd"/>
      <w:r w:rsidRPr="005A15EE">
        <w:rPr>
          <w:rFonts w:ascii="Times New Roman" w:eastAsia="Times New Roman" w:hAnsi="Times New Roman" w:cs="Times New Roman"/>
          <w:color w:val="000000" w:themeColor="text1"/>
          <w:sz w:val="24"/>
          <w:szCs w:val="24"/>
          <w:highlight w:val="white"/>
        </w:rPr>
        <w:t xml:space="preserve">, M., </w:t>
      </w:r>
      <w:proofErr w:type="spellStart"/>
      <w:r w:rsidRPr="005A15EE">
        <w:rPr>
          <w:rFonts w:ascii="Times New Roman" w:eastAsia="Times New Roman" w:hAnsi="Times New Roman" w:cs="Times New Roman"/>
          <w:color w:val="000000" w:themeColor="text1"/>
          <w:sz w:val="24"/>
          <w:szCs w:val="24"/>
          <w:highlight w:val="white"/>
        </w:rPr>
        <w:t>Dizdarević</w:t>
      </w:r>
      <w:proofErr w:type="spellEnd"/>
      <w:r w:rsidRPr="005A15EE">
        <w:rPr>
          <w:rFonts w:ascii="Times New Roman" w:eastAsia="Times New Roman" w:hAnsi="Times New Roman" w:cs="Times New Roman"/>
          <w:color w:val="000000" w:themeColor="text1"/>
          <w:sz w:val="24"/>
          <w:szCs w:val="24"/>
          <w:highlight w:val="white"/>
        </w:rPr>
        <w:t xml:space="preserve">, A., </w:t>
      </w:r>
      <w:proofErr w:type="spellStart"/>
      <w:r w:rsidRPr="005A15EE">
        <w:rPr>
          <w:rFonts w:ascii="Times New Roman" w:eastAsia="Times New Roman" w:hAnsi="Times New Roman" w:cs="Times New Roman"/>
          <w:color w:val="000000" w:themeColor="text1"/>
          <w:sz w:val="24"/>
          <w:szCs w:val="24"/>
          <w:highlight w:val="white"/>
        </w:rPr>
        <w:t>Muhić</w:t>
      </w:r>
      <w:proofErr w:type="spellEnd"/>
      <w:r w:rsidRPr="005A15EE">
        <w:rPr>
          <w:rFonts w:ascii="Times New Roman" w:eastAsia="Times New Roman" w:hAnsi="Times New Roman" w:cs="Times New Roman"/>
          <w:color w:val="000000" w:themeColor="text1"/>
          <w:sz w:val="24"/>
          <w:szCs w:val="24"/>
          <w:highlight w:val="white"/>
        </w:rPr>
        <w:t xml:space="preserve">, H., </w:t>
      </w:r>
      <w:proofErr w:type="spellStart"/>
      <w:r w:rsidRPr="005A15EE">
        <w:rPr>
          <w:rFonts w:ascii="Times New Roman" w:eastAsia="Times New Roman" w:hAnsi="Times New Roman" w:cs="Times New Roman"/>
          <w:color w:val="000000" w:themeColor="text1"/>
          <w:sz w:val="24"/>
          <w:szCs w:val="24"/>
          <w:highlight w:val="white"/>
        </w:rPr>
        <w:t>Mujezinović</w:t>
      </w:r>
      <w:proofErr w:type="spellEnd"/>
      <w:r w:rsidRPr="005A15EE">
        <w:rPr>
          <w:rFonts w:ascii="Times New Roman" w:eastAsia="Times New Roman" w:hAnsi="Times New Roman" w:cs="Times New Roman"/>
          <w:color w:val="000000" w:themeColor="text1"/>
          <w:sz w:val="24"/>
          <w:szCs w:val="24"/>
          <w:highlight w:val="white"/>
        </w:rPr>
        <w:t xml:space="preserve">, A. and </w:t>
      </w:r>
      <w:proofErr w:type="spellStart"/>
      <w:r w:rsidRPr="005A15EE">
        <w:rPr>
          <w:rFonts w:ascii="Times New Roman" w:eastAsia="Times New Roman" w:hAnsi="Times New Roman" w:cs="Times New Roman"/>
          <w:color w:val="000000" w:themeColor="text1"/>
          <w:sz w:val="24"/>
          <w:szCs w:val="24"/>
          <w:highlight w:val="white"/>
        </w:rPr>
        <w:t>Demirović</w:t>
      </w:r>
      <w:proofErr w:type="spellEnd"/>
      <w:r w:rsidRPr="005A15EE">
        <w:rPr>
          <w:rFonts w:ascii="Times New Roman" w:eastAsia="Times New Roman" w:hAnsi="Times New Roman" w:cs="Times New Roman"/>
          <w:color w:val="000000" w:themeColor="text1"/>
          <w:sz w:val="24"/>
          <w:szCs w:val="24"/>
          <w:highlight w:val="white"/>
        </w:rPr>
        <w:t xml:space="preserve">, B. (2018). Healthcare qualifications practice for B&amp;H. </w:t>
      </w:r>
      <w:proofErr w:type="spellStart"/>
      <w:r w:rsidRPr="005A15EE">
        <w:rPr>
          <w:rFonts w:ascii="Times New Roman" w:eastAsia="Times New Roman" w:hAnsi="Times New Roman" w:cs="Times New Roman"/>
          <w:i/>
          <w:color w:val="000000" w:themeColor="text1"/>
          <w:sz w:val="24"/>
          <w:szCs w:val="24"/>
          <w:highlight w:val="white"/>
        </w:rPr>
        <w:t>ActaMedicaSaliniana</w:t>
      </w:r>
      <w:proofErr w:type="spellEnd"/>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45</w:t>
      </w:r>
      <w:r w:rsidRPr="005A15EE">
        <w:rPr>
          <w:rFonts w:ascii="Times New Roman" w:eastAsia="Times New Roman" w:hAnsi="Times New Roman" w:cs="Times New Roman"/>
          <w:color w:val="000000" w:themeColor="text1"/>
          <w:sz w:val="24"/>
          <w:szCs w:val="24"/>
          <w:highlight w:val="white"/>
        </w:rPr>
        <w:t>(2), pp.91-114.</w:t>
      </w:r>
    </w:p>
    <w:p w14:paraId="24C1299E"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highlight w:val="white"/>
        </w:rPr>
        <w:t xml:space="preserve">Kee, J.W., Khoo, H.S., Lim, I. and Koh, M.Y. (2018). Communication skills in patient-doctor interactions: learning from patient complaints. </w:t>
      </w:r>
      <w:r w:rsidRPr="005A15EE">
        <w:rPr>
          <w:rFonts w:ascii="Times New Roman" w:eastAsia="Times New Roman" w:hAnsi="Times New Roman" w:cs="Times New Roman"/>
          <w:i/>
          <w:color w:val="000000" w:themeColor="text1"/>
          <w:sz w:val="24"/>
          <w:szCs w:val="24"/>
          <w:highlight w:val="white"/>
        </w:rPr>
        <w:t>Health Professions Education</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4</w:t>
      </w:r>
      <w:r w:rsidRPr="005A15EE">
        <w:rPr>
          <w:rFonts w:ascii="Times New Roman" w:eastAsia="Times New Roman" w:hAnsi="Times New Roman" w:cs="Times New Roman"/>
          <w:color w:val="000000" w:themeColor="text1"/>
          <w:sz w:val="24"/>
          <w:szCs w:val="24"/>
          <w:highlight w:val="white"/>
        </w:rPr>
        <w:t>(2), pp.97-106.</w:t>
      </w:r>
    </w:p>
    <w:p w14:paraId="21665E14"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highlight w:val="white"/>
        </w:rPr>
        <w:t xml:space="preserve">Lestari, E., </w:t>
      </w:r>
      <w:proofErr w:type="spellStart"/>
      <w:r w:rsidRPr="005A15EE">
        <w:rPr>
          <w:rFonts w:ascii="Times New Roman" w:eastAsia="Times New Roman" w:hAnsi="Times New Roman" w:cs="Times New Roman"/>
          <w:color w:val="000000" w:themeColor="text1"/>
          <w:sz w:val="24"/>
          <w:szCs w:val="24"/>
          <w:highlight w:val="white"/>
        </w:rPr>
        <w:t>Stalmeijer</w:t>
      </w:r>
      <w:proofErr w:type="spellEnd"/>
      <w:r w:rsidRPr="005A15EE">
        <w:rPr>
          <w:rFonts w:ascii="Times New Roman" w:eastAsia="Times New Roman" w:hAnsi="Times New Roman" w:cs="Times New Roman"/>
          <w:color w:val="000000" w:themeColor="text1"/>
          <w:sz w:val="24"/>
          <w:szCs w:val="24"/>
          <w:highlight w:val="white"/>
        </w:rPr>
        <w:t xml:space="preserve">, R.E., </w:t>
      </w:r>
      <w:proofErr w:type="spellStart"/>
      <w:r w:rsidRPr="005A15EE">
        <w:rPr>
          <w:rFonts w:ascii="Times New Roman" w:eastAsia="Times New Roman" w:hAnsi="Times New Roman" w:cs="Times New Roman"/>
          <w:color w:val="000000" w:themeColor="text1"/>
          <w:sz w:val="24"/>
          <w:szCs w:val="24"/>
          <w:highlight w:val="white"/>
        </w:rPr>
        <w:t>Widyandana</w:t>
      </w:r>
      <w:proofErr w:type="spellEnd"/>
      <w:r w:rsidRPr="005A15EE">
        <w:rPr>
          <w:rFonts w:ascii="Times New Roman" w:eastAsia="Times New Roman" w:hAnsi="Times New Roman" w:cs="Times New Roman"/>
          <w:color w:val="000000" w:themeColor="text1"/>
          <w:sz w:val="24"/>
          <w:szCs w:val="24"/>
          <w:highlight w:val="white"/>
        </w:rPr>
        <w:t xml:space="preserve">, D. and </w:t>
      </w:r>
      <w:proofErr w:type="spellStart"/>
      <w:r w:rsidRPr="005A15EE">
        <w:rPr>
          <w:rFonts w:ascii="Times New Roman" w:eastAsia="Times New Roman" w:hAnsi="Times New Roman" w:cs="Times New Roman"/>
          <w:color w:val="000000" w:themeColor="text1"/>
          <w:sz w:val="24"/>
          <w:szCs w:val="24"/>
          <w:highlight w:val="white"/>
        </w:rPr>
        <w:t>Scherpbier</w:t>
      </w:r>
      <w:proofErr w:type="spellEnd"/>
      <w:r w:rsidRPr="005A15EE">
        <w:rPr>
          <w:rFonts w:ascii="Times New Roman" w:eastAsia="Times New Roman" w:hAnsi="Times New Roman" w:cs="Times New Roman"/>
          <w:color w:val="000000" w:themeColor="text1"/>
          <w:sz w:val="24"/>
          <w:szCs w:val="24"/>
          <w:highlight w:val="white"/>
        </w:rPr>
        <w:t xml:space="preserve">, A. (2018). Understanding attitude of health care professional teachers toward interprofessional health care collaboration and education in a Southeast Asian country. </w:t>
      </w:r>
      <w:r w:rsidRPr="005A15EE">
        <w:rPr>
          <w:rFonts w:ascii="Times New Roman" w:eastAsia="Times New Roman" w:hAnsi="Times New Roman" w:cs="Times New Roman"/>
          <w:i/>
          <w:color w:val="000000" w:themeColor="text1"/>
          <w:sz w:val="24"/>
          <w:szCs w:val="24"/>
          <w:highlight w:val="white"/>
        </w:rPr>
        <w:t>Journal of Multidisciplinary Healthcare</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11</w:t>
      </w:r>
      <w:r w:rsidRPr="005A15EE">
        <w:rPr>
          <w:rFonts w:ascii="Times New Roman" w:eastAsia="Times New Roman" w:hAnsi="Times New Roman" w:cs="Times New Roman"/>
          <w:color w:val="000000" w:themeColor="text1"/>
          <w:sz w:val="24"/>
          <w:szCs w:val="24"/>
          <w:highlight w:val="white"/>
        </w:rPr>
        <w:t>(6), pp.557-597.</w:t>
      </w:r>
    </w:p>
    <w:p w14:paraId="6F33EA46" w14:textId="77777777" w:rsidR="00922348" w:rsidRPr="005A15EE" w:rsidRDefault="00922348" w:rsidP="00922348">
      <w:pPr>
        <w:pStyle w:val="NormalWeb"/>
        <w:spacing w:before="0" w:beforeAutospacing="0" w:after="0" w:afterAutospacing="0" w:line="360" w:lineRule="auto"/>
        <w:jc w:val="both"/>
        <w:rPr>
          <w:color w:val="000000" w:themeColor="text1"/>
        </w:rPr>
      </w:pPr>
      <w:r w:rsidRPr="005A15EE">
        <w:rPr>
          <w:color w:val="000000" w:themeColor="text1"/>
          <w:shd w:val="clear" w:color="auto" w:fill="FFFFFF"/>
        </w:rPr>
        <w:t xml:space="preserve">Matteson, M.L., Anderson, L. and Boyden, C., (2016). " Soft Skills": A Phrase in Search of Meaning. </w:t>
      </w:r>
      <w:r w:rsidRPr="005A15EE">
        <w:rPr>
          <w:i/>
          <w:iCs/>
          <w:color w:val="000000" w:themeColor="text1"/>
          <w:shd w:val="clear" w:color="auto" w:fill="FFFFFF"/>
        </w:rPr>
        <w:t>portal: Libraries and the Academy</w:t>
      </w:r>
      <w:r w:rsidRPr="005A15EE">
        <w:rPr>
          <w:color w:val="000000" w:themeColor="text1"/>
          <w:shd w:val="clear" w:color="auto" w:fill="FFFFFF"/>
        </w:rPr>
        <w:t xml:space="preserve">, </w:t>
      </w:r>
      <w:r w:rsidRPr="005A15EE">
        <w:rPr>
          <w:i/>
          <w:iCs/>
          <w:color w:val="000000" w:themeColor="text1"/>
          <w:shd w:val="clear" w:color="auto" w:fill="FFFFFF"/>
        </w:rPr>
        <w:t>16</w:t>
      </w:r>
      <w:r w:rsidRPr="005A15EE">
        <w:rPr>
          <w:color w:val="000000" w:themeColor="text1"/>
          <w:shd w:val="clear" w:color="auto" w:fill="FFFFFF"/>
        </w:rPr>
        <w:t>(1), pp.71-88.</w:t>
      </w:r>
    </w:p>
    <w:p w14:paraId="35AF646F"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5A15EE">
        <w:rPr>
          <w:rFonts w:ascii="Times New Roman" w:eastAsia="Times New Roman" w:hAnsi="Times New Roman" w:cs="Times New Roman"/>
          <w:color w:val="000000" w:themeColor="text1"/>
          <w:sz w:val="24"/>
          <w:szCs w:val="24"/>
        </w:rPr>
        <w:t>Maund</w:t>
      </w:r>
      <w:proofErr w:type="spellEnd"/>
      <w:r w:rsidRPr="005A15EE">
        <w:rPr>
          <w:rFonts w:ascii="Times New Roman" w:eastAsia="Times New Roman" w:hAnsi="Times New Roman" w:cs="Times New Roman"/>
          <w:color w:val="000000" w:themeColor="text1"/>
          <w:sz w:val="24"/>
          <w:szCs w:val="24"/>
        </w:rPr>
        <w:t xml:space="preserve">, A. </w:t>
      </w:r>
      <w:proofErr w:type="spellStart"/>
      <w:r w:rsidRPr="005A15EE">
        <w:rPr>
          <w:rFonts w:ascii="Times New Roman" w:eastAsia="Times New Roman" w:hAnsi="Times New Roman" w:cs="Times New Roman"/>
          <w:color w:val="000000" w:themeColor="text1"/>
          <w:sz w:val="24"/>
          <w:szCs w:val="24"/>
        </w:rPr>
        <w:t>Schriek</w:t>
      </w:r>
      <w:proofErr w:type="spellEnd"/>
      <w:r w:rsidRPr="005A15EE">
        <w:rPr>
          <w:rFonts w:ascii="Times New Roman" w:eastAsia="Times New Roman" w:hAnsi="Times New Roman" w:cs="Times New Roman"/>
          <w:color w:val="000000" w:themeColor="text1"/>
          <w:sz w:val="24"/>
          <w:szCs w:val="24"/>
        </w:rPr>
        <w:t xml:space="preserve">, M. and </w:t>
      </w:r>
      <w:proofErr w:type="spellStart"/>
      <w:r w:rsidRPr="005A15EE">
        <w:rPr>
          <w:rFonts w:ascii="Times New Roman" w:eastAsia="Times New Roman" w:hAnsi="Times New Roman" w:cs="Times New Roman"/>
          <w:color w:val="000000" w:themeColor="text1"/>
          <w:sz w:val="24"/>
          <w:szCs w:val="24"/>
        </w:rPr>
        <w:t>Tinkler</w:t>
      </w:r>
      <w:proofErr w:type="spellEnd"/>
      <w:r w:rsidRPr="005A15EE">
        <w:rPr>
          <w:rFonts w:ascii="Times New Roman" w:eastAsia="Times New Roman" w:hAnsi="Times New Roman" w:cs="Times New Roman"/>
          <w:color w:val="000000" w:themeColor="text1"/>
          <w:sz w:val="24"/>
          <w:szCs w:val="24"/>
        </w:rPr>
        <w:t xml:space="preserve">, P. (2017). </w:t>
      </w:r>
      <w:r w:rsidRPr="005A15EE">
        <w:rPr>
          <w:rFonts w:ascii="Times New Roman" w:eastAsia="Times New Roman" w:hAnsi="Times New Roman" w:cs="Times New Roman"/>
          <w:i/>
          <w:color w:val="000000" w:themeColor="text1"/>
          <w:sz w:val="24"/>
          <w:szCs w:val="24"/>
        </w:rPr>
        <w:t>Certificate in Higher Education: Skills for the Workplace Student Yearbook</w:t>
      </w:r>
      <w:r w:rsidRPr="005A15EE">
        <w:rPr>
          <w:rFonts w:ascii="Times New Roman" w:eastAsia="Times New Roman" w:hAnsi="Times New Roman" w:cs="Times New Roman"/>
          <w:color w:val="000000" w:themeColor="text1"/>
          <w:sz w:val="24"/>
          <w:szCs w:val="24"/>
        </w:rPr>
        <w:t>, Eds. 4. California: Sage Publications</w:t>
      </w:r>
    </w:p>
    <w:p w14:paraId="24ACCA78"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rPr>
        <w:t xml:space="preserve">Morgan, P. (2016). </w:t>
      </w:r>
      <w:r w:rsidRPr="005A15EE">
        <w:rPr>
          <w:rFonts w:ascii="Times New Roman" w:eastAsia="Times New Roman" w:hAnsi="Times New Roman" w:cs="Times New Roman"/>
          <w:i/>
          <w:color w:val="000000" w:themeColor="text1"/>
          <w:sz w:val="24"/>
          <w:szCs w:val="24"/>
        </w:rPr>
        <w:t>The Business Student's Guide to Study and Employability</w:t>
      </w:r>
      <w:r w:rsidRPr="005A15EE">
        <w:rPr>
          <w:rFonts w:ascii="Times New Roman" w:eastAsia="Times New Roman" w:hAnsi="Times New Roman" w:cs="Times New Roman"/>
          <w:color w:val="000000" w:themeColor="text1"/>
          <w:sz w:val="24"/>
          <w:szCs w:val="24"/>
        </w:rPr>
        <w:t>, Eds. 7. California: Sage.</w:t>
      </w:r>
    </w:p>
    <w:p w14:paraId="13E036C3"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highlight w:val="white"/>
        </w:rPr>
        <w:t xml:space="preserve">Olsen, T.H., Glad, T. and </w:t>
      </w:r>
      <w:proofErr w:type="spellStart"/>
      <w:r w:rsidRPr="005A15EE">
        <w:rPr>
          <w:rFonts w:ascii="Times New Roman" w:eastAsia="Times New Roman" w:hAnsi="Times New Roman" w:cs="Times New Roman"/>
          <w:color w:val="000000" w:themeColor="text1"/>
          <w:sz w:val="24"/>
          <w:szCs w:val="24"/>
          <w:highlight w:val="white"/>
        </w:rPr>
        <w:t>Filstad</w:t>
      </w:r>
      <w:proofErr w:type="spellEnd"/>
      <w:r w:rsidRPr="005A15EE">
        <w:rPr>
          <w:rFonts w:ascii="Times New Roman" w:eastAsia="Times New Roman" w:hAnsi="Times New Roman" w:cs="Times New Roman"/>
          <w:color w:val="000000" w:themeColor="text1"/>
          <w:sz w:val="24"/>
          <w:szCs w:val="24"/>
          <w:highlight w:val="white"/>
        </w:rPr>
        <w:t xml:space="preserve">, C. (2018). Learning to learn differently. </w:t>
      </w:r>
      <w:r w:rsidRPr="005A15EE">
        <w:rPr>
          <w:rFonts w:ascii="Times New Roman" w:eastAsia="Times New Roman" w:hAnsi="Times New Roman" w:cs="Times New Roman"/>
          <w:i/>
          <w:color w:val="000000" w:themeColor="text1"/>
          <w:sz w:val="24"/>
          <w:szCs w:val="24"/>
          <w:highlight w:val="white"/>
        </w:rPr>
        <w:t>Journal of Workplace Learning</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30</w:t>
      </w:r>
      <w:r w:rsidRPr="005A15EE">
        <w:rPr>
          <w:rFonts w:ascii="Times New Roman" w:eastAsia="Times New Roman" w:hAnsi="Times New Roman" w:cs="Times New Roman"/>
          <w:color w:val="000000" w:themeColor="text1"/>
          <w:sz w:val="24"/>
          <w:szCs w:val="24"/>
          <w:highlight w:val="white"/>
        </w:rPr>
        <w:t>(1), pp.18-31.</w:t>
      </w:r>
    </w:p>
    <w:p w14:paraId="1BA1902A"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5A15EE">
        <w:rPr>
          <w:rFonts w:ascii="Times New Roman" w:eastAsia="Times New Roman" w:hAnsi="Times New Roman" w:cs="Times New Roman"/>
          <w:color w:val="000000" w:themeColor="text1"/>
          <w:sz w:val="24"/>
          <w:szCs w:val="24"/>
          <w:highlight w:val="white"/>
        </w:rPr>
        <w:t>Sanson</w:t>
      </w:r>
      <w:proofErr w:type="spellEnd"/>
      <w:r w:rsidRPr="005A15EE">
        <w:rPr>
          <w:rFonts w:ascii="Times New Roman" w:eastAsia="Times New Roman" w:hAnsi="Times New Roman" w:cs="Times New Roman"/>
          <w:color w:val="000000" w:themeColor="text1"/>
          <w:sz w:val="24"/>
          <w:szCs w:val="24"/>
          <w:highlight w:val="white"/>
        </w:rPr>
        <w:t xml:space="preserve">-Fisher, R., </w:t>
      </w:r>
      <w:proofErr w:type="spellStart"/>
      <w:r w:rsidRPr="005A15EE">
        <w:rPr>
          <w:rFonts w:ascii="Times New Roman" w:eastAsia="Times New Roman" w:hAnsi="Times New Roman" w:cs="Times New Roman"/>
          <w:color w:val="000000" w:themeColor="text1"/>
          <w:sz w:val="24"/>
          <w:szCs w:val="24"/>
          <w:highlight w:val="white"/>
        </w:rPr>
        <w:t>Hobden</w:t>
      </w:r>
      <w:proofErr w:type="spellEnd"/>
      <w:r w:rsidRPr="005A15EE">
        <w:rPr>
          <w:rFonts w:ascii="Times New Roman" w:eastAsia="Times New Roman" w:hAnsi="Times New Roman" w:cs="Times New Roman"/>
          <w:color w:val="000000" w:themeColor="text1"/>
          <w:sz w:val="24"/>
          <w:szCs w:val="24"/>
          <w:highlight w:val="white"/>
        </w:rPr>
        <w:t xml:space="preserve">, B., Waller, A., Dodd, N. and Boyd, L. (2018). Methodological quality of teaching communication skills to undergraduate medical students: a mapping review. </w:t>
      </w:r>
      <w:r w:rsidRPr="005A15EE">
        <w:rPr>
          <w:rFonts w:ascii="Times New Roman" w:eastAsia="Times New Roman" w:hAnsi="Times New Roman" w:cs="Times New Roman"/>
          <w:i/>
          <w:color w:val="000000" w:themeColor="text1"/>
          <w:sz w:val="24"/>
          <w:szCs w:val="24"/>
          <w:highlight w:val="white"/>
        </w:rPr>
        <w:t>BMC medical education</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18</w:t>
      </w:r>
      <w:r w:rsidRPr="005A15EE">
        <w:rPr>
          <w:rFonts w:ascii="Times New Roman" w:eastAsia="Times New Roman" w:hAnsi="Times New Roman" w:cs="Times New Roman"/>
          <w:color w:val="000000" w:themeColor="text1"/>
          <w:sz w:val="24"/>
          <w:szCs w:val="24"/>
          <w:highlight w:val="white"/>
        </w:rPr>
        <w:t>(1), pp.151-179.</w:t>
      </w:r>
    </w:p>
    <w:p w14:paraId="20244D03"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r w:rsidRPr="005A15EE">
        <w:rPr>
          <w:rFonts w:ascii="Times New Roman" w:eastAsia="Times New Roman" w:hAnsi="Times New Roman" w:cs="Times New Roman"/>
          <w:color w:val="000000" w:themeColor="text1"/>
          <w:sz w:val="24"/>
          <w:szCs w:val="24"/>
          <w:highlight w:val="white"/>
        </w:rPr>
        <w:lastRenderedPageBreak/>
        <w:t xml:space="preserve">Shorten, G., Srinivasan, K.K. and </w:t>
      </w:r>
      <w:proofErr w:type="spellStart"/>
      <w:r w:rsidRPr="005A15EE">
        <w:rPr>
          <w:rFonts w:ascii="Times New Roman" w:eastAsia="Times New Roman" w:hAnsi="Times New Roman" w:cs="Times New Roman"/>
          <w:color w:val="000000" w:themeColor="text1"/>
          <w:sz w:val="24"/>
          <w:szCs w:val="24"/>
          <w:highlight w:val="white"/>
        </w:rPr>
        <w:t>Reinertsen</w:t>
      </w:r>
      <w:proofErr w:type="spellEnd"/>
      <w:r w:rsidRPr="005A15EE">
        <w:rPr>
          <w:rFonts w:ascii="Times New Roman" w:eastAsia="Times New Roman" w:hAnsi="Times New Roman" w:cs="Times New Roman"/>
          <w:color w:val="000000" w:themeColor="text1"/>
          <w:sz w:val="24"/>
          <w:szCs w:val="24"/>
          <w:highlight w:val="white"/>
        </w:rPr>
        <w:t xml:space="preserve">, I. (2018). Machine learning and evidence-based training in technical skills. </w:t>
      </w:r>
      <w:r w:rsidRPr="005A15EE">
        <w:rPr>
          <w:rFonts w:ascii="Times New Roman" w:eastAsia="Times New Roman" w:hAnsi="Times New Roman" w:cs="Times New Roman"/>
          <w:i/>
          <w:color w:val="000000" w:themeColor="text1"/>
          <w:sz w:val="24"/>
          <w:szCs w:val="24"/>
          <w:highlight w:val="white"/>
        </w:rPr>
        <w:t>British journal of anaesthesia</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121</w:t>
      </w:r>
      <w:r w:rsidRPr="005A15EE">
        <w:rPr>
          <w:rFonts w:ascii="Times New Roman" w:eastAsia="Times New Roman" w:hAnsi="Times New Roman" w:cs="Times New Roman"/>
          <w:color w:val="000000" w:themeColor="text1"/>
          <w:sz w:val="24"/>
          <w:szCs w:val="24"/>
          <w:highlight w:val="white"/>
        </w:rPr>
        <w:t>(3), pp.521-523.</w:t>
      </w:r>
    </w:p>
    <w:p w14:paraId="2BAB36F2" w14:textId="77777777" w:rsidR="00922348" w:rsidRPr="005A15EE" w:rsidRDefault="00922348" w:rsidP="00922348">
      <w:pPr>
        <w:pStyle w:val="NormalWeb"/>
        <w:spacing w:before="0" w:beforeAutospacing="0" w:after="0" w:afterAutospacing="0" w:line="360" w:lineRule="auto"/>
        <w:jc w:val="both"/>
        <w:rPr>
          <w:color w:val="000000" w:themeColor="text1"/>
        </w:rPr>
      </w:pPr>
      <w:r w:rsidRPr="005A15EE">
        <w:rPr>
          <w:color w:val="000000" w:themeColor="text1"/>
          <w:shd w:val="clear" w:color="auto" w:fill="FFFFFF"/>
        </w:rPr>
        <w:t xml:space="preserve">Sisodia, S. and Agarwal, N., (2017). Employability Skills Essential for Healthcare Industry. </w:t>
      </w:r>
      <w:r w:rsidRPr="005A15EE">
        <w:rPr>
          <w:i/>
          <w:iCs/>
          <w:color w:val="000000" w:themeColor="text1"/>
          <w:shd w:val="clear" w:color="auto" w:fill="FFFFFF"/>
        </w:rPr>
        <w:t>Procedia computer science</w:t>
      </w:r>
      <w:r w:rsidRPr="005A15EE">
        <w:rPr>
          <w:color w:val="000000" w:themeColor="text1"/>
          <w:shd w:val="clear" w:color="auto" w:fill="FFFFFF"/>
        </w:rPr>
        <w:t xml:space="preserve">, </w:t>
      </w:r>
      <w:r w:rsidRPr="005A15EE">
        <w:rPr>
          <w:i/>
          <w:iCs/>
          <w:color w:val="000000" w:themeColor="text1"/>
          <w:shd w:val="clear" w:color="auto" w:fill="FFFFFF"/>
        </w:rPr>
        <w:t>122</w:t>
      </w:r>
      <w:r w:rsidRPr="005A15EE">
        <w:rPr>
          <w:color w:val="000000" w:themeColor="text1"/>
          <w:shd w:val="clear" w:color="auto" w:fill="FFFFFF"/>
        </w:rPr>
        <w:t>, pp.431-438.</w:t>
      </w:r>
    </w:p>
    <w:p w14:paraId="6267A6FF" w14:textId="77777777" w:rsidR="00922348" w:rsidRPr="005A15EE" w:rsidRDefault="00922348" w:rsidP="00922348">
      <w:pPr>
        <w:pStyle w:val="NormalWeb"/>
        <w:spacing w:before="0" w:beforeAutospacing="0" w:after="0" w:afterAutospacing="0" w:line="360" w:lineRule="auto"/>
        <w:jc w:val="both"/>
        <w:rPr>
          <w:color w:val="000000" w:themeColor="text1"/>
        </w:rPr>
      </w:pPr>
      <w:r w:rsidRPr="005A15EE">
        <w:rPr>
          <w:color w:val="000000" w:themeColor="text1"/>
          <w:shd w:val="clear" w:color="auto" w:fill="FFFFFF"/>
        </w:rPr>
        <w:t xml:space="preserve">Sisodia, S. and Agarwal, N., (2017). Employability Skills Essential for Healthcare Industry. </w:t>
      </w:r>
      <w:r w:rsidRPr="005A15EE">
        <w:rPr>
          <w:i/>
          <w:iCs/>
          <w:color w:val="000000" w:themeColor="text1"/>
          <w:shd w:val="clear" w:color="auto" w:fill="FFFFFF"/>
        </w:rPr>
        <w:t>Procedia computer science</w:t>
      </w:r>
      <w:r w:rsidRPr="005A15EE">
        <w:rPr>
          <w:color w:val="000000" w:themeColor="text1"/>
          <w:shd w:val="clear" w:color="auto" w:fill="FFFFFF"/>
        </w:rPr>
        <w:t xml:space="preserve">, </w:t>
      </w:r>
      <w:r w:rsidRPr="005A15EE">
        <w:rPr>
          <w:i/>
          <w:iCs/>
          <w:color w:val="000000" w:themeColor="text1"/>
          <w:shd w:val="clear" w:color="auto" w:fill="FFFFFF"/>
        </w:rPr>
        <w:t>122</w:t>
      </w:r>
      <w:r w:rsidRPr="005A15EE">
        <w:rPr>
          <w:color w:val="000000" w:themeColor="text1"/>
          <w:shd w:val="clear" w:color="auto" w:fill="FFFFFF"/>
        </w:rPr>
        <w:t>, pp.431-438.</w:t>
      </w:r>
    </w:p>
    <w:p w14:paraId="3D7E709C"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highlight w:val="white"/>
        </w:rPr>
      </w:pPr>
      <w:proofErr w:type="spellStart"/>
      <w:r w:rsidRPr="005A15EE">
        <w:rPr>
          <w:rFonts w:ascii="Times New Roman" w:eastAsia="Times New Roman" w:hAnsi="Times New Roman" w:cs="Times New Roman"/>
          <w:color w:val="000000" w:themeColor="text1"/>
          <w:sz w:val="24"/>
          <w:szCs w:val="24"/>
          <w:highlight w:val="white"/>
        </w:rPr>
        <w:t>Sollid</w:t>
      </w:r>
      <w:proofErr w:type="spellEnd"/>
      <w:r w:rsidRPr="005A15EE">
        <w:rPr>
          <w:rFonts w:ascii="Times New Roman" w:eastAsia="Times New Roman" w:hAnsi="Times New Roman" w:cs="Times New Roman"/>
          <w:color w:val="000000" w:themeColor="text1"/>
          <w:sz w:val="24"/>
          <w:szCs w:val="24"/>
          <w:highlight w:val="white"/>
        </w:rPr>
        <w:t xml:space="preserve">, S.J., </w:t>
      </w:r>
      <w:proofErr w:type="spellStart"/>
      <w:r w:rsidRPr="005A15EE">
        <w:rPr>
          <w:rFonts w:ascii="Times New Roman" w:eastAsia="Times New Roman" w:hAnsi="Times New Roman" w:cs="Times New Roman"/>
          <w:color w:val="000000" w:themeColor="text1"/>
          <w:sz w:val="24"/>
          <w:szCs w:val="24"/>
          <w:highlight w:val="white"/>
        </w:rPr>
        <w:t>Dieckman</w:t>
      </w:r>
      <w:proofErr w:type="spellEnd"/>
      <w:r w:rsidRPr="005A15EE">
        <w:rPr>
          <w:rFonts w:ascii="Times New Roman" w:eastAsia="Times New Roman" w:hAnsi="Times New Roman" w:cs="Times New Roman"/>
          <w:color w:val="000000" w:themeColor="text1"/>
          <w:sz w:val="24"/>
          <w:szCs w:val="24"/>
          <w:highlight w:val="white"/>
        </w:rPr>
        <w:t xml:space="preserve">, P., Aase, K., </w:t>
      </w:r>
      <w:proofErr w:type="spellStart"/>
      <w:r w:rsidRPr="005A15EE">
        <w:rPr>
          <w:rFonts w:ascii="Times New Roman" w:eastAsia="Times New Roman" w:hAnsi="Times New Roman" w:cs="Times New Roman"/>
          <w:color w:val="000000" w:themeColor="text1"/>
          <w:sz w:val="24"/>
          <w:szCs w:val="24"/>
          <w:highlight w:val="white"/>
        </w:rPr>
        <w:t>Søreide</w:t>
      </w:r>
      <w:proofErr w:type="spellEnd"/>
      <w:r w:rsidRPr="005A15EE">
        <w:rPr>
          <w:rFonts w:ascii="Times New Roman" w:eastAsia="Times New Roman" w:hAnsi="Times New Roman" w:cs="Times New Roman"/>
          <w:color w:val="000000" w:themeColor="text1"/>
          <w:sz w:val="24"/>
          <w:szCs w:val="24"/>
          <w:highlight w:val="white"/>
        </w:rPr>
        <w:t xml:space="preserve">, E., Ringsted, C. and </w:t>
      </w:r>
      <w:proofErr w:type="spellStart"/>
      <w:r w:rsidRPr="005A15EE">
        <w:rPr>
          <w:rFonts w:ascii="Times New Roman" w:eastAsia="Times New Roman" w:hAnsi="Times New Roman" w:cs="Times New Roman"/>
          <w:color w:val="000000" w:themeColor="text1"/>
          <w:sz w:val="24"/>
          <w:szCs w:val="24"/>
          <w:highlight w:val="white"/>
        </w:rPr>
        <w:t>Østergaard</w:t>
      </w:r>
      <w:proofErr w:type="spellEnd"/>
      <w:r w:rsidRPr="005A15EE">
        <w:rPr>
          <w:rFonts w:ascii="Times New Roman" w:eastAsia="Times New Roman" w:hAnsi="Times New Roman" w:cs="Times New Roman"/>
          <w:color w:val="000000" w:themeColor="text1"/>
          <w:sz w:val="24"/>
          <w:szCs w:val="24"/>
          <w:highlight w:val="white"/>
        </w:rPr>
        <w:t xml:space="preserve">, D. (2019). Five topics health care simulation can address to improve patient safety: results from a consensus process. </w:t>
      </w:r>
      <w:r w:rsidRPr="005A15EE">
        <w:rPr>
          <w:rFonts w:ascii="Times New Roman" w:eastAsia="Times New Roman" w:hAnsi="Times New Roman" w:cs="Times New Roman"/>
          <w:i/>
          <w:color w:val="000000" w:themeColor="text1"/>
          <w:sz w:val="24"/>
          <w:szCs w:val="24"/>
          <w:highlight w:val="white"/>
        </w:rPr>
        <w:t>Journal of patient safety</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15</w:t>
      </w:r>
      <w:r w:rsidRPr="005A15EE">
        <w:rPr>
          <w:rFonts w:ascii="Times New Roman" w:eastAsia="Times New Roman" w:hAnsi="Times New Roman" w:cs="Times New Roman"/>
          <w:color w:val="000000" w:themeColor="text1"/>
          <w:sz w:val="24"/>
          <w:szCs w:val="24"/>
          <w:highlight w:val="white"/>
        </w:rPr>
        <w:t>(2), pp.111-120.</w:t>
      </w:r>
    </w:p>
    <w:p w14:paraId="36B2E0B2" w14:textId="77777777" w:rsidR="00922348" w:rsidRPr="005A15EE" w:rsidRDefault="00922348" w:rsidP="00922348">
      <w:pPr>
        <w:spacing w:after="200" w:line="360" w:lineRule="auto"/>
        <w:jc w:val="both"/>
        <w:rPr>
          <w:rFonts w:ascii="Times New Roman" w:eastAsia="Times New Roman" w:hAnsi="Times New Roman" w:cs="Times New Roman"/>
          <w:color w:val="000000" w:themeColor="text1"/>
          <w:sz w:val="24"/>
          <w:szCs w:val="24"/>
        </w:rPr>
      </w:pPr>
      <w:r w:rsidRPr="005A15EE">
        <w:rPr>
          <w:rFonts w:ascii="Times New Roman" w:eastAsia="Times New Roman" w:hAnsi="Times New Roman" w:cs="Times New Roman"/>
          <w:color w:val="000000" w:themeColor="text1"/>
          <w:sz w:val="24"/>
          <w:szCs w:val="24"/>
          <w:highlight w:val="white"/>
        </w:rPr>
        <w:t xml:space="preserve">Stenberg, M., </w:t>
      </w:r>
      <w:proofErr w:type="spellStart"/>
      <w:r w:rsidRPr="005A15EE">
        <w:rPr>
          <w:rFonts w:ascii="Times New Roman" w:eastAsia="Times New Roman" w:hAnsi="Times New Roman" w:cs="Times New Roman"/>
          <w:color w:val="000000" w:themeColor="text1"/>
          <w:sz w:val="24"/>
          <w:szCs w:val="24"/>
          <w:highlight w:val="white"/>
        </w:rPr>
        <w:t>Mangrio</w:t>
      </w:r>
      <w:proofErr w:type="spellEnd"/>
      <w:r w:rsidRPr="005A15EE">
        <w:rPr>
          <w:rFonts w:ascii="Times New Roman" w:eastAsia="Times New Roman" w:hAnsi="Times New Roman" w:cs="Times New Roman"/>
          <w:color w:val="000000" w:themeColor="text1"/>
          <w:sz w:val="24"/>
          <w:szCs w:val="24"/>
          <w:highlight w:val="white"/>
        </w:rPr>
        <w:t xml:space="preserve">, E., Bengtsson, M. and Carlson, E. (2018). Formative peer assessment in healthcare education programmes: protocol for a scoping review. </w:t>
      </w:r>
      <w:r w:rsidRPr="005A15EE">
        <w:rPr>
          <w:rFonts w:ascii="Times New Roman" w:eastAsia="Times New Roman" w:hAnsi="Times New Roman" w:cs="Times New Roman"/>
          <w:i/>
          <w:color w:val="000000" w:themeColor="text1"/>
          <w:sz w:val="24"/>
          <w:szCs w:val="24"/>
          <w:highlight w:val="white"/>
        </w:rPr>
        <w:t>BMJ open</w:t>
      </w:r>
      <w:r w:rsidRPr="005A15EE">
        <w:rPr>
          <w:rFonts w:ascii="Times New Roman" w:eastAsia="Times New Roman" w:hAnsi="Times New Roman" w:cs="Times New Roman"/>
          <w:color w:val="000000" w:themeColor="text1"/>
          <w:sz w:val="24"/>
          <w:szCs w:val="24"/>
          <w:highlight w:val="white"/>
        </w:rPr>
        <w:t xml:space="preserve">, </w:t>
      </w:r>
      <w:r w:rsidRPr="005A15EE">
        <w:rPr>
          <w:rFonts w:ascii="Times New Roman" w:eastAsia="Times New Roman" w:hAnsi="Times New Roman" w:cs="Times New Roman"/>
          <w:i/>
          <w:color w:val="000000" w:themeColor="text1"/>
          <w:sz w:val="24"/>
          <w:szCs w:val="24"/>
          <w:highlight w:val="white"/>
        </w:rPr>
        <w:t>8</w:t>
      </w:r>
      <w:r w:rsidRPr="005A15EE">
        <w:rPr>
          <w:rFonts w:ascii="Times New Roman" w:eastAsia="Times New Roman" w:hAnsi="Times New Roman" w:cs="Times New Roman"/>
          <w:color w:val="000000" w:themeColor="text1"/>
          <w:sz w:val="24"/>
          <w:szCs w:val="24"/>
          <w:highlight w:val="white"/>
        </w:rPr>
        <w:t>(11), pp.250-275.</w:t>
      </w:r>
    </w:p>
    <w:p w14:paraId="0762E635" w14:textId="77777777" w:rsidR="00922348" w:rsidRPr="005A15EE" w:rsidRDefault="00922348" w:rsidP="00922348">
      <w:pPr>
        <w:pStyle w:val="NormalWeb"/>
        <w:spacing w:before="0" w:beforeAutospacing="0" w:after="0" w:afterAutospacing="0" w:line="360" w:lineRule="auto"/>
        <w:jc w:val="both"/>
        <w:rPr>
          <w:color w:val="000000" w:themeColor="text1"/>
        </w:rPr>
      </w:pPr>
      <w:r w:rsidRPr="005A15EE">
        <w:rPr>
          <w:color w:val="000000" w:themeColor="text1"/>
          <w:shd w:val="clear" w:color="auto" w:fill="FFFFFF"/>
        </w:rPr>
        <w:t xml:space="preserve">Swain, D., Scarpa, A., White, S. and </w:t>
      </w:r>
      <w:proofErr w:type="spellStart"/>
      <w:r w:rsidRPr="005A15EE">
        <w:rPr>
          <w:color w:val="000000" w:themeColor="text1"/>
          <w:shd w:val="clear" w:color="auto" w:fill="FFFFFF"/>
        </w:rPr>
        <w:t>Laugeson</w:t>
      </w:r>
      <w:proofErr w:type="spellEnd"/>
      <w:r w:rsidRPr="005A15EE">
        <w:rPr>
          <w:color w:val="000000" w:themeColor="text1"/>
          <w:shd w:val="clear" w:color="auto" w:fill="FFFFFF"/>
        </w:rPr>
        <w:t xml:space="preserve">, E., (2015). Emotion dysregulation and anxiety in adults with ASD: Does social motivation play a </w:t>
      </w:r>
      <w:proofErr w:type="gramStart"/>
      <w:r w:rsidRPr="005A15EE">
        <w:rPr>
          <w:color w:val="000000" w:themeColor="text1"/>
          <w:shd w:val="clear" w:color="auto" w:fill="FFFFFF"/>
        </w:rPr>
        <w:t>role?.</w:t>
      </w:r>
      <w:proofErr w:type="gramEnd"/>
      <w:r w:rsidRPr="005A15EE">
        <w:rPr>
          <w:color w:val="000000" w:themeColor="text1"/>
          <w:shd w:val="clear" w:color="auto" w:fill="FFFFFF"/>
        </w:rPr>
        <w:t xml:space="preserve"> </w:t>
      </w:r>
      <w:r w:rsidRPr="005A15EE">
        <w:rPr>
          <w:i/>
          <w:iCs/>
          <w:color w:val="000000" w:themeColor="text1"/>
          <w:shd w:val="clear" w:color="auto" w:fill="FFFFFF"/>
        </w:rPr>
        <w:t>Journal of Autism and Developmental Disorders</w:t>
      </w:r>
      <w:r w:rsidRPr="005A15EE">
        <w:rPr>
          <w:color w:val="000000" w:themeColor="text1"/>
          <w:shd w:val="clear" w:color="auto" w:fill="FFFFFF"/>
        </w:rPr>
        <w:t xml:space="preserve">, </w:t>
      </w:r>
      <w:r w:rsidRPr="005A15EE">
        <w:rPr>
          <w:i/>
          <w:iCs/>
          <w:color w:val="000000" w:themeColor="text1"/>
          <w:shd w:val="clear" w:color="auto" w:fill="FFFFFF"/>
        </w:rPr>
        <w:t>45</w:t>
      </w:r>
      <w:r w:rsidRPr="005A15EE">
        <w:rPr>
          <w:color w:val="000000" w:themeColor="text1"/>
          <w:shd w:val="clear" w:color="auto" w:fill="FFFFFF"/>
        </w:rPr>
        <w:t>(12), pp.3971-3977.</w:t>
      </w:r>
    </w:p>
    <w:p w14:paraId="7826350D" w14:textId="77777777" w:rsidR="00922348" w:rsidRPr="005A15EE" w:rsidRDefault="00922348" w:rsidP="00922348">
      <w:pPr>
        <w:pStyle w:val="NormalWeb"/>
        <w:spacing w:before="0" w:beforeAutospacing="0" w:after="0" w:afterAutospacing="0" w:line="360" w:lineRule="auto"/>
        <w:jc w:val="both"/>
        <w:rPr>
          <w:color w:val="000000" w:themeColor="text1"/>
        </w:rPr>
      </w:pPr>
      <w:proofErr w:type="spellStart"/>
      <w:r w:rsidRPr="005A15EE">
        <w:rPr>
          <w:color w:val="000000" w:themeColor="text1"/>
          <w:shd w:val="clear" w:color="auto" w:fill="FFFFFF"/>
        </w:rPr>
        <w:t>Vlachou</w:t>
      </w:r>
      <w:proofErr w:type="spellEnd"/>
      <w:r w:rsidRPr="005A15EE">
        <w:rPr>
          <w:color w:val="000000" w:themeColor="text1"/>
          <w:shd w:val="clear" w:color="auto" w:fill="FFFFFF"/>
        </w:rPr>
        <w:t xml:space="preserve">, E.M., </w:t>
      </w:r>
      <w:proofErr w:type="spellStart"/>
      <w:r w:rsidRPr="005A15EE">
        <w:rPr>
          <w:color w:val="000000" w:themeColor="text1"/>
          <w:shd w:val="clear" w:color="auto" w:fill="FFFFFF"/>
        </w:rPr>
        <w:t>Damigos</w:t>
      </w:r>
      <w:proofErr w:type="spellEnd"/>
      <w:r w:rsidRPr="005A15EE">
        <w:rPr>
          <w:color w:val="000000" w:themeColor="text1"/>
          <w:shd w:val="clear" w:color="auto" w:fill="FFFFFF"/>
        </w:rPr>
        <w:t xml:space="preserve">, D., </w:t>
      </w:r>
      <w:proofErr w:type="spellStart"/>
      <w:r w:rsidRPr="005A15EE">
        <w:rPr>
          <w:color w:val="000000" w:themeColor="text1"/>
          <w:shd w:val="clear" w:color="auto" w:fill="FFFFFF"/>
        </w:rPr>
        <w:t>Lyrakos</w:t>
      </w:r>
      <w:proofErr w:type="spellEnd"/>
      <w:r w:rsidRPr="005A15EE">
        <w:rPr>
          <w:color w:val="000000" w:themeColor="text1"/>
          <w:shd w:val="clear" w:color="auto" w:fill="FFFFFF"/>
        </w:rPr>
        <w:t xml:space="preserve">, G., </w:t>
      </w:r>
      <w:proofErr w:type="spellStart"/>
      <w:r w:rsidRPr="005A15EE">
        <w:rPr>
          <w:color w:val="000000" w:themeColor="text1"/>
          <w:shd w:val="clear" w:color="auto" w:fill="FFFFFF"/>
        </w:rPr>
        <w:t>Chanopoulos</w:t>
      </w:r>
      <w:proofErr w:type="spellEnd"/>
      <w:r w:rsidRPr="005A15EE">
        <w:rPr>
          <w:color w:val="000000" w:themeColor="text1"/>
          <w:shd w:val="clear" w:color="auto" w:fill="FFFFFF"/>
        </w:rPr>
        <w:t xml:space="preserve">, K., </w:t>
      </w:r>
      <w:proofErr w:type="spellStart"/>
      <w:r w:rsidRPr="005A15EE">
        <w:rPr>
          <w:color w:val="000000" w:themeColor="text1"/>
          <w:shd w:val="clear" w:color="auto" w:fill="FFFFFF"/>
        </w:rPr>
        <w:t>Kosmidis</w:t>
      </w:r>
      <w:proofErr w:type="spellEnd"/>
      <w:r w:rsidRPr="005A15EE">
        <w:rPr>
          <w:color w:val="000000" w:themeColor="text1"/>
          <w:shd w:val="clear" w:color="auto" w:fill="FFFFFF"/>
        </w:rPr>
        <w:t xml:space="preserve">, G. and </w:t>
      </w:r>
      <w:proofErr w:type="spellStart"/>
      <w:r w:rsidRPr="005A15EE">
        <w:rPr>
          <w:color w:val="000000" w:themeColor="text1"/>
          <w:shd w:val="clear" w:color="auto" w:fill="FFFFFF"/>
        </w:rPr>
        <w:t>Karavis</w:t>
      </w:r>
      <w:proofErr w:type="spellEnd"/>
      <w:r w:rsidRPr="005A15EE">
        <w:rPr>
          <w:color w:val="000000" w:themeColor="text1"/>
          <w:shd w:val="clear" w:color="auto" w:fill="FFFFFF"/>
        </w:rPr>
        <w:t xml:space="preserve">, M., (2016). The relationship between burnout syndrome and emotional intelligence in healthcare professionals. </w:t>
      </w:r>
      <w:r w:rsidRPr="005A15EE">
        <w:rPr>
          <w:i/>
          <w:iCs/>
          <w:color w:val="000000" w:themeColor="text1"/>
          <w:shd w:val="clear" w:color="auto" w:fill="FFFFFF"/>
        </w:rPr>
        <w:t>Health Science Journal</w:t>
      </w:r>
      <w:r w:rsidRPr="005A15EE">
        <w:rPr>
          <w:color w:val="000000" w:themeColor="text1"/>
          <w:shd w:val="clear" w:color="auto" w:fill="FFFFFF"/>
        </w:rPr>
        <w:t xml:space="preserve">, </w:t>
      </w:r>
      <w:r w:rsidRPr="005A15EE">
        <w:rPr>
          <w:i/>
          <w:iCs/>
          <w:color w:val="000000" w:themeColor="text1"/>
          <w:shd w:val="clear" w:color="auto" w:fill="FFFFFF"/>
        </w:rPr>
        <w:t>10</w:t>
      </w:r>
      <w:r w:rsidRPr="005A15EE">
        <w:rPr>
          <w:color w:val="000000" w:themeColor="text1"/>
          <w:shd w:val="clear" w:color="auto" w:fill="FFFFFF"/>
        </w:rPr>
        <w:t>(5), p.1.</w:t>
      </w:r>
    </w:p>
    <w:p w14:paraId="6CCE1D98" w14:textId="767E7465" w:rsidR="00922348" w:rsidRPr="005A15EE" w:rsidRDefault="00F46C17">
      <w:pPr>
        <w:spacing w:after="20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object w:dxaOrig="1508" w:dyaOrig="982" w14:anchorId="674D52A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75.5pt;height:49pt" o:ole="">
            <v:imagedata r:id="rId17" o:title=""/>
          </v:shape>
          <o:OLEObject Type="Embed" ProgID="Package" ShapeID="_x0000_i1031" DrawAspect="Icon" ObjectID="_1639390076" r:id="rId18"/>
        </w:object>
      </w:r>
      <w:r w:rsidR="00030AAD">
        <w:rPr>
          <w:rFonts w:ascii="Times New Roman" w:eastAsia="Times New Roman" w:hAnsi="Times New Roman" w:cs="Times New Roman"/>
          <w:b/>
          <w:color w:val="000000" w:themeColor="text1"/>
          <w:sz w:val="24"/>
          <w:szCs w:val="24"/>
        </w:rPr>
        <w:object w:dxaOrig="1508" w:dyaOrig="982" w14:anchorId="05995CED">
          <v:shape id="_x0000_i1025" type="#_x0000_t75" style="width:75.5pt;height:49pt" o:ole="">
            <v:imagedata r:id="rId19" o:title=""/>
          </v:shape>
          <o:OLEObject Type="Embed" ProgID="Package" ShapeID="_x0000_i1025" DrawAspect="Icon" ObjectID="_1639390077" r:id="rId20"/>
        </w:object>
      </w:r>
      <w:r w:rsidR="00030AAD">
        <w:rPr>
          <w:rFonts w:ascii="Times New Roman" w:eastAsia="Times New Roman" w:hAnsi="Times New Roman" w:cs="Times New Roman"/>
          <w:b/>
          <w:color w:val="000000" w:themeColor="text1"/>
          <w:sz w:val="24"/>
          <w:szCs w:val="24"/>
        </w:rPr>
        <w:object w:dxaOrig="1508" w:dyaOrig="982" w14:anchorId="4231294B">
          <v:shape id="_x0000_i1027" type="#_x0000_t75" style="width:75.5pt;height:49pt" o:ole="">
            <v:imagedata r:id="rId21" o:title=""/>
          </v:shape>
          <o:OLEObject Type="Embed" ProgID="Package" ShapeID="_x0000_i1027" DrawAspect="Icon" ObjectID="_1639390078" r:id="rId22"/>
        </w:object>
      </w:r>
      <w:r>
        <w:rPr>
          <w:rFonts w:ascii="Times New Roman" w:eastAsia="Times New Roman" w:hAnsi="Times New Roman" w:cs="Times New Roman"/>
          <w:b/>
          <w:color w:val="000000" w:themeColor="text1"/>
          <w:sz w:val="24"/>
          <w:szCs w:val="24"/>
        </w:rPr>
        <w:object w:dxaOrig="1508" w:dyaOrig="982" w14:anchorId="34BDDAB2">
          <v:shape id="_x0000_i1028" type="#_x0000_t75" style="width:73.5pt;height:48pt" o:ole="">
            <v:imagedata r:id="rId23" o:title=""/>
          </v:shape>
          <o:OLEObject Type="Embed" ProgID="Package" ShapeID="_x0000_i1028" DrawAspect="Icon" ObjectID="_1639390079" r:id="rId24"/>
        </w:object>
      </w:r>
      <w:bookmarkStart w:id="7" w:name="_GoBack"/>
      <w:bookmarkEnd w:id="7"/>
    </w:p>
    <w:sectPr w:rsidR="00922348" w:rsidRPr="005A15EE" w:rsidSect="00FE6EAD">
      <w:footerReference w:type="defaul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3303FE" w14:textId="77777777" w:rsidR="00E40352" w:rsidRDefault="00E40352" w:rsidP="00FE6EAD">
      <w:pPr>
        <w:spacing w:line="240" w:lineRule="auto"/>
      </w:pPr>
      <w:r>
        <w:separator/>
      </w:r>
    </w:p>
  </w:endnote>
  <w:endnote w:type="continuationSeparator" w:id="0">
    <w:p w14:paraId="34B2579E" w14:textId="77777777" w:rsidR="00E40352" w:rsidRDefault="00E40352" w:rsidP="00FE6E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5392937"/>
      <w:docPartObj>
        <w:docPartGallery w:val="Page Numbers (Bottom of Page)"/>
        <w:docPartUnique/>
      </w:docPartObj>
    </w:sdtPr>
    <w:sdtEndPr>
      <w:rPr>
        <w:rFonts w:ascii="Times New Roman" w:hAnsi="Times New Roman" w:cs="Times New Roman"/>
        <w:noProof/>
        <w:sz w:val="20"/>
      </w:rPr>
    </w:sdtEndPr>
    <w:sdtContent>
      <w:p w14:paraId="55E3C5E1" w14:textId="77777777" w:rsidR="00FE6EAD" w:rsidRPr="00FE6EAD" w:rsidRDefault="004D5BC6">
        <w:pPr>
          <w:pStyle w:val="Footer"/>
          <w:jc w:val="right"/>
          <w:rPr>
            <w:rFonts w:ascii="Times New Roman" w:hAnsi="Times New Roman" w:cs="Times New Roman"/>
            <w:sz w:val="20"/>
          </w:rPr>
        </w:pPr>
        <w:r w:rsidRPr="00FE6EAD">
          <w:rPr>
            <w:rFonts w:ascii="Times New Roman" w:hAnsi="Times New Roman" w:cs="Times New Roman"/>
            <w:sz w:val="20"/>
          </w:rPr>
          <w:fldChar w:fldCharType="begin"/>
        </w:r>
        <w:r w:rsidR="00FE6EAD" w:rsidRPr="00FE6EAD">
          <w:rPr>
            <w:rFonts w:ascii="Times New Roman" w:hAnsi="Times New Roman" w:cs="Times New Roman"/>
            <w:sz w:val="20"/>
          </w:rPr>
          <w:instrText xml:space="preserve"> PAGE   \* MERGEFORMAT </w:instrText>
        </w:r>
        <w:r w:rsidRPr="00FE6EAD">
          <w:rPr>
            <w:rFonts w:ascii="Times New Roman" w:hAnsi="Times New Roman" w:cs="Times New Roman"/>
            <w:sz w:val="20"/>
          </w:rPr>
          <w:fldChar w:fldCharType="separate"/>
        </w:r>
        <w:r w:rsidR="005A15EE">
          <w:rPr>
            <w:rFonts w:ascii="Times New Roman" w:hAnsi="Times New Roman" w:cs="Times New Roman"/>
            <w:noProof/>
            <w:sz w:val="20"/>
          </w:rPr>
          <w:t>5</w:t>
        </w:r>
        <w:r w:rsidRPr="00FE6EAD">
          <w:rPr>
            <w:rFonts w:ascii="Times New Roman" w:hAnsi="Times New Roman" w:cs="Times New Roman"/>
            <w:noProof/>
            <w:sz w:val="20"/>
          </w:rPr>
          <w:fldChar w:fldCharType="end"/>
        </w:r>
      </w:p>
    </w:sdtContent>
  </w:sdt>
  <w:p w14:paraId="1E2B3E9A" w14:textId="77777777" w:rsidR="00FE6EAD" w:rsidRDefault="00FE6E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D4615D" w14:textId="77777777" w:rsidR="00E40352" w:rsidRDefault="00E40352" w:rsidP="00FE6EAD">
      <w:pPr>
        <w:spacing w:line="240" w:lineRule="auto"/>
      </w:pPr>
      <w:r>
        <w:separator/>
      </w:r>
    </w:p>
  </w:footnote>
  <w:footnote w:type="continuationSeparator" w:id="0">
    <w:p w14:paraId="028150F2" w14:textId="77777777" w:rsidR="00E40352" w:rsidRDefault="00E40352" w:rsidP="00FE6E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061"/>
    <w:rsid w:val="00030AAD"/>
    <w:rsid w:val="00086D73"/>
    <w:rsid w:val="00093DBF"/>
    <w:rsid w:val="000C4084"/>
    <w:rsid w:val="000F326B"/>
    <w:rsid w:val="001C1FA1"/>
    <w:rsid w:val="002D65DA"/>
    <w:rsid w:val="0033468E"/>
    <w:rsid w:val="003614DC"/>
    <w:rsid w:val="00366AB8"/>
    <w:rsid w:val="003A24A9"/>
    <w:rsid w:val="00416FDF"/>
    <w:rsid w:val="004D5BC6"/>
    <w:rsid w:val="004E610C"/>
    <w:rsid w:val="00541F17"/>
    <w:rsid w:val="005441BA"/>
    <w:rsid w:val="005A15EE"/>
    <w:rsid w:val="005C23FD"/>
    <w:rsid w:val="0061008F"/>
    <w:rsid w:val="00683573"/>
    <w:rsid w:val="007511AD"/>
    <w:rsid w:val="0078384A"/>
    <w:rsid w:val="00795512"/>
    <w:rsid w:val="007B73FE"/>
    <w:rsid w:val="007C3A6E"/>
    <w:rsid w:val="007C61B5"/>
    <w:rsid w:val="00922348"/>
    <w:rsid w:val="00962741"/>
    <w:rsid w:val="009C6C70"/>
    <w:rsid w:val="009E2273"/>
    <w:rsid w:val="00A124E4"/>
    <w:rsid w:val="00A7319D"/>
    <w:rsid w:val="00A92B01"/>
    <w:rsid w:val="00AE551E"/>
    <w:rsid w:val="00AF0210"/>
    <w:rsid w:val="00B61457"/>
    <w:rsid w:val="00BC2061"/>
    <w:rsid w:val="00CE3EDB"/>
    <w:rsid w:val="00E40352"/>
    <w:rsid w:val="00E8018F"/>
    <w:rsid w:val="00ED31BC"/>
    <w:rsid w:val="00F261CA"/>
    <w:rsid w:val="00F46C17"/>
    <w:rsid w:val="00FE6EA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1B3988D"/>
  <w15:docId w15:val="{35182006-E09C-46AA-8458-5D9F1C627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4D5BC6"/>
  </w:style>
  <w:style w:type="paragraph" w:styleId="Heading1">
    <w:name w:val="heading 1"/>
    <w:basedOn w:val="Normal"/>
    <w:next w:val="Normal"/>
    <w:rsid w:val="00FE6EA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rsid w:val="004D5BC6"/>
    <w:pPr>
      <w:keepNext/>
      <w:keepLines/>
      <w:spacing w:before="360" w:after="120"/>
      <w:outlineLvl w:val="1"/>
    </w:pPr>
    <w:rPr>
      <w:sz w:val="32"/>
      <w:szCs w:val="32"/>
    </w:rPr>
  </w:style>
  <w:style w:type="paragraph" w:styleId="Heading3">
    <w:name w:val="heading 3"/>
    <w:basedOn w:val="Normal"/>
    <w:next w:val="Normal"/>
    <w:rsid w:val="004D5BC6"/>
    <w:pPr>
      <w:keepNext/>
      <w:keepLines/>
      <w:spacing w:before="320" w:after="80"/>
      <w:outlineLvl w:val="2"/>
    </w:pPr>
    <w:rPr>
      <w:color w:val="434343"/>
      <w:sz w:val="28"/>
      <w:szCs w:val="28"/>
    </w:rPr>
  </w:style>
  <w:style w:type="paragraph" w:styleId="Heading4">
    <w:name w:val="heading 4"/>
    <w:basedOn w:val="Normal"/>
    <w:next w:val="Normal"/>
    <w:rsid w:val="004D5BC6"/>
    <w:pPr>
      <w:keepNext/>
      <w:keepLines/>
      <w:spacing w:before="280" w:after="80"/>
      <w:outlineLvl w:val="3"/>
    </w:pPr>
    <w:rPr>
      <w:color w:val="666666"/>
      <w:sz w:val="24"/>
      <w:szCs w:val="24"/>
    </w:rPr>
  </w:style>
  <w:style w:type="paragraph" w:styleId="Heading5">
    <w:name w:val="heading 5"/>
    <w:basedOn w:val="Normal"/>
    <w:next w:val="Normal"/>
    <w:rsid w:val="004D5BC6"/>
    <w:pPr>
      <w:keepNext/>
      <w:keepLines/>
      <w:spacing w:before="240" w:after="80"/>
      <w:outlineLvl w:val="4"/>
    </w:pPr>
    <w:rPr>
      <w:color w:val="666666"/>
    </w:rPr>
  </w:style>
  <w:style w:type="paragraph" w:styleId="Heading6">
    <w:name w:val="heading 6"/>
    <w:basedOn w:val="Normal"/>
    <w:next w:val="Normal"/>
    <w:rsid w:val="004D5BC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D5BC6"/>
    <w:pPr>
      <w:keepNext/>
      <w:keepLines/>
      <w:spacing w:after="60"/>
    </w:pPr>
    <w:rPr>
      <w:sz w:val="52"/>
      <w:szCs w:val="52"/>
    </w:rPr>
  </w:style>
  <w:style w:type="paragraph" w:styleId="Subtitle">
    <w:name w:val="Subtitle"/>
    <w:basedOn w:val="Normal"/>
    <w:next w:val="Normal"/>
    <w:rsid w:val="004D5BC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4D5BC6"/>
    <w:pPr>
      <w:spacing w:line="240" w:lineRule="auto"/>
    </w:pPr>
    <w:rPr>
      <w:sz w:val="20"/>
      <w:szCs w:val="20"/>
    </w:rPr>
  </w:style>
  <w:style w:type="character" w:customStyle="1" w:styleId="CommentTextChar">
    <w:name w:val="Comment Text Char"/>
    <w:basedOn w:val="DefaultParagraphFont"/>
    <w:link w:val="CommentText"/>
    <w:uiPriority w:val="99"/>
    <w:semiHidden/>
    <w:rsid w:val="004D5BC6"/>
    <w:rPr>
      <w:sz w:val="20"/>
      <w:szCs w:val="20"/>
    </w:rPr>
  </w:style>
  <w:style w:type="character" w:styleId="CommentReference">
    <w:name w:val="annotation reference"/>
    <w:basedOn w:val="DefaultParagraphFont"/>
    <w:uiPriority w:val="99"/>
    <w:semiHidden/>
    <w:unhideWhenUsed/>
    <w:rsid w:val="004D5BC6"/>
    <w:rPr>
      <w:sz w:val="16"/>
      <w:szCs w:val="16"/>
    </w:rPr>
  </w:style>
  <w:style w:type="paragraph" w:styleId="BalloonText">
    <w:name w:val="Balloon Text"/>
    <w:basedOn w:val="Normal"/>
    <w:link w:val="BalloonTextChar"/>
    <w:uiPriority w:val="99"/>
    <w:semiHidden/>
    <w:unhideWhenUsed/>
    <w:rsid w:val="00366AB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66AB8"/>
    <w:rPr>
      <w:rFonts w:ascii="Segoe UI" w:hAnsi="Segoe UI" w:cs="Segoe UI"/>
      <w:sz w:val="18"/>
      <w:szCs w:val="18"/>
    </w:rPr>
  </w:style>
  <w:style w:type="paragraph" w:styleId="Header">
    <w:name w:val="header"/>
    <w:basedOn w:val="Normal"/>
    <w:link w:val="HeaderChar"/>
    <w:uiPriority w:val="99"/>
    <w:unhideWhenUsed/>
    <w:rsid w:val="00FE6EAD"/>
    <w:pPr>
      <w:tabs>
        <w:tab w:val="center" w:pos="4513"/>
        <w:tab w:val="right" w:pos="9026"/>
      </w:tabs>
      <w:spacing w:line="240" w:lineRule="auto"/>
    </w:pPr>
  </w:style>
  <w:style w:type="character" w:customStyle="1" w:styleId="HeaderChar">
    <w:name w:val="Header Char"/>
    <w:basedOn w:val="DefaultParagraphFont"/>
    <w:link w:val="Header"/>
    <w:uiPriority w:val="99"/>
    <w:rsid w:val="00FE6EAD"/>
  </w:style>
  <w:style w:type="paragraph" w:styleId="Footer">
    <w:name w:val="footer"/>
    <w:basedOn w:val="Normal"/>
    <w:link w:val="FooterChar"/>
    <w:uiPriority w:val="99"/>
    <w:unhideWhenUsed/>
    <w:rsid w:val="00FE6EAD"/>
    <w:pPr>
      <w:tabs>
        <w:tab w:val="center" w:pos="4513"/>
        <w:tab w:val="right" w:pos="9026"/>
      </w:tabs>
      <w:spacing w:line="240" w:lineRule="auto"/>
    </w:pPr>
  </w:style>
  <w:style w:type="character" w:customStyle="1" w:styleId="FooterChar">
    <w:name w:val="Footer Char"/>
    <w:basedOn w:val="DefaultParagraphFont"/>
    <w:link w:val="Footer"/>
    <w:uiPriority w:val="99"/>
    <w:rsid w:val="00FE6EAD"/>
  </w:style>
  <w:style w:type="paragraph" w:styleId="ListParagraph">
    <w:name w:val="List Paragraph"/>
    <w:basedOn w:val="Normal"/>
    <w:uiPriority w:val="34"/>
    <w:qFormat/>
    <w:rsid w:val="000F326B"/>
    <w:pPr>
      <w:ind w:left="720"/>
      <w:contextualSpacing/>
    </w:pPr>
  </w:style>
  <w:style w:type="paragraph" w:styleId="TableofFigures">
    <w:name w:val="table of figures"/>
    <w:basedOn w:val="Normal"/>
    <w:next w:val="Normal"/>
    <w:uiPriority w:val="99"/>
    <w:unhideWhenUsed/>
    <w:rsid w:val="002D65DA"/>
  </w:style>
  <w:style w:type="character" w:styleId="Hyperlink">
    <w:name w:val="Hyperlink"/>
    <w:basedOn w:val="DefaultParagraphFont"/>
    <w:uiPriority w:val="99"/>
    <w:unhideWhenUsed/>
    <w:rsid w:val="002D65DA"/>
    <w:rPr>
      <w:color w:val="0000FF" w:themeColor="hyperlink"/>
      <w:u w:val="single"/>
    </w:rPr>
  </w:style>
  <w:style w:type="paragraph" w:customStyle="1" w:styleId="Normal1">
    <w:name w:val="Normal1"/>
    <w:rsid w:val="00922348"/>
    <w:rPr>
      <w:lang w:eastAsia="en-US"/>
    </w:rPr>
  </w:style>
  <w:style w:type="paragraph" w:styleId="NormalWeb">
    <w:name w:val="Normal (Web)"/>
    <w:basedOn w:val="Normal"/>
    <w:uiPriority w:val="99"/>
    <w:semiHidden/>
    <w:unhideWhenUsed/>
    <w:rsid w:val="00922348"/>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2850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oleObject" Target="embeddings/oleObject1.bin"/><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3.emf"/><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image" Target="media/image1.emf"/><Relationship Id="rId25"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oleObject" Target="embeddings/oleObject2.bin"/><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oleObject" Target="embeddings/oleObject4.bin"/><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image" Target="media/image4.emf"/><Relationship Id="rId10" Type="http://schemas.openxmlformats.org/officeDocument/2006/relationships/diagramColors" Target="diagrams/colors1.xml"/><Relationship Id="rId19"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oleObject" Target="embeddings/oleObject3.bin"/><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2">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AE02C25-2994-414F-B488-0FC059DC079F}" type="doc">
      <dgm:prSet loTypeId="urn:microsoft.com/office/officeart/2005/8/layout/radial5" loCatId="cycle" qsTypeId="urn:microsoft.com/office/officeart/2005/8/quickstyle/simple2" qsCatId="simple" csTypeId="urn:microsoft.com/office/officeart/2005/8/colors/colorful1#1" csCatId="colorful" phldr="1"/>
      <dgm:spPr/>
      <dgm:t>
        <a:bodyPr/>
        <a:lstStyle/>
        <a:p>
          <a:endParaRPr lang="en-GB"/>
        </a:p>
      </dgm:t>
    </dgm:pt>
    <dgm:pt modelId="{9D7C3F30-435A-48B7-86EE-A51EAE387D5B}">
      <dgm:prSet phldrT="[Text]" custT="1">
        <dgm:style>
          <a:lnRef idx="0">
            <a:schemeClr val="accent6"/>
          </a:lnRef>
          <a:fillRef idx="3">
            <a:schemeClr val="accent6"/>
          </a:fillRef>
          <a:effectRef idx="3">
            <a:schemeClr val="accent6"/>
          </a:effectRef>
          <a:fontRef idx="minor">
            <a:schemeClr val="lt1"/>
          </a:fontRef>
        </dgm:style>
      </dgm:prSet>
      <dgm:spPr>
        <a:solidFill>
          <a:srgbClr val="002060"/>
        </a:solidFill>
      </dgm:spPr>
      <dgm:t>
        <a:bodyPr/>
        <a:lstStyle/>
        <a:p>
          <a:r>
            <a:rPr lang="en-GB" sz="1100" b="1" i="1"/>
            <a:t>ACADEMIC AND EMPLOYABILITY SKILLS</a:t>
          </a:r>
        </a:p>
      </dgm:t>
    </dgm:pt>
    <dgm:pt modelId="{8CF80866-98FD-4ED3-8F2D-389D81A10BFE}" type="parTrans" cxnId="{E892DB93-5D35-42BA-95AB-7B5888E0B268}">
      <dgm:prSet/>
      <dgm:spPr/>
      <dgm:t>
        <a:bodyPr/>
        <a:lstStyle/>
        <a:p>
          <a:endParaRPr lang="en-GB"/>
        </a:p>
      </dgm:t>
    </dgm:pt>
    <dgm:pt modelId="{D316B0D8-6D50-405C-B667-FDD01C991E8A}" type="sibTrans" cxnId="{E892DB93-5D35-42BA-95AB-7B5888E0B268}">
      <dgm:prSet/>
      <dgm:spPr/>
      <dgm:t>
        <a:bodyPr/>
        <a:lstStyle/>
        <a:p>
          <a:endParaRPr lang="en-GB"/>
        </a:p>
      </dgm:t>
    </dgm:pt>
    <dgm:pt modelId="{F86F879C-D023-42DE-A81D-58708781974A}">
      <dgm:prSet phldrT="[Text]"/>
      <dgm:spPr/>
      <dgm:t>
        <a:bodyPr/>
        <a:lstStyle/>
        <a:p>
          <a:r>
            <a:rPr lang="en-GB" i="1"/>
            <a:t>Communication</a:t>
          </a:r>
        </a:p>
      </dgm:t>
    </dgm:pt>
    <dgm:pt modelId="{0C70A07B-4C0B-4777-A099-5D1E1112950B}" type="parTrans" cxnId="{5CAC0F28-8E5F-4EFF-AF73-6B888F7B08F1}">
      <dgm:prSet/>
      <dgm:spPr/>
      <dgm:t>
        <a:bodyPr/>
        <a:lstStyle/>
        <a:p>
          <a:endParaRPr lang="en-GB"/>
        </a:p>
      </dgm:t>
    </dgm:pt>
    <dgm:pt modelId="{9AF0D3E0-7D61-4502-8425-4427E8B5B8BF}" type="sibTrans" cxnId="{5CAC0F28-8E5F-4EFF-AF73-6B888F7B08F1}">
      <dgm:prSet/>
      <dgm:spPr/>
      <dgm:t>
        <a:bodyPr/>
        <a:lstStyle/>
        <a:p>
          <a:endParaRPr lang="en-GB"/>
        </a:p>
      </dgm:t>
    </dgm:pt>
    <dgm:pt modelId="{FA209C88-1F24-4721-A99A-3FB892EA1CE5}">
      <dgm:prSet phldrT="[Text]"/>
      <dgm:spPr/>
      <dgm:t>
        <a:bodyPr/>
        <a:lstStyle/>
        <a:p>
          <a:r>
            <a:rPr lang="en-GB" i="1"/>
            <a:t>Team-working</a:t>
          </a:r>
        </a:p>
      </dgm:t>
    </dgm:pt>
    <dgm:pt modelId="{7F078772-CEDA-414B-8524-2936C3683F03}" type="parTrans" cxnId="{F01E2F3B-61DB-47A7-99EE-2271FC7FE3C5}">
      <dgm:prSet/>
      <dgm:spPr/>
      <dgm:t>
        <a:bodyPr/>
        <a:lstStyle/>
        <a:p>
          <a:endParaRPr lang="en-GB"/>
        </a:p>
      </dgm:t>
    </dgm:pt>
    <dgm:pt modelId="{E3172B44-A733-49C6-B76C-E792FD619CF3}" type="sibTrans" cxnId="{F01E2F3B-61DB-47A7-99EE-2271FC7FE3C5}">
      <dgm:prSet/>
      <dgm:spPr/>
      <dgm:t>
        <a:bodyPr/>
        <a:lstStyle/>
        <a:p>
          <a:endParaRPr lang="en-GB"/>
        </a:p>
      </dgm:t>
    </dgm:pt>
    <dgm:pt modelId="{A66C762E-1127-44C4-987C-0825B345FF04}">
      <dgm:prSet phldrT="[Text]"/>
      <dgm:spPr/>
      <dgm:t>
        <a:bodyPr/>
        <a:lstStyle/>
        <a:p>
          <a:r>
            <a:rPr lang="en-GB" i="1"/>
            <a:t>Technical skills</a:t>
          </a:r>
        </a:p>
      </dgm:t>
    </dgm:pt>
    <dgm:pt modelId="{4A69FB28-949B-4E0C-B0BC-EBC3809A66F4}" type="parTrans" cxnId="{842E288F-06DC-41EB-B7E3-A51F2B514692}">
      <dgm:prSet/>
      <dgm:spPr/>
      <dgm:t>
        <a:bodyPr/>
        <a:lstStyle/>
        <a:p>
          <a:endParaRPr lang="en-GB"/>
        </a:p>
      </dgm:t>
    </dgm:pt>
    <dgm:pt modelId="{863CC123-E237-4439-8286-F4B491797D2E}" type="sibTrans" cxnId="{842E288F-06DC-41EB-B7E3-A51F2B514692}">
      <dgm:prSet/>
      <dgm:spPr/>
      <dgm:t>
        <a:bodyPr/>
        <a:lstStyle/>
        <a:p>
          <a:endParaRPr lang="en-GB"/>
        </a:p>
      </dgm:t>
    </dgm:pt>
    <dgm:pt modelId="{EA32C780-00EF-4B19-82B7-2F6229BD6A08}">
      <dgm:prSet phldrT="[Text]"/>
      <dgm:spPr/>
      <dgm:t>
        <a:bodyPr/>
        <a:lstStyle/>
        <a:p>
          <a:r>
            <a:rPr lang="en-GB" i="1" u="none"/>
            <a:t>Willingness to learn new skills</a:t>
          </a:r>
        </a:p>
      </dgm:t>
    </dgm:pt>
    <dgm:pt modelId="{88BDD995-E07F-40AF-93ED-2C4942C36E02}" type="parTrans" cxnId="{7247362C-081C-4E9C-94A9-025D172CC949}">
      <dgm:prSet/>
      <dgm:spPr/>
      <dgm:t>
        <a:bodyPr/>
        <a:lstStyle/>
        <a:p>
          <a:endParaRPr lang="en-GB"/>
        </a:p>
      </dgm:t>
    </dgm:pt>
    <dgm:pt modelId="{F0BCA408-D9D0-4A14-95A9-D0AE350716D1}" type="sibTrans" cxnId="{7247362C-081C-4E9C-94A9-025D172CC949}">
      <dgm:prSet/>
      <dgm:spPr/>
      <dgm:t>
        <a:bodyPr/>
        <a:lstStyle/>
        <a:p>
          <a:endParaRPr lang="en-GB"/>
        </a:p>
      </dgm:t>
    </dgm:pt>
    <dgm:pt modelId="{1526222D-5CDF-47C9-8B48-F52D0E42479B}" type="pres">
      <dgm:prSet presAssocID="{7AE02C25-2994-414F-B488-0FC059DC079F}" presName="Name0" presStyleCnt="0">
        <dgm:presLayoutVars>
          <dgm:chMax val="1"/>
          <dgm:dir/>
          <dgm:animLvl val="ctr"/>
          <dgm:resizeHandles val="exact"/>
        </dgm:presLayoutVars>
      </dgm:prSet>
      <dgm:spPr/>
    </dgm:pt>
    <dgm:pt modelId="{F4A6ECCC-196C-4C9E-A250-530BBF484AF0}" type="pres">
      <dgm:prSet presAssocID="{9D7C3F30-435A-48B7-86EE-A51EAE387D5B}" presName="centerShape" presStyleLbl="node0" presStyleIdx="0" presStyleCnt="1" custScaleX="157319" custScaleY="153921"/>
      <dgm:spPr/>
    </dgm:pt>
    <dgm:pt modelId="{15A52E67-15EB-4D96-B596-1A76D34C2524}" type="pres">
      <dgm:prSet presAssocID="{0C70A07B-4C0B-4777-A099-5D1E1112950B}" presName="parTrans" presStyleLbl="sibTrans2D1" presStyleIdx="0" presStyleCnt="4"/>
      <dgm:spPr/>
    </dgm:pt>
    <dgm:pt modelId="{B2D7A151-2375-40E4-89A0-5EF25A41D25E}" type="pres">
      <dgm:prSet presAssocID="{0C70A07B-4C0B-4777-A099-5D1E1112950B}" presName="connectorText" presStyleLbl="sibTrans2D1" presStyleIdx="0" presStyleCnt="4"/>
      <dgm:spPr/>
    </dgm:pt>
    <dgm:pt modelId="{7863795E-BE0B-40F3-9185-4E1EDA7F7D76}" type="pres">
      <dgm:prSet presAssocID="{F86F879C-D023-42DE-A81D-58708781974A}" presName="node" presStyleLbl="node1" presStyleIdx="0" presStyleCnt="4">
        <dgm:presLayoutVars>
          <dgm:bulletEnabled val="1"/>
        </dgm:presLayoutVars>
      </dgm:prSet>
      <dgm:spPr/>
    </dgm:pt>
    <dgm:pt modelId="{03DFB3CE-23E8-47CA-B48F-7AB8E3A9FC18}" type="pres">
      <dgm:prSet presAssocID="{7F078772-CEDA-414B-8524-2936C3683F03}" presName="parTrans" presStyleLbl="sibTrans2D1" presStyleIdx="1" presStyleCnt="4"/>
      <dgm:spPr/>
    </dgm:pt>
    <dgm:pt modelId="{4E74AB3B-B161-468B-82A6-4B67ED7F0CFC}" type="pres">
      <dgm:prSet presAssocID="{7F078772-CEDA-414B-8524-2936C3683F03}" presName="connectorText" presStyleLbl="sibTrans2D1" presStyleIdx="1" presStyleCnt="4"/>
      <dgm:spPr/>
    </dgm:pt>
    <dgm:pt modelId="{99B1A41C-2280-4BB0-A38A-9BBE4DE67CF1}" type="pres">
      <dgm:prSet presAssocID="{FA209C88-1F24-4721-A99A-3FB892EA1CE5}" presName="node" presStyleLbl="node1" presStyleIdx="1" presStyleCnt="4" custRadScaleRad="104356">
        <dgm:presLayoutVars>
          <dgm:bulletEnabled val="1"/>
        </dgm:presLayoutVars>
      </dgm:prSet>
      <dgm:spPr/>
    </dgm:pt>
    <dgm:pt modelId="{4975EA51-8721-49A2-AAF0-DF1111B82F00}" type="pres">
      <dgm:prSet presAssocID="{4A69FB28-949B-4E0C-B0BC-EBC3809A66F4}" presName="parTrans" presStyleLbl="sibTrans2D1" presStyleIdx="2" presStyleCnt="4"/>
      <dgm:spPr/>
    </dgm:pt>
    <dgm:pt modelId="{E2557FDE-4B53-4CE2-A3F6-122772955F69}" type="pres">
      <dgm:prSet presAssocID="{4A69FB28-949B-4E0C-B0BC-EBC3809A66F4}" presName="connectorText" presStyleLbl="sibTrans2D1" presStyleIdx="2" presStyleCnt="4"/>
      <dgm:spPr/>
    </dgm:pt>
    <dgm:pt modelId="{7DE4A210-D65E-4108-8EFE-25C4CF5672DB}" type="pres">
      <dgm:prSet presAssocID="{A66C762E-1127-44C4-987C-0825B345FF04}" presName="node" presStyleLbl="node1" presStyleIdx="2" presStyleCnt="4">
        <dgm:presLayoutVars>
          <dgm:bulletEnabled val="1"/>
        </dgm:presLayoutVars>
      </dgm:prSet>
      <dgm:spPr/>
    </dgm:pt>
    <dgm:pt modelId="{814C01CC-200B-474A-AF4F-1D20CA98F831}" type="pres">
      <dgm:prSet presAssocID="{88BDD995-E07F-40AF-93ED-2C4942C36E02}" presName="parTrans" presStyleLbl="sibTrans2D1" presStyleIdx="3" presStyleCnt="4"/>
      <dgm:spPr/>
    </dgm:pt>
    <dgm:pt modelId="{4B9E63E2-BC5F-44D2-AAEA-4E37C90DB4A7}" type="pres">
      <dgm:prSet presAssocID="{88BDD995-E07F-40AF-93ED-2C4942C36E02}" presName="connectorText" presStyleLbl="sibTrans2D1" presStyleIdx="3" presStyleCnt="4"/>
      <dgm:spPr/>
    </dgm:pt>
    <dgm:pt modelId="{DA861317-A7A7-4125-A415-B04A02AED3DB}" type="pres">
      <dgm:prSet presAssocID="{EA32C780-00EF-4B19-82B7-2F6229BD6A08}" presName="node" presStyleLbl="node1" presStyleIdx="3" presStyleCnt="4" custRadScaleRad="105082">
        <dgm:presLayoutVars>
          <dgm:bulletEnabled val="1"/>
        </dgm:presLayoutVars>
      </dgm:prSet>
      <dgm:spPr/>
    </dgm:pt>
  </dgm:ptLst>
  <dgm:cxnLst>
    <dgm:cxn modelId="{4C452912-5C36-4B64-B355-A46911B0B285}" type="presOf" srcId="{9D7C3F30-435A-48B7-86EE-A51EAE387D5B}" destId="{F4A6ECCC-196C-4C9E-A250-530BBF484AF0}" srcOrd="0" destOrd="0" presId="urn:microsoft.com/office/officeart/2005/8/layout/radial5"/>
    <dgm:cxn modelId="{1BC1DF12-6328-45BE-98F6-C56AE99DFDA8}" type="presOf" srcId="{0C70A07B-4C0B-4777-A099-5D1E1112950B}" destId="{15A52E67-15EB-4D96-B596-1A76D34C2524}" srcOrd="0" destOrd="0" presId="urn:microsoft.com/office/officeart/2005/8/layout/radial5"/>
    <dgm:cxn modelId="{5CAC0F28-8E5F-4EFF-AF73-6B888F7B08F1}" srcId="{9D7C3F30-435A-48B7-86EE-A51EAE387D5B}" destId="{F86F879C-D023-42DE-A81D-58708781974A}" srcOrd="0" destOrd="0" parTransId="{0C70A07B-4C0B-4777-A099-5D1E1112950B}" sibTransId="{9AF0D3E0-7D61-4502-8425-4427E8B5B8BF}"/>
    <dgm:cxn modelId="{7247362C-081C-4E9C-94A9-025D172CC949}" srcId="{9D7C3F30-435A-48B7-86EE-A51EAE387D5B}" destId="{EA32C780-00EF-4B19-82B7-2F6229BD6A08}" srcOrd="3" destOrd="0" parTransId="{88BDD995-E07F-40AF-93ED-2C4942C36E02}" sibTransId="{F0BCA408-D9D0-4A14-95A9-D0AE350716D1}"/>
    <dgm:cxn modelId="{F01E2F3B-61DB-47A7-99EE-2271FC7FE3C5}" srcId="{9D7C3F30-435A-48B7-86EE-A51EAE387D5B}" destId="{FA209C88-1F24-4721-A99A-3FB892EA1CE5}" srcOrd="1" destOrd="0" parTransId="{7F078772-CEDA-414B-8524-2936C3683F03}" sibTransId="{E3172B44-A733-49C6-B76C-E792FD619CF3}"/>
    <dgm:cxn modelId="{D8AD925B-72FA-40B6-A0BD-9C9DA5AF678E}" type="presOf" srcId="{A66C762E-1127-44C4-987C-0825B345FF04}" destId="{7DE4A210-D65E-4108-8EFE-25C4CF5672DB}" srcOrd="0" destOrd="0" presId="urn:microsoft.com/office/officeart/2005/8/layout/radial5"/>
    <dgm:cxn modelId="{2CABFB4A-0A12-40AA-991C-23515540B3B4}" type="presOf" srcId="{88BDD995-E07F-40AF-93ED-2C4942C36E02}" destId="{814C01CC-200B-474A-AF4F-1D20CA98F831}" srcOrd="0" destOrd="0" presId="urn:microsoft.com/office/officeart/2005/8/layout/radial5"/>
    <dgm:cxn modelId="{BD8E806C-C862-485C-AA77-21F26496D439}" type="presOf" srcId="{FA209C88-1F24-4721-A99A-3FB892EA1CE5}" destId="{99B1A41C-2280-4BB0-A38A-9BBE4DE67CF1}" srcOrd="0" destOrd="0" presId="urn:microsoft.com/office/officeart/2005/8/layout/radial5"/>
    <dgm:cxn modelId="{266A4659-79CA-4396-8C09-022F92419334}" type="presOf" srcId="{7F078772-CEDA-414B-8524-2936C3683F03}" destId="{4E74AB3B-B161-468B-82A6-4B67ED7F0CFC}" srcOrd="1" destOrd="0" presId="urn:microsoft.com/office/officeart/2005/8/layout/radial5"/>
    <dgm:cxn modelId="{A48BA77D-7E8C-4D6B-9CE0-24E2C49C49F5}" type="presOf" srcId="{EA32C780-00EF-4B19-82B7-2F6229BD6A08}" destId="{DA861317-A7A7-4125-A415-B04A02AED3DB}" srcOrd="0" destOrd="0" presId="urn:microsoft.com/office/officeart/2005/8/layout/radial5"/>
    <dgm:cxn modelId="{842E288F-06DC-41EB-B7E3-A51F2B514692}" srcId="{9D7C3F30-435A-48B7-86EE-A51EAE387D5B}" destId="{A66C762E-1127-44C4-987C-0825B345FF04}" srcOrd="2" destOrd="0" parTransId="{4A69FB28-949B-4E0C-B0BC-EBC3809A66F4}" sibTransId="{863CC123-E237-4439-8286-F4B491797D2E}"/>
    <dgm:cxn modelId="{E892DB93-5D35-42BA-95AB-7B5888E0B268}" srcId="{7AE02C25-2994-414F-B488-0FC059DC079F}" destId="{9D7C3F30-435A-48B7-86EE-A51EAE387D5B}" srcOrd="0" destOrd="0" parTransId="{8CF80866-98FD-4ED3-8F2D-389D81A10BFE}" sibTransId="{D316B0D8-6D50-405C-B667-FDD01C991E8A}"/>
    <dgm:cxn modelId="{D4E6559B-79ED-481A-BBEF-CB866CB0B2F8}" type="presOf" srcId="{88BDD995-E07F-40AF-93ED-2C4942C36E02}" destId="{4B9E63E2-BC5F-44D2-AAEA-4E37C90DB4A7}" srcOrd="1" destOrd="0" presId="urn:microsoft.com/office/officeart/2005/8/layout/radial5"/>
    <dgm:cxn modelId="{9B42D8AD-F592-4C23-8B53-F2F239746A3B}" type="presOf" srcId="{7AE02C25-2994-414F-B488-0FC059DC079F}" destId="{1526222D-5CDF-47C9-8B48-F52D0E42479B}" srcOrd="0" destOrd="0" presId="urn:microsoft.com/office/officeart/2005/8/layout/radial5"/>
    <dgm:cxn modelId="{926152B9-6BED-4744-9A93-39046D598FA4}" type="presOf" srcId="{0C70A07B-4C0B-4777-A099-5D1E1112950B}" destId="{B2D7A151-2375-40E4-89A0-5EF25A41D25E}" srcOrd="1" destOrd="0" presId="urn:microsoft.com/office/officeart/2005/8/layout/radial5"/>
    <dgm:cxn modelId="{3A9BC4C2-61BC-42AF-AE01-A3FCA2D52471}" type="presOf" srcId="{F86F879C-D023-42DE-A81D-58708781974A}" destId="{7863795E-BE0B-40F3-9185-4E1EDA7F7D76}" srcOrd="0" destOrd="0" presId="urn:microsoft.com/office/officeart/2005/8/layout/radial5"/>
    <dgm:cxn modelId="{082C75D2-19BA-4FF2-82F9-3729612541B1}" type="presOf" srcId="{4A69FB28-949B-4E0C-B0BC-EBC3809A66F4}" destId="{E2557FDE-4B53-4CE2-A3F6-122772955F69}" srcOrd="1" destOrd="0" presId="urn:microsoft.com/office/officeart/2005/8/layout/radial5"/>
    <dgm:cxn modelId="{B20C80D4-6C01-4D31-AEC6-3DA2F5EF62A1}" type="presOf" srcId="{7F078772-CEDA-414B-8524-2936C3683F03}" destId="{03DFB3CE-23E8-47CA-B48F-7AB8E3A9FC18}" srcOrd="0" destOrd="0" presId="urn:microsoft.com/office/officeart/2005/8/layout/radial5"/>
    <dgm:cxn modelId="{3A0211DB-8831-4E26-AEAB-AF4679C608C4}" type="presOf" srcId="{4A69FB28-949B-4E0C-B0BC-EBC3809A66F4}" destId="{4975EA51-8721-49A2-AAF0-DF1111B82F00}" srcOrd="0" destOrd="0" presId="urn:microsoft.com/office/officeart/2005/8/layout/radial5"/>
    <dgm:cxn modelId="{1C136732-F7E2-4F57-8785-D1144F9FA364}" type="presParOf" srcId="{1526222D-5CDF-47C9-8B48-F52D0E42479B}" destId="{F4A6ECCC-196C-4C9E-A250-530BBF484AF0}" srcOrd="0" destOrd="0" presId="urn:microsoft.com/office/officeart/2005/8/layout/radial5"/>
    <dgm:cxn modelId="{99F14870-5644-422C-BD56-D08E491B2A68}" type="presParOf" srcId="{1526222D-5CDF-47C9-8B48-F52D0E42479B}" destId="{15A52E67-15EB-4D96-B596-1A76D34C2524}" srcOrd="1" destOrd="0" presId="urn:microsoft.com/office/officeart/2005/8/layout/radial5"/>
    <dgm:cxn modelId="{E7F530E7-159E-4A76-9A8E-8A2986B1A96B}" type="presParOf" srcId="{15A52E67-15EB-4D96-B596-1A76D34C2524}" destId="{B2D7A151-2375-40E4-89A0-5EF25A41D25E}" srcOrd="0" destOrd="0" presId="urn:microsoft.com/office/officeart/2005/8/layout/radial5"/>
    <dgm:cxn modelId="{4F2FA15B-ECBA-44A3-84C2-25B79CB0837A}" type="presParOf" srcId="{1526222D-5CDF-47C9-8B48-F52D0E42479B}" destId="{7863795E-BE0B-40F3-9185-4E1EDA7F7D76}" srcOrd="2" destOrd="0" presId="urn:microsoft.com/office/officeart/2005/8/layout/radial5"/>
    <dgm:cxn modelId="{D798BF11-2E51-4ADD-A94F-E30190F1490C}" type="presParOf" srcId="{1526222D-5CDF-47C9-8B48-F52D0E42479B}" destId="{03DFB3CE-23E8-47CA-B48F-7AB8E3A9FC18}" srcOrd="3" destOrd="0" presId="urn:microsoft.com/office/officeart/2005/8/layout/radial5"/>
    <dgm:cxn modelId="{02ABEBB6-C828-4669-8811-C686BC11D507}" type="presParOf" srcId="{03DFB3CE-23E8-47CA-B48F-7AB8E3A9FC18}" destId="{4E74AB3B-B161-468B-82A6-4B67ED7F0CFC}" srcOrd="0" destOrd="0" presId="urn:microsoft.com/office/officeart/2005/8/layout/radial5"/>
    <dgm:cxn modelId="{A4A00E3A-55CF-499E-954D-F5F8C4DCD8B1}" type="presParOf" srcId="{1526222D-5CDF-47C9-8B48-F52D0E42479B}" destId="{99B1A41C-2280-4BB0-A38A-9BBE4DE67CF1}" srcOrd="4" destOrd="0" presId="urn:microsoft.com/office/officeart/2005/8/layout/radial5"/>
    <dgm:cxn modelId="{7E162125-3DB2-475C-8C4B-5A0E1B0BE73D}" type="presParOf" srcId="{1526222D-5CDF-47C9-8B48-F52D0E42479B}" destId="{4975EA51-8721-49A2-AAF0-DF1111B82F00}" srcOrd="5" destOrd="0" presId="urn:microsoft.com/office/officeart/2005/8/layout/radial5"/>
    <dgm:cxn modelId="{5E82B2A1-4C97-4762-98BC-455B557E13AB}" type="presParOf" srcId="{4975EA51-8721-49A2-AAF0-DF1111B82F00}" destId="{E2557FDE-4B53-4CE2-A3F6-122772955F69}" srcOrd="0" destOrd="0" presId="urn:microsoft.com/office/officeart/2005/8/layout/radial5"/>
    <dgm:cxn modelId="{580F52DC-744B-4DA1-BE11-245202C81970}" type="presParOf" srcId="{1526222D-5CDF-47C9-8B48-F52D0E42479B}" destId="{7DE4A210-D65E-4108-8EFE-25C4CF5672DB}" srcOrd="6" destOrd="0" presId="urn:microsoft.com/office/officeart/2005/8/layout/radial5"/>
    <dgm:cxn modelId="{39A41B52-A5DC-47D9-BC57-305A19827871}" type="presParOf" srcId="{1526222D-5CDF-47C9-8B48-F52D0E42479B}" destId="{814C01CC-200B-474A-AF4F-1D20CA98F831}" srcOrd="7" destOrd="0" presId="urn:microsoft.com/office/officeart/2005/8/layout/radial5"/>
    <dgm:cxn modelId="{41F64A03-CAA1-4E57-B214-16547B07B2D5}" type="presParOf" srcId="{814C01CC-200B-474A-AF4F-1D20CA98F831}" destId="{4B9E63E2-BC5F-44D2-AAEA-4E37C90DB4A7}" srcOrd="0" destOrd="0" presId="urn:microsoft.com/office/officeart/2005/8/layout/radial5"/>
    <dgm:cxn modelId="{2580D091-FA02-491F-8933-7D24336ECB5B}" type="presParOf" srcId="{1526222D-5CDF-47C9-8B48-F52D0E42479B}" destId="{DA861317-A7A7-4125-A415-B04A02AED3DB}" srcOrd="8" destOrd="0" presId="urn:microsoft.com/office/officeart/2005/8/layout/radial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723BBBE-F1AD-4045-93CF-77C9C49CCD25}" type="doc">
      <dgm:prSet loTypeId="urn:microsoft.com/office/officeart/2005/8/layout/hierarchy1" loCatId="hierarchy" qsTypeId="urn:microsoft.com/office/officeart/2005/8/quickstyle/simple4" qsCatId="simple" csTypeId="urn:microsoft.com/office/officeart/2005/8/colors/colorful1#2" csCatId="colorful" phldr="1"/>
      <dgm:spPr/>
      <dgm:t>
        <a:bodyPr/>
        <a:lstStyle/>
        <a:p>
          <a:endParaRPr lang="en-GB"/>
        </a:p>
      </dgm:t>
    </dgm:pt>
    <dgm:pt modelId="{64431493-EF89-44E5-8F00-99FDE74DE08E}">
      <dgm:prSet phldrT="[Text]" custT="1"/>
      <dgm:spPr>
        <a:ln>
          <a:solidFill>
            <a:srgbClr val="002060"/>
          </a:solidFill>
        </a:ln>
      </dgm:spPr>
      <dgm:t>
        <a:bodyPr/>
        <a:lstStyle/>
        <a:p>
          <a:r>
            <a:rPr lang="en-GB" sz="1800" b="1" i="1"/>
            <a:t>ROLE OF EMPLOYABILITY SKILLS IN PRACTICAL HEALTHCARE SETTING</a:t>
          </a:r>
        </a:p>
      </dgm:t>
    </dgm:pt>
    <dgm:pt modelId="{1DC4914B-6E4A-4BC9-A480-0B345DE006D8}" type="parTrans" cxnId="{16783677-7A0A-4B48-8F79-FFDE97D21B1C}">
      <dgm:prSet/>
      <dgm:spPr/>
      <dgm:t>
        <a:bodyPr/>
        <a:lstStyle/>
        <a:p>
          <a:endParaRPr lang="en-GB"/>
        </a:p>
      </dgm:t>
    </dgm:pt>
    <dgm:pt modelId="{20A8517B-D029-405E-865C-45311E2AD9C1}" type="sibTrans" cxnId="{16783677-7A0A-4B48-8F79-FFDE97D21B1C}">
      <dgm:prSet/>
      <dgm:spPr/>
      <dgm:t>
        <a:bodyPr/>
        <a:lstStyle/>
        <a:p>
          <a:endParaRPr lang="en-GB"/>
        </a:p>
      </dgm:t>
    </dgm:pt>
    <dgm:pt modelId="{DEB9B3E0-F4CF-4EA1-948A-81973A02032D}">
      <dgm:prSet phldrT="[Text]"/>
      <dgm:spPr>
        <a:ln>
          <a:solidFill>
            <a:schemeClr val="accent5"/>
          </a:solidFill>
        </a:ln>
      </dgm:spPr>
      <dgm:t>
        <a:bodyPr/>
        <a:lstStyle/>
        <a:p>
          <a:r>
            <a:rPr lang="en-GB" i="1"/>
            <a:t>Improving quality of care administered</a:t>
          </a:r>
        </a:p>
      </dgm:t>
    </dgm:pt>
    <dgm:pt modelId="{9796EF55-1437-4268-A398-557600F5E5B2}" type="parTrans" cxnId="{BFFB62E8-067D-47D8-AA04-0A42BF2AFB57}">
      <dgm:prSet>
        <dgm:style>
          <a:lnRef idx="3">
            <a:schemeClr val="dk1"/>
          </a:lnRef>
          <a:fillRef idx="0">
            <a:schemeClr val="dk1"/>
          </a:fillRef>
          <a:effectRef idx="2">
            <a:schemeClr val="dk1"/>
          </a:effectRef>
          <a:fontRef idx="minor">
            <a:schemeClr val="tx1"/>
          </a:fontRef>
        </dgm:style>
      </dgm:prSet>
      <dgm:spPr/>
      <dgm:t>
        <a:bodyPr/>
        <a:lstStyle/>
        <a:p>
          <a:endParaRPr lang="en-GB"/>
        </a:p>
      </dgm:t>
    </dgm:pt>
    <dgm:pt modelId="{D18316F3-CE41-47D5-A0CF-F0384AC256CA}" type="sibTrans" cxnId="{BFFB62E8-067D-47D8-AA04-0A42BF2AFB57}">
      <dgm:prSet/>
      <dgm:spPr/>
      <dgm:t>
        <a:bodyPr/>
        <a:lstStyle/>
        <a:p>
          <a:endParaRPr lang="en-GB"/>
        </a:p>
      </dgm:t>
    </dgm:pt>
    <dgm:pt modelId="{D054A969-5B1E-46E4-A6FD-4AF594F881CA}">
      <dgm:prSet phldrT="[Text]"/>
      <dgm:spPr>
        <a:ln>
          <a:solidFill>
            <a:schemeClr val="accent6"/>
          </a:solidFill>
        </a:ln>
      </dgm:spPr>
      <dgm:t>
        <a:bodyPr/>
        <a:lstStyle/>
        <a:p>
          <a:r>
            <a:rPr lang="en-GB" i="1"/>
            <a:t>Facilitating future growth</a:t>
          </a:r>
        </a:p>
      </dgm:t>
    </dgm:pt>
    <dgm:pt modelId="{C2DC9929-738E-4D46-9FA6-ECDEBFD45207}" type="parTrans" cxnId="{8E383DB5-FFA6-40E8-B4BE-BC03991B4405}">
      <dgm:prSet/>
      <dgm:spPr/>
      <dgm:t>
        <a:bodyPr/>
        <a:lstStyle/>
        <a:p>
          <a:endParaRPr lang="en-GB"/>
        </a:p>
      </dgm:t>
    </dgm:pt>
    <dgm:pt modelId="{4501E5B2-1EFB-45C7-B038-D6EEE4396C82}" type="sibTrans" cxnId="{8E383DB5-FFA6-40E8-B4BE-BC03991B4405}">
      <dgm:prSet/>
      <dgm:spPr/>
      <dgm:t>
        <a:bodyPr/>
        <a:lstStyle/>
        <a:p>
          <a:endParaRPr lang="en-GB"/>
        </a:p>
      </dgm:t>
    </dgm:pt>
    <dgm:pt modelId="{A1615BC4-7500-4603-83DE-2A554A33E277}">
      <dgm:prSet phldrT="[Text]"/>
      <dgm:spPr>
        <a:ln>
          <a:solidFill>
            <a:schemeClr val="accent3"/>
          </a:solidFill>
        </a:ln>
      </dgm:spPr>
      <dgm:t>
        <a:bodyPr/>
        <a:lstStyle/>
        <a:p>
          <a:r>
            <a:rPr lang="en-GB" i="1"/>
            <a:t>Learnign new skills making care more efficient</a:t>
          </a:r>
        </a:p>
      </dgm:t>
    </dgm:pt>
    <dgm:pt modelId="{BA18CC5B-FE19-4F7E-8D0E-FBE1D5F9C01F}" type="parTrans" cxnId="{612BFDA2-1A25-47CE-A277-9EBDE896DC3F}">
      <dgm:prSet>
        <dgm:style>
          <a:lnRef idx="3">
            <a:schemeClr val="dk1"/>
          </a:lnRef>
          <a:fillRef idx="0">
            <a:schemeClr val="dk1"/>
          </a:fillRef>
          <a:effectRef idx="2">
            <a:schemeClr val="dk1"/>
          </a:effectRef>
          <a:fontRef idx="minor">
            <a:schemeClr val="tx1"/>
          </a:fontRef>
        </dgm:style>
      </dgm:prSet>
      <dgm:spPr/>
      <dgm:t>
        <a:bodyPr/>
        <a:lstStyle/>
        <a:p>
          <a:endParaRPr lang="en-GB"/>
        </a:p>
      </dgm:t>
    </dgm:pt>
    <dgm:pt modelId="{67F7CB80-6738-4F4A-9071-96B4DFDBA786}" type="sibTrans" cxnId="{612BFDA2-1A25-47CE-A277-9EBDE896DC3F}">
      <dgm:prSet/>
      <dgm:spPr/>
      <dgm:t>
        <a:bodyPr/>
        <a:lstStyle/>
        <a:p>
          <a:endParaRPr lang="en-GB"/>
        </a:p>
      </dgm:t>
    </dgm:pt>
    <dgm:pt modelId="{4DB645BC-F2B9-481C-80A2-71E7C2B9A925}" type="pres">
      <dgm:prSet presAssocID="{C723BBBE-F1AD-4045-93CF-77C9C49CCD25}" presName="hierChild1" presStyleCnt="0">
        <dgm:presLayoutVars>
          <dgm:chPref val="1"/>
          <dgm:dir/>
          <dgm:animOne val="branch"/>
          <dgm:animLvl val="lvl"/>
          <dgm:resizeHandles/>
        </dgm:presLayoutVars>
      </dgm:prSet>
      <dgm:spPr/>
    </dgm:pt>
    <dgm:pt modelId="{089DCB30-688C-43A5-ABCE-ECDDF0EE6DB4}" type="pres">
      <dgm:prSet presAssocID="{64431493-EF89-44E5-8F00-99FDE74DE08E}" presName="hierRoot1" presStyleCnt="0"/>
      <dgm:spPr/>
    </dgm:pt>
    <dgm:pt modelId="{D9A23CED-92FA-4D20-A043-2C863FEE4669}" type="pres">
      <dgm:prSet presAssocID="{64431493-EF89-44E5-8F00-99FDE74DE08E}" presName="composite" presStyleCnt="0"/>
      <dgm:spPr/>
    </dgm:pt>
    <dgm:pt modelId="{8F9698D4-E285-473F-A6F3-AEF6B80AEF32}" type="pres">
      <dgm:prSet presAssocID="{64431493-EF89-44E5-8F00-99FDE74DE08E}" presName="background" presStyleLbl="node0" presStyleIdx="0" presStyleCnt="1"/>
      <dgm:spPr>
        <a:solidFill>
          <a:srgbClr val="002060"/>
        </a:solidFill>
      </dgm:spPr>
    </dgm:pt>
    <dgm:pt modelId="{E10E4FDE-76FE-4B52-964D-C49618FA5BA3}" type="pres">
      <dgm:prSet presAssocID="{64431493-EF89-44E5-8F00-99FDE74DE08E}" presName="text" presStyleLbl="fgAcc0" presStyleIdx="0" presStyleCnt="1" custScaleX="179242" custScaleY="138851">
        <dgm:presLayoutVars>
          <dgm:chPref val="3"/>
        </dgm:presLayoutVars>
      </dgm:prSet>
      <dgm:spPr/>
    </dgm:pt>
    <dgm:pt modelId="{1371498B-E53A-44A6-A86E-1F02E82BAF71}" type="pres">
      <dgm:prSet presAssocID="{64431493-EF89-44E5-8F00-99FDE74DE08E}" presName="hierChild2" presStyleCnt="0"/>
      <dgm:spPr/>
    </dgm:pt>
    <dgm:pt modelId="{C68540EF-BB17-42C4-88DE-2B7400DC9C7A}" type="pres">
      <dgm:prSet presAssocID="{9796EF55-1437-4268-A398-557600F5E5B2}" presName="Name10" presStyleLbl="parChTrans1D2" presStyleIdx="0" presStyleCnt="3"/>
      <dgm:spPr/>
    </dgm:pt>
    <dgm:pt modelId="{547004FC-7693-4EBC-B277-EF8B247FB90F}" type="pres">
      <dgm:prSet presAssocID="{DEB9B3E0-F4CF-4EA1-948A-81973A02032D}" presName="hierRoot2" presStyleCnt="0"/>
      <dgm:spPr/>
    </dgm:pt>
    <dgm:pt modelId="{1BA38EC1-73CF-4716-9E38-6BA36887EB28}" type="pres">
      <dgm:prSet presAssocID="{DEB9B3E0-F4CF-4EA1-948A-81973A02032D}" presName="composite2" presStyleCnt="0"/>
      <dgm:spPr/>
    </dgm:pt>
    <dgm:pt modelId="{A04BEEE0-FE36-421D-B227-4CDB4892D777}" type="pres">
      <dgm:prSet presAssocID="{DEB9B3E0-F4CF-4EA1-948A-81973A02032D}" presName="background2" presStyleLbl="node2" presStyleIdx="0" presStyleCnt="3"/>
      <dgm:spPr>
        <a:solidFill>
          <a:schemeClr val="accent5"/>
        </a:solidFill>
      </dgm:spPr>
    </dgm:pt>
    <dgm:pt modelId="{01227E57-D882-4D9B-9C5F-F1F347E936D5}" type="pres">
      <dgm:prSet presAssocID="{DEB9B3E0-F4CF-4EA1-948A-81973A02032D}" presName="text2" presStyleLbl="fgAcc2" presStyleIdx="0" presStyleCnt="3">
        <dgm:presLayoutVars>
          <dgm:chPref val="3"/>
        </dgm:presLayoutVars>
      </dgm:prSet>
      <dgm:spPr/>
    </dgm:pt>
    <dgm:pt modelId="{83AEE8DC-B8D6-46AE-A216-84CE2AE5A996}" type="pres">
      <dgm:prSet presAssocID="{DEB9B3E0-F4CF-4EA1-948A-81973A02032D}" presName="hierChild3" presStyleCnt="0"/>
      <dgm:spPr/>
    </dgm:pt>
    <dgm:pt modelId="{3F0D4971-E258-4857-B309-5DAAE0B24AC1}" type="pres">
      <dgm:prSet presAssocID="{C2DC9929-738E-4D46-9FA6-ECDEBFD45207}" presName="Name10" presStyleLbl="parChTrans1D2" presStyleIdx="1" presStyleCnt="3"/>
      <dgm:spPr/>
    </dgm:pt>
    <dgm:pt modelId="{7FC457A5-9E42-49F0-8BE0-94A55F9EFAAC}" type="pres">
      <dgm:prSet presAssocID="{D054A969-5B1E-46E4-A6FD-4AF594F881CA}" presName="hierRoot2" presStyleCnt="0"/>
      <dgm:spPr/>
    </dgm:pt>
    <dgm:pt modelId="{C2E4DB82-8E73-40BE-842A-996BEDB0E9C3}" type="pres">
      <dgm:prSet presAssocID="{D054A969-5B1E-46E4-A6FD-4AF594F881CA}" presName="composite2" presStyleCnt="0"/>
      <dgm:spPr/>
    </dgm:pt>
    <dgm:pt modelId="{5101C27E-EB42-4B97-A2A8-EEFAA7B6FA8A}" type="pres">
      <dgm:prSet presAssocID="{D054A969-5B1E-46E4-A6FD-4AF594F881CA}" presName="background2" presStyleLbl="node2" presStyleIdx="1" presStyleCnt="3"/>
      <dgm:spPr>
        <a:solidFill>
          <a:schemeClr val="accent6"/>
        </a:solidFill>
      </dgm:spPr>
    </dgm:pt>
    <dgm:pt modelId="{B9CFCE5B-802A-4EBA-92E2-B326D9B2F17E}" type="pres">
      <dgm:prSet presAssocID="{D054A969-5B1E-46E4-A6FD-4AF594F881CA}" presName="text2" presStyleLbl="fgAcc2" presStyleIdx="1" presStyleCnt="3">
        <dgm:presLayoutVars>
          <dgm:chPref val="3"/>
        </dgm:presLayoutVars>
      </dgm:prSet>
      <dgm:spPr/>
    </dgm:pt>
    <dgm:pt modelId="{E5888D84-C07B-42C9-9234-572240BAA73C}" type="pres">
      <dgm:prSet presAssocID="{D054A969-5B1E-46E4-A6FD-4AF594F881CA}" presName="hierChild3" presStyleCnt="0"/>
      <dgm:spPr/>
    </dgm:pt>
    <dgm:pt modelId="{0425C0FE-46FC-4B2B-A09E-F355AD3AD684}" type="pres">
      <dgm:prSet presAssocID="{BA18CC5B-FE19-4F7E-8D0E-FBE1D5F9C01F}" presName="Name10" presStyleLbl="parChTrans1D2" presStyleIdx="2" presStyleCnt="3"/>
      <dgm:spPr/>
    </dgm:pt>
    <dgm:pt modelId="{5E9D7200-CE29-4115-8470-41A965AFED59}" type="pres">
      <dgm:prSet presAssocID="{A1615BC4-7500-4603-83DE-2A554A33E277}" presName="hierRoot2" presStyleCnt="0"/>
      <dgm:spPr/>
    </dgm:pt>
    <dgm:pt modelId="{E90E9C59-3781-4C33-9271-C6FD2E63591C}" type="pres">
      <dgm:prSet presAssocID="{A1615BC4-7500-4603-83DE-2A554A33E277}" presName="composite2" presStyleCnt="0"/>
      <dgm:spPr/>
    </dgm:pt>
    <dgm:pt modelId="{36BA6831-EDC9-4CE5-B850-2623FAD64444}" type="pres">
      <dgm:prSet presAssocID="{A1615BC4-7500-4603-83DE-2A554A33E277}" presName="background2" presStyleLbl="node2" presStyleIdx="2" presStyleCnt="3"/>
      <dgm:spPr>
        <a:solidFill>
          <a:schemeClr val="accent3"/>
        </a:solidFill>
      </dgm:spPr>
    </dgm:pt>
    <dgm:pt modelId="{14D495EC-704C-4DFA-A7A9-F6779BAC493E}" type="pres">
      <dgm:prSet presAssocID="{A1615BC4-7500-4603-83DE-2A554A33E277}" presName="text2" presStyleLbl="fgAcc2" presStyleIdx="2" presStyleCnt="3">
        <dgm:presLayoutVars>
          <dgm:chPref val="3"/>
        </dgm:presLayoutVars>
      </dgm:prSet>
      <dgm:spPr/>
    </dgm:pt>
    <dgm:pt modelId="{FCD8020E-4AC0-440F-A784-8E718DFD36E7}" type="pres">
      <dgm:prSet presAssocID="{A1615BC4-7500-4603-83DE-2A554A33E277}" presName="hierChild3" presStyleCnt="0"/>
      <dgm:spPr/>
    </dgm:pt>
  </dgm:ptLst>
  <dgm:cxnLst>
    <dgm:cxn modelId="{FA838505-CD16-4825-B7A0-D3F58D93AD21}" type="presOf" srcId="{C2DC9929-738E-4D46-9FA6-ECDEBFD45207}" destId="{3F0D4971-E258-4857-B309-5DAAE0B24AC1}" srcOrd="0" destOrd="0" presId="urn:microsoft.com/office/officeart/2005/8/layout/hierarchy1"/>
    <dgm:cxn modelId="{5E9FF507-3A54-4F79-9BAC-055704E1E16D}" type="presOf" srcId="{64431493-EF89-44E5-8F00-99FDE74DE08E}" destId="{E10E4FDE-76FE-4B52-964D-C49618FA5BA3}" srcOrd="0" destOrd="0" presId="urn:microsoft.com/office/officeart/2005/8/layout/hierarchy1"/>
    <dgm:cxn modelId="{A5EA7533-6F54-4B68-B080-69EBFBBC4D73}" type="presOf" srcId="{D054A969-5B1E-46E4-A6FD-4AF594F881CA}" destId="{B9CFCE5B-802A-4EBA-92E2-B326D9B2F17E}" srcOrd="0" destOrd="0" presId="urn:microsoft.com/office/officeart/2005/8/layout/hierarchy1"/>
    <dgm:cxn modelId="{6A1FB362-0446-41BE-97AF-D437900BD5A1}" type="presOf" srcId="{9796EF55-1437-4268-A398-557600F5E5B2}" destId="{C68540EF-BB17-42C4-88DE-2B7400DC9C7A}" srcOrd="0" destOrd="0" presId="urn:microsoft.com/office/officeart/2005/8/layout/hierarchy1"/>
    <dgm:cxn modelId="{0B18916F-5A31-499C-BBA4-8DAAFD8E67F1}" type="presOf" srcId="{DEB9B3E0-F4CF-4EA1-948A-81973A02032D}" destId="{01227E57-D882-4D9B-9C5F-F1F347E936D5}" srcOrd="0" destOrd="0" presId="urn:microsoft.com/office/officeart/2005/8/layout/hierarchy1"/>
    <dgm:cxn modelId="{4680ED70-7EC3-46DE-A6A7-D7D8076E8CD4}" type="presOf" srcId="{BA18CC5B-FE19-4F7E-8D0E-FBE1D5F9C01F}" destId="{0425C0FE-46FC-4B2B-A09E-F355AD3AD684}" srcOrd="0" destOrd="0" presId="urn:microsoft.com/office/officeart/2005/8/layout/hierarchy1"/>
    <dgm:cxn modelId="{16783677-7A0A-4B48-8F79-FFDE97D21B1C}" srcId="{C723BBBE-F1AD-4045-93CF-77C9C49CCD25}" destId="{64431493-EF89-44E5-8F00-99FDE74DE08E}" srcOrd="0" destOrd="0" parTransId="{1DC4914B-6E4A-4BC9-A480-0B345DE006D8}" sibTransId="{20A8517B-D029-405E-865C-45311E2AD9C1}"/>
    <dgm:cxn modelId="{148DE977-83F7-4C5A-A3F0-A38DFEEE1C5A}" type="presOf" srcId="{C723BBBE-F1AD-4045-93CF-77C9C49CCD25}" destId="{4DB645BC-F2B9-481C-80A2-71E7C2B9A925}" srcOrd="0" destOrd="0" presId="urn:microsoft.com/office/officeart/2005/8/layout/hierarchy1"/>
    <dgm:cxn modelId="{2370097E-4EA8-4B17-8259-304F3537AAB6}" type="presOf" srcId="{A1615BC4-7500-4603-83DE-2A554A33E277}" destId="{14D495EC-704C-4DFA-A7A9-F6779BAC493E}" srcOrd="0" destOrd="0" presId="urn:microsoft.com/office/officeart/2005/8/layout/hierarchy1"/>
    <dgm:cxn modelId="{612BFDA2-1A25-47CE-A277-9EBDE896DC3F}" srcId="{64431493-EF89-44E5-8F00-99FDE74DE08E}" destId="{A1615BC4-7500-4603-83DE-2A554A33E277}" srcOrd="2" destOrd="0" parTransId="{BA18CC5B-FE19-4F7E-8D0E-FBE1D5F9C01F}" sibTransId="{67F7CB80-6738-4F4A-9071-96B4DFDBA786}"/>
    <dgm:cxn modelId="{8E383DB5-FFA6-40E8-B4BE-BC03991B4405}" srcId="{64431493-EF89-44E5-8F00-99FDE74DE08E}" destId="{D054A969-5B1E-46E4-A6FD-4AF594F881CA}" srcOrd="1" destOrd="0" parTransId="{C2DC9929-738E-4D46-9FA6-ECDEBFD45207}" sibTransId="{4501E5B2-1EFB-45C7-B038-D6EEE4396C82}"/>
    <dgm:cxn modelId="{BFFB62E8-067D-47D8-AA04-0A42BF2AFB57}" srcId="{64431493-EF89-44E5-8F00-99FDE74DE08E}" destId="{DEB9B3E0-F4CF-4EA1-948A-81973A02032D}" srcOrd="0" destOrd="0" parTransId="{9796EF55-1437-4268-A398-557600F5E5B2}" sibTransId="{D18316F3-CE41-47D5-A0CF-F0384AC256CA}"/>
    <dgm:cxn modelId="{33C70E24-ED84-4D18-91DD-46CC10DD296F}" type="presParOf" srcId="{4DB645BC-F2B9-481C-80A2-71E7C2B9A925}" destId="{089DCB30-688C-43A5-ABCE-ECDDF0EE6DB4}" srcOrd="0" destOrd="0" presId="urn:microsoft.com/office/officeart/2005/8/layout/hierarchy1"/>
    <dgm:cxn modelId="{BE8B5CA6-3FB8-46FB-9163-16FFBE07DA26}" type="presParOf" srcId="{089DCB30-688C-43A5-ABCE-ECDDF0EE6DB4}" destId="{D9A23CED-92FA-4D20-A043-2C863FEE4669}" srcOrd="0" destOrd="0" presId="urn:microsoft.com/office/officeart/2005/8/layout/hierarchy1"/>
    <dgm:cxn modelId="{F7F6D45D-A84C-4D7E-9E37-0A20735F5458}" type="presParOf" srcId="{D9A23CED-92FA-4D20-A043-2C863FEE4669}" destId="{8F9698D4-E285-473F-A6F3-AEF6B80AEF32}" srcOrd="0" destOrd="0" presId="urn:microsoft.com/office/officeart/2005/8/layout/hierarchy1"/>
    <dgm:cxn modelId="{1D210424-970A-41A8-845B-298935B4B5FB}" type="presParOf" srcId="{D9A23CED-92FA-4D20-A043-2C863FEE4669}" destId="{E10E4FDE-76FE-4B52-964D-C49618FA5BA3}" srcOrd="1" destOrd="0" presId="urn:microsoft.com/office/officeart/2005/8/layout/hierarchy1"/>
    <dgm:cxn modelId="{48C81729-A7C5-4DA6-958A-CD31CB1C2B27}" type="presParOf" srcId="{089DCB30-688C-43A5-ABCE-ECDDF0EE6DB4}" destId="{1371498B-E53A-44A6-A86E-1F02E82BAF71}" srcOrd="1" destOrd="0" presId="urn:microsoft.com/office/officeart/2005/8/layout/hierarchy1"/>
    <dgm:cxn modelId="{492F1C02-1A1E-4541-9313-729E96C79CAA}" type="presParOf" srcId="{1371498B-E53A-44A6-A86E-1F02E82BAF71}" destId="{C68540EF-BB17-42C4-88DE-2B7400DC9C7A}" srcOrd="0" destOrd="0" presId="urn:microsoft.com/office/officeart/2005/8/layout/hierarchy1"/>
    <dgm:cxn modelId="{25DC7D16-913D-46A4-BD55-04AF1E0465A7}" type="presParOf" srcId="{1371498B-E53A-44A6-A86E-1F02E82BAF71}" destId="{547004FC-7693-4EBC-B277-EF8B247FB90F}" srcOrd="1" destOrd="0" presId="urn:microsoft.com/office/officeart/2005/8/layout/hierarchy1"/>
    <dgm:cxn modelId="{12FB4612-D983-4140-B26F-0C007CA48B2C}" type="presParOf" srcId="{547004FC-7693-4EBC-B277-EF8B247FB90F}" destId="{1BA38EC1-73CF-4716-9E38-6BA36887EB28}" srcOrd="0" destOrd="0" presId="urn:microsoft.com/office/officeart/2005/8/layout/hierarchy1"/>
    <dgm:cxn modelId="{B63A8E2F-40EA-41C7-8873-586FFF58D887}" type="presParOf" srcId="{1BA38EC1-73CF-4716-9E38-6BA36887EB28}" destId="{A04BEEE0-FE36-421D-B227-4CDB4892D777}" srcOrd="0" destOrd="0" presId="urn:microsoft.com/office/officeart/2005/8/layout/hierarchy1"/>
    <dgm:cxn modelId="{252CE118-957D-4FDC-BFA9-863FB88E8D7F}" type="presParOf" srcId="{1BA38EC1-73CF-4716-9E38-6BA36887EB28}" destId="{01227E57-D882-4D9B-9C5F-F1F347E936D5}" srcOrd="1" destOrd="0" presId="urn:microsoft.com/office/officeart/2005/8/layout/hierarchy1"/>
    <dgm:cxn modelId="{5EC8A3C9-9D55-4C89-83A3-A5309DFD1073}" type="presParOf" srcId="{547004FC-7693-4EBC-B277-EF8B247FB90F}" destId="{83AEE8DC-B8D6-46AE-A216-84CE2AE5A996}" srcOrd="1" destOrd="0" presId="urn:microsoft.com/office/officeart/2005/8/layout/hierarchy1"/>
    <dgm:cxn modelId="{D461BE20-57E2-4C7D-8D43-4BC1AD4B98ED}" type="presParOf" srcId="{1371498B-E53A-44A6-A86E-1F02E82BAF71}" destId="{3F0D4971-E258-4857-B309-5DAAE0B24AC1}" srcOrd="2" destOrd="0" presId="urn:microsoft.com/office/officeart/2005/8/layout/hierarchy1"/>
    <dgm:cxn modelId="{A29AA082-FE42-4A85-9766-53A55C4CE478}" type="presParOf" srcId="{1371498B-E53A-44A6-A86E-1F02E82BAF71}" destId="{7FC457A5-9E42-49F0-8BE0-94A55F9EFAAC}" srcOrd="3" destOrd="0" presId="urn:microsoft.com/office/officeart/2005/8/layout/hierarchy1"/>
    <dgm:cxn modelId="{AA108689-940B-47EA-B568-8197024CE251}" type="presParOf" srcId="{7FC457A5-9E42-49F0-8BE0-94A55F9EFAAC}" destId="{C2E4DB82-8E73-40BE-842A-996BEDB0E9C3}" srcOrd="0" destOrd="0" presId="urn:microsoft.com/office/officeart/2005/8/layout/hierarchy1"/>
    <dgm:cxn modelId="{D36188CB-0B17-4F15-A00D-015ADC9C5EE8}" type="presParOf" srcId="{C2E4DB82-8E73-40BE-842A-996BEDB0E9C3}" destId="{5101C27E-EB42-4B97-A2A8-EEFAA7B6FA8A}" srcOrd="0" destOrd="0" presId="urn:microsoft.com/office/officeart/2005/8/layout/hierarchy1"/>
    <dgm:cxn modelId="{A99D28E6-0A90-4D5F-A2FE-4A4F7222A66F}" type="presParOf" srcId="{C2E4DB82-8E73-40BE-842A-996BEDB0E9C3}" destId="{B9CFCE5B-802A-4EBA-92E2-B326D9B2F17E}" srcOrd="1" destOrd="0" presId="urn:microsoft.com/office/officeart/2005/8/layout/hierarchy1"/>
    <dgm:cxn modelId="{BAD7A37A-7B6D-46E4-BC73-6920E32974A3}" type="presParOf" srcId="{7FC457A5-9E42-49F0-8BE0-94A55F9EFAAC}" destId="{E5888D84-C07B-42C9-9234-572240BAA73C}" srcOrd="1" destOrd="0" presId="urn:microsoft.com/office/officeart/2005/8/layout/hierarchy1"/>
    <dgm:cxn modelId="{52A898D9-40D4-48E9-877C-28D07908B64E}" type="presParOf" srcId="{1371498B-E53A-44A6-A86E-1F02E82BAF71}" destId="{0425C0FE-46FC-4B2B-A09E-F355AD3AD684}" srcOrd="4" destOrd="0" presId="urn:microsoft.com/office/officeart/2005/8/layout/hierarchy1"/>
    <dgm:cxn modelId="{7B19E84C-D5FB-4841-B298-94ABB1958D81}" type="presParOf" srcId="{1371498B-E53A-44A6-A86E-1F02E82BAF71}" destId="{5E9D7200-CE29-4115-8470-41A965AFED59}" srcOrd="5" destOrd="0" presId="urn:microsoft.com/office/officeart/2005/8/layout/hierarchy1"/>
    <dgm:cxn modelId="{8C720939-B74C-4ACA-95FC-E131716AFE80}" type="presParOf" srcId="{5E9D7200-CE29-4115-8470-41A965AFED59}" destId="{E90E9C59-3781-4C33-9271-C6FD2E63591C}" srcOrd="0" destOrd="0" presId="urn:microsoft.com/office/officeart/2005/8/layout/hierarchy1"/>
    <dgm:cxn modelId="{7D1C80AD-D433-4C4D-9DDC-A616D52F8295}" type="presParOf" srcId="{E90E9C59-3781-4C33-9271-C6FD2E63591C}" destId="{36BA6831-EDC9-4CE5-B850-2623FAD64444}" srcOrd="0" destOrd="0" presId="urn:microsoft.com/office/officeart/2005/8/layout/hierarchy1"/>
    <dgm:cxn modelId="{2907BC71-AFAE-4DC6-990F-54392E9126EC}" type="presParOf" srcId="{E90E9C59-3781-4C33-9271-C6FD2E63591C}" destId="{14D495EC-704C-4DFA-A7A9-F6779BAC493E}" srcOrd="1" destOrd="0" presId="urn:microsoft.com/office/officeart/2005/8/layout/hierarchy1"/>
    <dgm:cxn modelId="{D0FD02FB-4D33-4B9A-B854-B0FCC337C71C}" type="presParOf" srcId="{5E9D7200-CE29-4115-8470-41A965AFED59}" destId="{FCD8020E-4AC0-440F-A784-8E718DFD36E7}" srcOrd="1" destOrd="0" presId="urn:microsoft.com/office/officeart/2005/8/layout/hierarchy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A6ECCC-196C-4C9E-A250-530BBF484AF0}">
      <dsp:nvSpPr>
        <dsp:cNvPr id="0" name=""/>
        <dsp:cNvSpPr/>
      </dsp:nvSpPr>
      <dsp:spPr>
        <a:xfrm>
          <a:off x="1988027" y="1329170"/>
          <a:ext cx="1510345" cy="1477723"/>
        </a:xfrm>
        <a:prstGeom prst="ellipse">
          <a:avLst/>
        </a:prstGeom>
        <a:solidFill>
          <a:srgbClr val="002060"/>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hemeClr val="accent6"/>
        </a:lnRef>
        <a:fillRef idx="3">
          <a:schemeClr val="accent6"/>
        </a:fillRef>
        <a:effectRef idx="3">
          <a:schemeClr val="accent6"/>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b="1" i="1" kern="1200"/>
            <a:t>ACADEMIC AND EMPLOYABILITY SKILLS</a:t>
          </a:r>
        </a:p>
      </dsp:txBody>
      <dsp:txXfrm>
        <a:off x="2209212" y="1545578"/>
        <a:ext cx="1067975" cy="1044907"/>
      </dsp:txXfrm>
    </dsp:sp>
    <dsp:sp modelId="{15A52E67-15EB-4D96-B596-1A76D34C2524}">
      <dsp:nvSpPr>
        <dsp:cNvPr id="0" name=""/>
        <dsp:cNvSpPr/>
      </dsp:nvSpPr>
      <dsp:spPr>
        <a:xfrm rot="16200000">
          <a:off x="2709655" y="1128876"/>
          <a:ext cx="67089" cy="277802"/>
        </a:xfrm>
        <a:prstGeom prst="rightArrow">
          <a:avLst>
            <a:gd name="adj1" fmla="val 60000"/>
            <a:gd name="adj2" fmla="val 50000"/>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719719" y="1194500"/>
        <a:ext cx="46962" cy="166682"/>
      </dsp:txXfrm>
    </dsp:sp>
    <dsp:sp modelId="{7863795E-BE0B-40F3-9185-4E1EDA7F7D76}">
      <dsp:nvSpPr>
        <dsp:cNvPr id="0" name=""/>
        <dsp:cNvSpPr/>
      </dsp:nvSpPr>
      <dsp:spPr>
        <a:xfrm>
          <a:off x="2143166" y="2520"/>
          <a:ext cx="1200066" cy="1200066"/>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1" kern="1200"/>
            <a:t>Communication</a:t>
          </a:r>
        </a:p>
      </dsp:txBody>
      <dsp:txXfrm>
        <a:off x="2318912" y="178266"/>
        <a:ext cx="848574" cy="848574"/>
      </dsp:txXfrm>
    </dsp:sp>
    <dsp:sp modelId="{03DFB3CE-23E8-47CA-B48F-7AB8E3A9FC18}">
      <dsp:nvSpPr>
        <dsp:cNvPr id="0" name=""/>
        <dsp:cNvSpPr/>
      </dsp:nvSpPr>
      <dsp:spPr>
        <a:xfrm>
          <a:off x="3536676" y="1929131"/>
          <a:ext cx="92277" cy="277802"/>
        </a:xfrm>
        <a:prstGeom prst="rightArrow">
          <a:avLst>
            <a:gd name="adj1" fmla="val 60000"/>
            <a:gd name="adj2" fmla="val 50000"/>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3536676" y="1984691"/>
        <a:ext cx="64594" cy="166682"/>
      </dsp:txXfrm>
    </dsp:sp>
    <dsp:sp modelId="{99B1A41C-2280-4BB0-A38A-9BBE4DE67CF1}">
      <dsp:nvSpPr>
        <dsp:cNvPr id="0" name=""/>
        <dsp:cNvSpPr/>
      </dsp:nvSpPr>
      <dsp:spPr>
        <a:xfrm>
          <a:off x="3672481" y="1467999"/>
          <a:ext cx="1200066" cy="1200066"/>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1" kern="1200"/>
            <a:t>Team-working</a:t>
          </a:r>
        </a:p>
      </dsp:txBody>
      <dsp:txXfrm>
        <a:off x="3848227" y="1643745"/>
        <a:ext cx="848574" cy="848574"/>
      </dsp:txXfrm>
    </dsp:sp>
    <dsp:sp modelId="{4975EA51-8721-49A2-AAF0-DF1111B82F00}">
      <dsp:nvSpPr>
        <dsp:cNvPr id="0" name=""/>
        <dsp:cNvSpPr/>
      </dsp:nvSpPr>
      <dsp:spPr>
        <a:xfrm rot="5400000">
          <a:off x="2709655" y="2729386"/>
          <a:ext cx="67089" cy="277802"/>
        </a:xfrm>
        <a:prstGeom prst="rightArrow">
          <a:avLst>
            <a:gd name="adj1" fmla="val 60000"/>
            <a:gd name="adj2" fmla="val 50000"/>
          </a:avLst>
        </a:prstGeom>
        <a:solidFill>
          <a:schemeClr val="accent4">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719719" y="2774883"/>
        <a:ext cx="46962" cy="166682"/>
      </dsp:txXfrm>
    </dsp:sp>
    <dsp:sp modelId="{7DE4A210-D65E-4108-8EFE-25C4CF5672DB}">
      <dsp:nvSpPr>
        <dsp:cNvPr id="0" name=""/>
        <dsp:cNvSpPr/>
      </dsp:nvSpPr>
      <dsp:spPr>
        <a:xfrm>
          <a:off x="2143166" y="2933478"/>
          <a:ext cx="1200066" cy="1200066"/>
        </a:xfrm>
        <a:prstGeom prst="ellipse">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1" kern="1200"/>
            <a:t>Technical skills</a:t>
          </a:r>
        </a:p>
      </dsp:txBody>
      <dsp:txXfrm>
        <a:off x="2318912" y="3109224"/>
        <a:ext cx="848574" cy="848574"/>
      </dsp:txXfrm>
    </dsp:sp>
    <dsp:sp modelId="{814C01CC-200B-474A-AF4F-1D20CA98F831}">
      <dsp:nvSpPr>
        <dsp:cNvPr id="0" name=""/>
        <dsp:cNvSpPr/>
      </dsp:nvSpPr>
      <dsp:spPr>
        <a:xfrm rot="10800000">
          <a:off x="1849465" y="1929131"/>
          <a:ext cx="97916" cy="277802"/>
        </a:xfrm>
        <a:prstGeom prst="rightArrow">
          <a:avLst>
            <a:gd name="adj1" fmla="val 60000"/>
            <a:gd name="adj2" fmla="val 50000"/>
          </a:avLst>
        </a:prstGeom>
        <a:solidFill>
          <a:schemeClr val="accent5">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878840" y="1984691"/>
        <a:ext cx="68541" cy="166682"/>
      </dsp:txXfrm>
    </dsp:sp>
    <dsp:sp modelId="{DA861317-A7A7-4125-A415-B04A02AED3DB}">
      <dsp:nvSpPr>
        <dsp:cNvPr id="0" name=""/>
        <dsp:cNvSpPr/>
      </dsp:nvSpPr>
      <dsp:spPr>
        <a:xfrm>
          <a:off x="603212" y="1467999"/>
          <a:ext cx="1200066" cy="1200066"/>
        </a:xfrm>
        <a:prstGeom prst="ellipse">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i="1" u="none" kern="1200"/>
            <a:t>Willingness to learn new skills</a:t>
          </a:r>
        </a:p>
      </dsp:txBody>
      <dsp:txXfrm>
        <a:off x="778958" y="1643745"/>
        <a:ext cx="848574" cy="84857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425C0FE-46FC-4B2B-A09E-F355AD3AD684}">
      <dsp:nvSpPr>
        <dsp:cNvPr id="0" name=""/>
        <dsp:cNvSpPr/>
      </dsp:nvSpPr>
      <dsp:spPr>
        <a:xfrm>
          <a:off x="2657474" y="1484714"/>
          <a:ext cx="1885950" cy="448770"/>
        </a:xfrm>
        <a:custGeom>
          <a:avLst/>
          <a:gdLst/>
          <a:ahLst/>
          <a:cxnLst/>
          <a:rect l="0" t="0" r="0" b="0"/>
          <a:pathLst>
            <a:path>
              <a:moveTo>
                <a:pt x="0" y="0"/>
              </a:moveTo>
              <a:lnTo>
                <a:pt x="0" y="305823"/>
              </a:lnTo>
              <a:lnTo>
                <a:pt x="1885950" y="305823"/>
              </a:lnTo>
              <a:lnTo>
                <a:pt x="1885950" y="448770"/>
              </a:lnTo>
            </a:path>
          </a:pathLst>
        </a:custGeom>
        <a:noFill/>
        <a:ln w="38100" cap="flat" cmpd="sng" algn="ctr">
          <a:solidFill>
            <a:schemeClr val="dk1"/>
          </a:solidFill>
          <a:prstDash val="solid"/>
        </a:ln>
        <a:effectLst>
          <a:outerShdw blurRad="40000" dist="23000" dir="5400000" rotWithShape="0">
            <a:srgbClr val="000000">
              <a:alpha val="35000"/>
            </a:srgbClr>
          </a:outerShdw>
        </a:effectLst>
      </dsp:spPr>
      <dsp:style>
        <a:lnRef idx="3">
          <a:schemeClr val="dk1"/>
        </a:lnRef>
        <a:fillRef idx="0">
          <a:schemeClr val="dk1"/>
        </a:fillRef>
        <a:effectRef idx="2">
          <a:schemeClr val="dk1"/>
        </a:effectRef>
        <a:fontRef idx="minor">
          <a:schemeClr val="tx1"/>
        </a:fontRef>
      </dsp:style>
    </dsp:sp>
    <dsp:sp modelId="{3F0D4971-E258-4857-B309-5DAAE0B24AC1}">
      <dsp:nvSpPr>
        <dsp:cNvPr id="0" name=""/>
        <dsp:cNvSpPr/>
      </dsp:nvSpPr>
      <dsp:spPr>
        <a:xfrm>
          <a:off x="2611755" y="1484714"/>
          <a:ext cx="91440" cy="448770"/>
        </a:xfrm>
        <a:custGeom>
          <a:avLst/>
          <a:gdLst/>
          <a:ahLst/>
          <a:cxnLst/>
          <a:rect l="0" t="0" r="0" b="0"/>
          <a:pathLst>
            <a:path>
              <a:moveTo>
                <a:pt x="45720" y="0"/>
              </a:moveTo>
              <a:lnTo>
                <a:pt x="45720" y="448770"/>
              </a:lnTo>
            </a:path>
          </a:pathLst>
        </a:custGeom>
        <a:noFill/>
        <a:ln w="9525" cap="flat" cmpd="sng" algn="ctr">
          <a:solidFill>
            <a:schemeClr val="accent2">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68540EF-BB17-42C4-88DE-2B7400DC9C7A}">
      <dsp:nvSpPr>
        <dsp:cNvPr id="0" name=""/>
        <dsp:cNvSpPr/>
      </dsp:nvSpPr>
      <dsp:spPr>
        <a:xfrm>
          <a:off x="771525" y="1484714"/>
          <a:ext cx="1885949" cy="448770"/>
        </a:xfrm>
        <a:custGeom>
          <a:avLst/>
          <a:gdLst/>
          <a:ahLst/>
          <a:cxnLst/>
          <a:rect l="0" t="0" r="0" b="0"/>
          <a:pathLst>
            <a:path>
              <a:moveTo>
                <a:pt x="1885949" y="0"/>
              </a:moveTo>
              <a:lnTo>
                <a:pt x="1885949" y="305823"/>
              </a:lnTo>
              <a:lnTo>
                <a:pt x="0" y="305823"/>
              </a:lnTo>
              <a:lnTo>
                <a:pt x="0" y="448770"/>
              </a:lnTo>
            </a:path>
          </a:pathLst>
        </a:custGeom>
        <a:noFill/>
        <a:ln w="38100" cap="flat" cmpd="sng" algn="ctr">
          <a:solidFill>
            <a:schemeClr val="dk1"/>
          </a:solidFill>
          <a:prstDash val="solid"/>
        </a:ln>
        <a:effectLst>
          <a:outerShdw blurRad="40000" dist="23000" dir="5400000" rotWithShape="0">
            <a:srgbClr val="000000">
              <a:alpha val="35000"/>
            </a:srgbClr>
          </a:outerShdw>
        </a:effectLst>
      </dsp:spPr>
      <dsp:style>
        <a:lnRef idx="3">
          <a:schemeClr val="dk1"/>
        </a:lnRef>
        <a:fillRef idx="0">
          <a:schemeClr val="dk1"/>
        </a:fillRef>
        <a:effectRef idx="2">
          <a:schemeClr val="dk1"/>
        </a:effectRef>
        <a:fontRef idx="minor">
          <a:schemeClr val="tx1"/>
        </a:fontRef>
      </dsp:style>
    </dsp:sp>
    <dsp:sp modelId="{8F9698D4-E285-473F-A6F3-AEF6B80AEF32}">
      <dsp:nvSpPr>
        <dsp:cNvPr id="0" name=""/>
        <dsp:cNvSpPr/>
      </dsp:nvSpPr>
      <dsp:spPr>
        <a:xfrm>
          <a:off x="1274578" y="124201"/>
          <a:ext cx="2765793" cy="1360513"/>
        </a:xfrm>
        <a:prstGeom prst="roundRect">
          <a:avLst>
            <a:gd name="adj" fmla="val 10000"/>
          </a:avLst>
        </a:prstGeom>
        <a:solidFill>
          <a:srgbClr val="002060"/>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E10E4FDE-76FE-4B52-964D-C49618FA5BA3}">
      <dsp:nvSpPr>
        <dsp:cNvPr id="0" name=""/>
        <dsp:cNvSpPr/>
      </dsp:nvSpPr>
      <dsp:spPr>
        <a:xfrm>
          <a:off x="1446028" y="287078"/>
          <a:ext cx="2765793" cy="1360513"/>
        </a:xfrm>
        <a:prstGeom prst="roundRect">
          <a:avLst>
            <a:gd name="adj" fmla="val 10000"/>
          </a:avLst>
        </a:prstGeom>
        <a:solidFill>
          <a:schemeClr val="lt1">
            <a:alpha val="90000"/>
            <a:hueOff val="0"/>
            <a:satOff val="0"/>
            <a:lumOff val="0"/>
            <a:alphaOff val="0"/>
          </a:schemeClr>
        </a:solidFill>
        <a:ln w="9525" cap="flat" cmpd="sng" algn="ctr">
          <a:solidFill>
            <a:srgbClr val="002060"/>
          </a:solidFill>
          <a:prstDash val="solid"/>
        </a:ln>
        <a:effectLst/>
      </dsp:spPr>
      <dsp:style>
        <a:lnRef idx="1">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b="1" i="1" kern="1200"/>
            <a:t>ROLE OF EMPLOYABILITY SKILLS IN PRACTICAL HEALTHCARE SETTING</a:t>
          </a:r>
        </a:p>
      </dsp:txBody>
      <dsp:txXfrm>
        <a:off x="1485876" y="326926"/>
        <a:ext cx="2686097" cy="1280817"/>
      </dsp:txXfrm>
    </dsp:sp>
    <dsp:sp modelId="{A04BEEE0-FE36-421D-B227-4CDB4892D777}">
      <dsp:nvSpPr>
        <dsp:cNvPr id="0" name=""/>
        <dsp:cNvSpPr/>
      </dsp:nvSpPr>
      <dsp:spPr>
        <a:xfrm>
          <a:off x="0" y="1933484"/>
          <a:ext cx="1543049" cy="979836"/>
        </a:xfrm>
        <a:prstGeom prst="roundRect">
          <a:avLst>
            <a:gd name="adj" fmla="val 10000"/>
          </a:avLst>
        </a:prstGeom>
        <a:solidFill>
          <a:schemeClr val="accent5"/>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01227E57-D882-4D9B-9C5F-F1F347E936D5}">
      <dsp:nvSpPr>
        <dsp:cNvPr id="0" name=""/>
        <dsp:cNvSpPr/>
      </dsp:nvSpPr>
      <dsp:spPr>
        <a:xfrm>
          <a:off x="171450" y="2096362"/>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5"/>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i="1" kern="1200"/>
            <a:t>Improving quality of care administered</a:t>
          </a:r>
        </a:p>
      </dsp:txBody>
      <dsp:txXfrm>
        <a:off x="200148" y="2125060"/>
        <a:ext cx="1485653" cy="922440"/>
      </dsp:txXfrm>
    </dsp:sp>
    <dsp:sp modelId="{5101C27E-EB42-4B97-A2A8-EEFAA7B6FA8A}">
      <dsp:nvSpPr>
        <dsp:cNvPr id="0" name=""/>
        <dsp:cNvSpPr/>
      </dsp:nvSpPr>
      <dsp:spPr>
        <a:xfrm>
          <a:off x="1885950" y="1933484"/>
          <a:ext cx="1543049" cy="979836"/>
        </a:xfrm>
        <a:prstGeom prst="roundRect">
          <a:avLst>
            <a:gd name="adj" fmla="val 10000"/>
          </a:avLst>
        </a:prstGeom>
        <a:solidFill>
          <a:schemeClr val="accent6"/>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B9CFCE5B-802A-4EBA-92E2-B326D9B2F17E}">
      <dsp:nvSpPr>
        <dsp:cNvPr id="0" name=""/>
        <dsp:cNvSpPr/>
      </dsp:nvSpPr>
      <dsp:spPr>
        <a:xfrm>
          <a:off x="2057400" y="2096362"/>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6"/>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i="1" kern="1200"/>
            <a:t>Facilitating future growth</a:t>
          </a:r>
        </a:p>
      </dsp:txBody>
      <dsp:txXfrm>
        <a:off x="2086098" y="2125060"/>
        <a:ext cx="1485653" cy="922440"/>
      </dsp:txXfrm>
    </dsp:sp>
    <dsp:sp modelId="{36BA6831-EDC9-4CE5-B850-2623FAD64444}">
      <dsp:nvSpPr>
        <dsp:cNvPr id="0" name=""/>
        <dsp:cNvSpPr/>
      </dsp:nvSpPr>
      <dsp:spPr>
        <a:xfrm>
          <a:off x="3771900" y="1933484"/>
          <a:ext cx="1543049" cy="979836"/>
        </a:xfrm>
        <a:prstGeom prst="roundRect">
          <a:avLst>
            <a:gd name="adj" fmla="val 10000"/>
          </a:avLst>
        </a:prstGeom>
        <a:solidFill>
          <a:schemeClr val="accent3"/>
        </a:soli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sp>
    <dsp:sp modelId="{14D495EC-704C-4DFA-A7A9-F6779BAC493E}">
      <dsp:nvSpPr>
        <dsp:cNvPr id="0" name=""/>
        <dsp:cNvSpPr/>
      </dsp:nvSpPr>
      <dsp:spPr>
        <a:xfrm>
          <a:off x="3943350" y="2096362"/>
          <a:ext cx="1543049" cy="979836"/>
        </a:xfrm>
        <a:prstGeom prst="roundRect">
          <a:avLst>
            <a:gd name="adj" fmla="val 10000"/>
          </a:avLst>
        </a:prstGeom>
        <a:solidFill>
          <a:schemeClr val="lt1">
            <a:alpha val="90000"/>
            <a:hueOff val="0"/>
            <a:satOff val="0"/>
            <a:lumOff val="0"/>
            <a:alphaOff val="0"/>
          </a:schemeClr>
        </a:solidFill>
        <a:ln w="9525" cap="flat" cmpd="sng" algn="ctr">
          <a:solidFill>
            <a:schemeClr val="accent3"/>
          </a:solidFill>
          <a:prstDash val="solid"/>
        </a:ln>
        <a:effectLst/>
      </dsp:spPr>
      <dsp:style>
        <a:lnRef idx="1">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i="1" kern="1200"/>
            <a:t>Learnign new skills making care more efficient</a:t>
          </a:r>
        </a:p>
      </dsp:txBody>
      <dsp:txXfrm>
        <a:off x="3972048" y="2125060"/>
        <a:ext cx="1485653" cy="922440"/>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E885015-6031-4D67-BA7F-BA0F72379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2803</Words>
  <Characters>15981</Characters>
  <Application>Microsoft Office Word</Application>
  <DocSecurity>0</DocSecurity>
  <Lines>133</Lines>
  <Paragraphs>37</Paragraphs>
  <ScaleCrop>false</ScaleCrop>
  <Company/>
  <LinksUpToDate>false</LinksUpToDate>
  <CharactersWithSpaces>18747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19124178</dc:creator>
  <cp:lastModifiedBy>Petar genchev</cp:lastModifiedBy>
  <cp:revision>3</cp:revision>
  <dcterms:created xsi:type="dcterms:W3CDTF">2020-01-01T13:17:00Z</dcterms:created>
  <dcterms:modified xsi:type="dcterms:W3CDTF">2020-01-01T13:21:00Z</dcterms:modified>
</cp:coreProperties>
</file>