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F2D779" w14:textId="77777777" w:rsidR="00BB5293" w:rsidRDefault="00BB5293" w:rsidP="00C75AC6">
      <w:pPr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kern w:val="0"/>
          <w:sz w:val="28"/>
          <w:szCs w:val="28"/>
          <w:lang w:eastAsia="en-GB"/>
          <w14:ligatures w14:val="none"/>
        </w:rPr>
      </w:pPr>
      <w:r>
        <w:rPr>
          <w:rFonts w:ascii="Arial" w:eastAsia="Times New Roman" w:hAnsi="Arial" w:cs="Arial"/>
          <w:b/>
          <w:bCs/>
          <w:kern w:val="0"/>
          <w:sz w:val="28"/>
          <w:szCs w:val="28"/>
          <w:lang w:eastAsia="en-GB"/>
          <w14:ligatures w14:val="none"/>
        </w:rPr>
        <w:t>Reflection Week 2</w:t>
      </w:r>
    </w:p>
    <w:p w14:paraId="7B1A3C06" w14:textId="79834AF0" w:rsidR="00C75AC6" w:rsidRPr="00C75AC6" w:rsidRDefault="00C75AC6" w:rsidP="00C75AC6">
      <w:pPr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kern w:val="0"/>
          <w:sz w:val="28"/>
          <w:szCs w:val="28"/>
          <w:lang w:eastAsia="en-GB"/>
          <w14:ligatures w14:val="none"/>
        </w:rPr>
      </w:pPr>
      <w:r w:rsidRPr="00C75AC6">
        <w:rPr>
          <w:rFonts w:ascii="Arial" w:eastAsia="Times New Roman" w:hAnsi="Arial" w:cs="Arial"/>
          <w:b/>
          <w:bCs/>
          <w:kern w:val="0"/>
          <w:sz w:val="28"/>
          <w:szCs w:val="28"/>
          <w:lang w:eastAsia="en-GB"/>
          <w14:ligatures w14:val="none"/>
        </w:rPr>
        <w:t>Reflective Essay –SWOT Analysis of My Personal Development</w:t>
      </w:r>
    </w:p>
    <w:p w14:paraId="387DAD4A" w14:textId="77777777" w:rsidR="00C75AC6" w:rsidRPr="00BB5293" w:rsidRDefault="00C75AC6" w:rsidP="00BB5293">
      <w:pPr>
        <w:spacing w:before="100" w:beforeAutospacing="1" w:after="100" w:afterAutospacing="1" w:line="360" w:lineRule="auto"/>
        <w:outlineLvl w:val="3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  <w:r w:rsidRPr="00BB5293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Introduction</w:t>
      </w:r>
    </w:p>
    <w:p w14:paraId="486DB424" w14:textId="4E8EB667" w:rsidR="00C75AC6" w:rsidRPr="00BB5293" w:rsidRDefault="00C75AC6" w:rsidP="00BB5293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BB5293">
        <w:rPr>
          <w:rFonts w:ascii="Arial" w:eastAsia="Times New Roman" w:hAnsi="Arial" w:cs="Arial"/>
          <w:kern w:val="0"/>
          <w:lang w:eastAsia="en-GB"/>
          <w14:ligatures w14:val="none"/>
        </w:rPr>
        <w:t>Self-awareness is the cornerstone of intellectual and professional evolution, crystalli</w:t>
      </w:r>
      <w:r w:rsidR="00BB5293">
        <w:rPr>
          <w:rFonts w:ascii="Arial" w:eastAsia="Times New Roman" w:hAnsi="Arial" w:cs="Arial"/>
          <w:kern w:val="0"/>
          <w:lang w:eastAsia="en-GB"/>
          <w14:ligatures w14:val="none"/>
        </w:rPr>
        <w:t>s</w:t>
      </w:r>
      <w:r w:rsidRPr="00BB5293">
        <w:rPr>
          <w:rFonts w:ascii="Arial" w:eastAsia="Times New Roman" w:hAnsi="Arial" w:cs="Arial"/>
          <w:kern w:val="0"/>
          <w:lang w:eastAsia="en-GB"/>
          <w14:ligatures w14:val="none"/>
        </w:rPr>
        <w:t>ing my ability to navigate challenges with precision and strategic foresight. As a Commander (ENTJ-A), my leadership is defined by decisiveness, adaptability, and an unwavering commitment to excellence. Through rigorous self-assessment, I have unearthed profound insights into my strengths, limitations, and avenues for advancement, enabling me to refine my trajectory with methodical precision. Morin (2011) asserts that self-awareness represents the capacity to actively identify, process, and stor</w:t>
      </w:r>
      <w:r w:rsidR="00BB5293">
        <w:rPr>
          <w:rFonts w:ascii="Arial" w:eastAsia="Times New Roman" w:hAnsi="Arial" w:cs="Arial"/>
          <w:kern w:val="0"/>
          <w:lang w:eastAsia="en-GB"/>
          <w14:ligatures w14:val="none"/>
        </w:rPr>
        <w:t>e</w:t>
      </w:r>
      <w:r w:rsidRPr="00BB5293">
        <w:rPr>
          <w:rFonts w:ascii="Arial" w:eastAsia="Times New Roman" w:hAnsi="Arial" w:cs="Arial"/>
          <w:kern w:val="0"/>
          <w:lang w:eastAsia="en-GB"/>
          <w14:ligatures w14:val="none"/>
        </w:rPr>
        <w:t xml:space="preserve"> information about </w:t>
      </w:r>
      <w:r w:rsidR="00BB5293">
        <w:rPr>
          <w:rFonts w:ascii="Arial" w:eastAsia="Times New Roman" w:hAnsi="Arial" w:cs="Arial"/>
          <w:kern w:val="0"/>
          <w:lang w:eastAsia="en-GB"/>
          <w14:ligatures w14:val="none"/>
        </w:rPr>
        <w:t>exploring personal narrative.</w:t>
      </w:r>
    </w:p>
    <w:p w14:paraId="33A4B520" w14:textId="19C71179" w:rsidR="00C75AC6" w:rsidRPr="00BB5293" w:rsidRDefault="00BB5293" w:rsidP="00BB5293">
      <w:pPr>
        <w:spacing w:before="100" w:beforeAutospacing="1" w:after="100" w:afterAutospacing="1" w:line="360" w:lineRule="auto"/>
        <w:outlineLvl w:val="3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Main Body</w:t>
      </w:r>
    </w:p>
    <w:p w14:paraId="50C5639E" w14:textId="4D1FB662" w:rsidR="00C75AC6" w:rsidRPr="00BB5293" w:rsidRDefault="00C75AC6" w:rsidP="00BB5293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BB5293">
        <w:rPr>
          <w:rFonts w:ascii="Arial" w:eastAsia="Times New Roman" w:hAnsi="Arial" w:cs="Arial"/>
          <w:kern w:val="0"/>
          <w:lang w:eastAsia="en-GB"/>
          <w14:ligatures w14:val="none"/>
        </w:rPr>
        <w:t>My strengths are deeply embedded in my strategic cognition, articulate communication, and self-awareness, allowing me to make calibrated decisions with confidence. As a visual learner</w:t>
      </w:r>
      <w:r w:rsidR="00BB5293">
        <w:rPr>
          <w:rFonts w:ascii="Arial" w:eastAsia="Times New Roman" w:hAnsi="Arial" w:cs="Arial"/>
          <w:kern w:val="0"/>
          <w:lang w:eastAsia="en-GB"/>
          <w14:ligatures w14:val="none"/>
        </w:rPr>
        <w:t xml:space="preserve"> (</w:t>
      </w:r>
      <w:r w:rsidR="00BB5293" w:rsidRPr="00BB5293">
        <w:rPr>
          <w:rFonts w:ascii="Arial" w:eastAsia="Times New Roman" w:hAnsi="Arial" w:cs="Arial"/>
          <w:kern w:val="0"/>
          <w:lang w:eastAsia="en-GB"/>
          <w14:ligatures w14:val="none"/>
        </w:rPr>
        <w:t>Weber,</w:t>
      </w:r>
      <w:r w:rsidR="00BB5293">
        <w:rPr>
          <w:rFonts w:ascii="Arial" w:eastAsia="Times New Roman" w:hAnsi="Arial" w:cs="Arial"/>
          <w:kern w:val="0"/>
          <w:lang w:eastAsia="en-GB"/>
          <w14:ligatures w14:val="none"/>
        </w:rPr>
        <w:t xml:space="preserve"> 2</w:t>
      </w:r>
      <w:r w:rsidR="00BB5293" w:rsidRPr="00BB5293">
        <w:rPr>
          <w:rFonts w:ascii="Arial" w:eastAsia="Times New Roman" w:hAnsi="Arial" w:cs="Arial"/>
          <w:kern w:val="0"/>
          <w:lang w:eastAsia="en-GB"/>
          <w14:ligatures w14:val="none"/>
        </w:rPr>
        <w:t>023)</w:t>
      </w:r>
      <w:r w:rsidRPr="00BB5293">
        <w:rPr>
          <w:rFonts w:ascii="Arial" w:eastAsia="Times New Roman" w:hAnsi="Arial" w:cs="Arial"/>
          <w:kern w:val="0"/>
          <w:lang w:eastAsia="en-GB"/>
          <w14:ligatures w14:val="none"/>
        </w:rPr>
        <w:t>, I assimilate complex information through structured analysis, reinforcing my adaptability and goal-oriented mindset. My employability readiness (83%) substantiates my ability to craft compelling CVs and navigate career progression with tactical acumen.</w:t>
      </w:r>
    </w:p>
    <w:p w14:paraId="3F8B79D1" w14:textId="17B0CEA8" w:rsidR="00C75AC6" w:rsidRPr="00BB5293" w:rsidRDefault="00C75AC6" w:rsidP="00BB5293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BB5293">
        <w:rPr>
          <w:rFonts w:ascii="Arial" w:eastAsia="Times New Roman" w:hAnsi="Arial" w:cs="Arial"/>
          <w:kern w:val="0"/>
          <w:lang w:eastAsia="en-GB"/>
          <w14:ligatures w14:val="none"/>
        </w:rPr>
        <w:t>Conversely, my weaknesses underscore areas requiring refinement. A proclivity for over analysis, reluctance to delegate, and impatience with inefficiency necessitate a recalibration of my leadership approach. Additionally, enhancing interview techniques and workplace adaptability will fortify my professional dexterity.</w:t>
      </w:r>
    </w:p>
    <w:p w14:paraId="64CD2376" w14:textId="73AB804E" w:rsidR="00C75AC6" w:rsidRPr="00BB5293" w:rsidRDefault="00C75AC6" w:rsidP="00BB5293">
      <w:pPr>
        <w:spacing w:before="100" w:beforeAutospacing="1" w:after="100" w:afterAutospacing="1" w:line="360" w:lineRule="auto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  <w:r w:rsidRPr="00BB5293">
        <w:rPr>
          <w:rFonts w:ascii="Arial" w:eastAsia="Times New Roman" w:hAnsi="Arial" w:cs="Arial"/>
          <w:kern w:val="0"/>
          <w:lang w:eastAsia="en-GB"/>
          <w14:ligatures w14:val="none"/>
        </w:rPr>
        <w:t xml:space="preserve">The opportunities before me are expansive—augmenting emotional intelligence, refining soft skills, and expanding my professional network will accelerate my career trajectory. </w:t>
      </w:r>
      <w:r w:rsidR="001C22CC">
        <w:rPr>
          <w:rFonts w:ascii="Arial" w:eastAsia="Times New Roman" w:hAnsi="Arial" w:cs="Arial"/>
          <w:kern w:val="0"/>
          <w:lang w:eastAsia="en-GB"/>
          <w14:ligatures w14:val="none"/>
        </w:rPr>
        <w:t xml:space="preserve">Applying </w:t>
      </w:r>
      <w:r w:rsidRPr="00BB5293">
        <w:rPr>
          <w:rFonts w:ascii="Arial" w:eastAsia="Times New Roman" w:hAnsi="Arial" w:cs="Arial"/>
          <w:kern w:val="0"/>
          <w:lang w:eastAsia="en-GB"/>
          <w14:ligatures w14:val="none"/>
        </w:rPr>
        <w:t>mentorship and S</w:t>
      </w:r>
      <w:r w:rsidR="001C22CC">
        <w:rPr>
          <w:rFonts w:ascii="Arial" w:eastAsia="Times New Roman" w:hAnsi="Arial" w:cs="Arial"/>
          <w:kern w:val="0"/>
          <w:lang w:eastAsia="en-GB"/>
          <w14:ligatures w14:val="none"/>
        </w:rPr>
        <w:t>WOT analysis (</w:t>
      </w:r>
      <w:r w:rsidR="00231E31" w:rsidRPr="00231E31">
        <w:rPr>
          <w:rFonts w:ascii="Arial" w:eastAsia="Times New Roman" w:hAnsi="Arial" w:cs="Arial"/>
          <w:kern w:val="0"/>
          <w:lang w:eastAsia="en-GB"/>
          <w14:ligatures w14:val="none"/>
        </w:rPr>
        <w:t>CIPD</w:t>
      </w:r>
      <w:r w:rsidR="00231E31">
        <w:rPr>
          <w:rFonts w:ascii="Arial" w:eastAsia="Times New Roman" w:hAnsi="Arial" w:cs="Arial"/>
          <w:kern w:val="0"/>
          <w:lang w:eastAsia="en-GB"/>
          <w14:ligatures w14:val="none"/>
        </w:rPr>
        <w:t xml:space="preserve">, </w:t>
      </w:r>
      <w:r w:rsidR="00231E31" w:rsidRPr="00231E31">
        <w:rPr>
          <w:rFonts w:ascii="Arial" w:eastAsia="Times New Roman" w:hAnsi="Arial" w:cs="Arial"/>
          <w:kern w:val="0"/>
          <w:lang w:eastAsia="en-GB"/>
          <w14:ligatures w14:val="none"/>
        </w:rPr>
        <w:t>2025</w:t>
      </w:r>
      <w:r w:rsidR="001C22CC">
        <w:rPr>
          <w:rFonts w:ascii="Arial" w:eastAsia="Times New Roman" w:hAnsi="Arial" w:cs="Arial"/>
          <w:kern w:val="0"/>
          <w:lang w:eastAsia="en-GB"/>
          <w14:ligatures w14:val="none"/>
        </w:rPr>
        <w:t>)</w:t>
      </w:r>
      <w:r w:rsidR="00231E31">
        <w:rPr>
          <w:rFonts w:ascii="Arial" w:eastAsia="Times New Roman" w:hAnsi="Arial" w:cs="Arial"/>
          <w:kern w:val="0"/>
          <w:lang w:eastAsia="en-GB"/>
          <w14:ligatures w14:val="none"/>
        </w:rPr>
        <w:t>,</w:t>
      </w:r>
      <w:r w:rsidRPr="00BB5293">
        <w:rPr>
          <w:rFonts w:ascii="Arial" w:eastAsia="Times New Roman" w:hAnsi="Arial" w:cs="Arial"/>
          <w:kern w:val="0"/>
          <w:lang w:eastAsia="en-GB"/>
          <w14:ligatures w14:val="none"/>
        </w:rPr>
        <w:t xml:space="preserve"> will ensure my growth remains structured and measurable</w:t>
      </w:r>
      <w:r w:rsidRPr="00BB5293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.</w:t>
      </w:r>
    </w:p>
    <w:p w14:paraId="2CD64C39" w14:textId="7EACDB47" w:rsidR="00C75AC6" w:rsidRPr="00BB5293" w:rsidRDefault="00C75AC6" w:rsidP="00BB5293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C22CC">
        <w:rPr>
          <w:rFonts w:ascii="Arial" w:eastAsia="Times New Roman" w:hAnsi="Arial" w:cs="Arial"/>
          <w:kern w:val="0"/>
          <w:lang w:eastAsia="en-GB"/>
          <w14:ligatures w14:val="none"/>
        </w:rPr>
        <w:t xml:space="preserve">Yet, threats persist—rigidity in adapting to ambiguity, work-life balance challenges, and the competitive landscape of the job market demand resilience and proactive recalibration. </w:t>
      </w:r>
    </w:p>
    <w:p w14:paraId="3436DED4" w14:textId="77777777" w:rsidR="00C75AC6" w:rsidRPr="00BB5293" w:rsidRDefault="00C75AC6" w:rsidP="00BB5293">
      <w:pPr>
        <w:spacing w:before="100" w:beforeAutospacing="1" w:after="100" w:afterAutospacing="1" w:line="360" w:lineRule="auto"/>
        <w:outlineLvl w:val="3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  <w:r w:rsidRPr="00BB5293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lastRenderedPageBreak/>
        <w:t>Conclusion</w:t>
      </w:r>
    </w:p>
    <w:p w14:paraId="380F46BB" w14:textId="0A898518" w:rsidR="00C75AC6" w:rsidRPr="001C22CC" w:rsidRDefault="00C75AC6" w:rsidP="00BB5293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C22CC">
        <w:rPr>
          <w:rFonts w:ascii="Arial" w:eastAsia="Times New Roman" w:hAnsi="Arial" w:cs="Arial"/>
          <w:kern w:val="0"/>
          <w:lang w:eastAsia="en-GB"/>
          <w14:ligatures w14:val="none"/>
        </w:rPr>
        <w:t xml:space="preserve">By refining my leadership paradigm, enhancing workplace adaptability, and </w:t>
      </w:r>
      <w:r w:rsidR="001C22CC">
        <w:rPr>
          <w:rFonts w:ascii="Arial" w:eastAsia="Times New Roman" w:hAnsi="Arial" w:cs="Arial"/>
          <w:kern w:val="0"/>
          <w:lang w:eastAsia="en-GB"/>
          <w14:ligatures w14:val="none"/>
        </w:rPr>
        <w:t xml:space="preserve">maximising </w:t>
      </w:r>
      <w:r w:rsidRPr="001C22CC">
        <w:rPr>
          <w:rFonts w:ascii="Arial" w:eastAsia="Times New Roman" w:hAnsi="Arial" w:cs="Arial"/>
          <w:kern w:val="0"/>
          <w:lang w:eastAsia="en-GB"/>
          <w14:ligatures w14:val="none"/>
        </w:rPr>
        <w:t>strategic opportunities, I will continue evolving both personally and professionally. Understanding my SWOT analysis empowers me to embrace complexity, ensuring I maximi</w:t>
      </w:r>
      <w:r w:rsidR="001C22CC">
        <w:rPr>
          <w:rFonts w:ascii="Arial" w:eastAsia="Times New Roman" w:hAnsi="Arial" w:cs="Arial"/>
          <w:kern w:val="0"/>
          <w:lang w:eastAsia="en-GB"/>
          <w14:ligatures w14:val="none"/>
        </w:rPr>
        <w:t>s</w:t>
      </w:r>
      <w:r w:rsidRPr="001C22CC">
        <w:rPr>
          <w:rFonts w:ascii="Arial" w:eastAsia="Times New Roman" w:hAnsi="Arial" w:cs="Arial"/>
          <w:kern w:val="0"/>
          <w:lang w:eastAsia="en-GB"/>
          <w14:ligatures w14:val="none"/>
        </w:rPr>
        <w:t>e my potential and secure long-term success through methodical self-reflection and intellectual agility</w:t>
      </w:r>
      <w:r w:rsidR="00231E31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231E31">
        <w:rPr>
          <w:rFonts w:ascii="Arial" w:eastAsia="Times New Roman" w:hAnsi="Arial" w:cs="Arial"/>
          <w:kern w:val="0"/>
          <w:lang w:eastAsia="en-GB"/>
          <w14:ligatures w14:val="none"/>
        </w:rPr>
        <w:t>(</w:t>
      </w:r>
      <w:r w:rsidR="00231E31" w:rsidRPr="00231E31">
        <w:rPr>
          <w:rFonts w:ascii="Arial" w:eastAsia="Times New Roman" w:hAnsi="Arial" w:cs="Arial"/>
          <w:kern w:val="0"/>
          <w:lang w:eastAsia="en-GB"/>
          <w14:ligatures w14:val="none"/>
        </w:rPr>
        <w:t>CIPD</w:t>
      </w:r>
      <w:r w:rsidR="00231E31">
        <w:rPr>
          <w:rFonts w:ascii="Arial" w:eastAsia="Times New Roman" w:hAnsi="Arial" w:cs="Arial"/>
          <w:kern w:val="0"/>
          <w:lang w:eastAsia="en-GB"/>
          <w14:ligatures w14:val="none"/>
        </w:rPr>
        <w:t xml:space="preserve">, </w:t>
      </w:r>
      <w:r w:rsidR="00231E31" w:rsidRPr="00231E31">
        <w:rPr>
          <w:rFonts w:ascii="Arial" w:eastAsia="Times New Roman" w:hAnsi="Arial" w:cs="Arial"/>
          <w:kern w:val="0"/>
          <w:lang w:eastAsia="en-GB"/>
          <w14:ligatures w14:val="none"/>
        </w:rPr>
        <w:t>2025</w:t>
      </w:r>
      <w:r w:rsidR="00231E31">
        <w:rPr>
          <w:rFonts w:ascii="Arial" w:eastAsia="Times New Roman" w:hAnsi="Arial" w:cs="Arial"/>
          <w:kern w:val="0"/>
          <w:lang w:eastAsia="en-GB"/>
          <w14:ligatures w14:val="none"/>
        </w:rPr>
        <w:t>)</w:t>
      </w:r>
      <w:r w:rsidRPr="001C22CC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</w:p>
    <w:p w14:paraId="3D1933FF" w14:textId="083A3327" w:rsidR="00C75AC6" w:rsidRDefault="00C75AC6" w:rsidP="00BB5293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  <w:r w:rsidRPr="00BB5293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Reference</w:t>
      </w:r>
      <w:r w:rsidR="00BB5293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 xml:space="preserve"> List</w:t>
      </w:r>
    </w:p>
    <w:p w14:paraId="11A8B83F" w14:textId="12FCEC16" w:rsidR="00115569" w:rsidRPr="00231E31" w:rsidRDefault="00115569" w:rsidP="00BB5293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231E31">
        <w:rPr>
          <w:rFonts w:ascii="Arial" w:eastAsia="Times New Roman" w:hAnsi="Arial" w:cs="Arial"/>
          <w:kern w:val="0"/>
          <w:lang w:eastAsia="en-GB"/>
          <w14:ligatures w14:val="none"/>
        </w:rPr>
        <w:t xml:space="preserve">CIPD (2025) </w:t>
      </w:r>
      <w:r w:rsidR="00231E31" w:rsidRPr="00231E31">
        <w:rPr>
          <w:rFonts w:ascii="Arial" w:eastAsia="Times New Roman" w:hAnsi="Arial" w:cs="Arial"/>
          <w:kern w:val="0"/>
          <w:lang w:eastAsia="en-GB"/>
          <w14:ligatures w14:val="none"/>
        </w:rPr>
        <w:t xml:space="preserve">SWOT analysis. </w:t>
      </w:r>
      <w:r w:rsidRPr="00231E31">
        <w:rPr>
          <w:rFonts w:ascii="Arial" w:eastAsia="Times New Roman" w:hAnsi="Arial" w:cs="Arial"/>
          <w:kern w:val="0"/>
          <w:lang w:eastAsia="en-GB"/>
          <w14:ligatures w14:val="none"/>
        </w:rPr>
        <w:t xml:space="preserve">Available at: </w:t>
      </w:r>
      <w:hyperlink r:id="rId4" w:history="1">
        <w:r w:rsidRPr="00231E31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https://www.cipd.org/uk/knowledge/factsheets/swot-analysis-factsheet/#:~:text=A%20SWOT%20analysis%20is%20a,environment%20in%20which%20it%20operates</w:t>
        </w:r>
      </w:hyperlink>
      <w:r w:rsidRPr="00231E31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  <w:r w:rsidRPr="00231E31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BB5293">
        <w:rPr>
          <w:rFonts w:ascii="Arial" w:eastAsia="Times New Roman" w:hAnsi="Arial" w:cs="Arial"/>
          <w:kern w:val="0"/>
          <w:lang w:eastAsia="en-GB"/>
          <w14:ligatures w14:val="none"/>
        </w:rPr>
        <w:t>(Accessed</w:t>
      </w:r>
      <w:r w:rsidRPr="00231E31">
        <w:rPr>
          <w:rFonts w:ascii="Arial" w:eastAsia="Times New Roman" w:hAnsi="Arial" w:cs="Arial"/>
          <w:kern w:val="0"/>
          <w:lang w:eastAsia="en-GB"/>
          <w14:ligatures w14:val="none"/>
        </w:rPr>
        <w:t>:</w:t>
      </w:r>
      <w:r w:rsidRPr="00BB5293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231E31">
        <w:rPr>
          <w:rFonts w:ascii="Arial" w:eastAsia="Times New Roman" w:hAnsi="Arial" w:cs="Arial"/>
          <w:kern w:val="0"/>
          <w:lang w:eastAsia="en-GB"/>
          <w14:ligatures w14:val="none"/>
        </w:rPr>
        <w:t xml:space="preserve">27 May </w:t>
      </w:r>
      <w:r w:rsidRPr="00BB5293">
        <w:rPr>
          <w:rFonts w:ascii="Arial" w:eastAsia="Times New Roman" w:hAnsi="Arial" w:cs="Arial"/>
          <w:kern w:val="0"/>
          <w:lang w:eastAsia="en-GB"/>
          <w14:ligatures w14:val="none"/>
        </w:rPr>
        <w:t>202</w:t>
      </w:r>
      <w:r w:rsidRPr="00231E31">
        <w:rPr>
          <w:rFonts w:ascii="Arial" w:eastAsia="Times New Roman" w:hAnsi="Arial" w:cs="Arial"/>
          <w:kern w:val="0"/>
          <w:lang w:eastAsia="en-GB"/>
          <w14:ligatures w14:val="none"/>
        </w:rPr>
        <w:t>5</w:t>
      </w:r>
      <w:r w:rsidRPr="00BB5293">
        <w:rPr>
          <w:rFonts w:ascii="Arial" w:eastAsia="Times New Roman" w:hAnsi="Arial" w:cs="Arial"/>
          <w:kern w:val="0"/>
          <w:lang w:eastAsia="en-GB"/>
          <w14:ligatures w14:val="none"/>
        </w:rPr>
        <w:t>)</w:t>
      </w:r>
      <w:r w:rsidRPr="00231E31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</w:p>
    <w:p w14:paraId="0AECA318" w14:textId="68372216" w:rsidR="00C75AC6" w:rsidRDefault="00C75AC6" w:rsidP="00BB5293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BB5293">
        <w:rPr>
          <w:rFonts w:ascii="Arial" w:eastAsia="Times New Roman" w:hAnsi="Arial" w:cs="Arial"/>
          <w:kern w:val="0"/>
          <w:lang w:eastAsia="en-GB"/>
          <w14:ligatures w14:val="none"/>
        </w:rPr>
        <w:t xml:space="preserve">Morin, A. (2011) </w:t>
      </w:r>
      <w:r w:rsidR="00BB5293">
        <w:rPr>
          <w:rFonts w:ascii="Arial" w:eastAsia="Times New Roman" w:hAnsi="Arial" w:cs="Arial"/>
          <w:kern w:val="0"/>
          <w:lang w:eastAsia="en-GB"/>
          <w14:ligatures w14:val="none"/>
        </w:rPr>
        <w:t>‘</w:t>
      </w:r>
      <w:r w:rsidRPr="00BB5293">
        <w:rPr>
          <w:rFonts w:ascii="Arial" w:eastAsia="Times New Roman" w:hAnsi="Arial" w:cs="Arial"/>
          <w:kern w:val="0"/>
          <w:lang w:eastAsia="en-GB"/>
          <w14:ligatures w14:val="none"/>
        </w:rPr>
        <w:t>Self</w:t>
      </w:r>
      <w:r w:rsidRPr="00BB5293">
        <w:rPr>
          <w:rFonts w:ascii="Cambria Math" w:eastAsia="Times New Roman" w:hAnsi="Cambria Math" w:cs="Cambria Math"/>
          <w:kern w:val="0"/>
          <w:lang w:eastAsia="en-GB"/>
          <w14:ligatures w14:val="none"/>
        </w:rPr>
        <w:t>‐</w:t>
      </w:r>
      <w:r w:rsidRPr="00BB5293">
        <w:rPr>
          <w:rFonts w:ascii="Arial" w:eastAsia="Times New Roman" w:hAnsi="Arial" w:cs="Arial"/>
          <w:kern w:val="0"/>
          <w:lang w:eastAsia="en-GB"/>
          <w14:ligatures w14:val="none"/>
        </w:rPr>
        <w:t>Awareness Part 1: Definition, Measures, Effects, Functions, and Antecedents</w:t>
      </w:r>
      <w:r w:rsidR="00BB5293">
        <w:rPr>
          <w:rFonts w:ascii="Arial" w:eastAsia="Times New Roman" w:hAnsi="Arial" w:cs="Arial"/>
          <w:kern w:val="0"/>
          <w:lang w:eastAsia="en-GB"/>
          <w14:ligatures w14:val="none"/>
        </w:rPr>
        <w:t>’,</w:t>
      </w:r>
      <w:r w:rsidRPr="00BB5293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BB5293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Social and Personality Psychology Compass</w:t>
      </w:r>
      <w:r w:rsidRPr="00BB5293">
        <w:rPr>
          <w:rFonts w:ascii="Arial" w:eastAsia="Times New Roman" w:hAnsi="Arial" w:cs="Arial"/>
          <w:kern w:val="0"/>
          <w:lang w:eastAsia="en-GB"/>
          <w14:ligatures w14:val="none"/>
        </w:rPr>
        <w:t xml:space="preserve">, 5(10), </w:t>
      </w:r>
      <w:r w:rsidR="00BB5293">
        <w:rPr>
          <w:rFonts w:ascii="Arial" w:eastAsia="Times New Roman" w:hAnsi="Arial" w:cs="Arial"/>
          <w:kern w:val="0"/>
          <w:lang w:eastAsia="en-GB"/>
          <w14:ligatures w14:val="none"/>
        </w:rPr>
        <w:t xml:space="preserve">pp. </w:t>
      </w:r>
      <w:r w:rsidRPr="00BB5293">
        <w:rPr>
          <w:rFonts w:ascii="Arial" w:eastAsia="Times New Roman" w:hAnsi="Arial" w:cs="Arial"/>
          <w:kern w:val="0"/>
          <w:lang w:eastAsia="en-GB"/>
          <w14:ligatures w14:val="none"/>
        </w:rPr>
        <w:t xml:space="preserve">807-823. </w:t>
      </w:r>
    </w:p>
    <w:p w14:paraId="1BC15AEB" w14:textId="2CCE34CD" w:rsidR="00BB5293" w:rsidRPr="00BB5293" w:rsidRDefault="00BB5293" w:rsidP="00BB5293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BB5293">
        <w:rPr>
          <w:rFonts w:ascii="Arial" w:eastAsia="Times New Roman" w:hAnsi="Arial" w:cs="Arial"/>
          <w:kern w:val="0"/>
          <w:lang w:eastAsia="en-GB"/>
          <w14:ligatures w14:val="none"/>
        </w:rPr>
        <w:t xml:space="preserve">Weber, C. (2023) Learning Styles – Effective Teaching Strategy or Harmful Neuromyth?Available 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>at</w:t>
      </w:r>
      <w:r w:rsidRPr="00BB5293">
        <w:rPr>
          <w:rFonts w:ascii="Arial" w:eastAsia="Times New Roman" w:hAnsi="Arial" w:cs="Arial"/>
          <w:kern w:val="0"/>
          <w:lang w:eastAsia="en-GB"/>
          <w14:ligatures w14:val="none"/>
        </w:rPr>
        <w:t>:</w:t>
      </w:r>
      <w:hyperlink r:id="rId5" w:history="1">
        <w:r w:rsidRPr="00BB5293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 xml:space="preserve"> Learning Styles – Effective Teaching Strategy or Harmful Neuromyth? – Crystal Clear ESL (esl-curriculum.com)</w:t>
        </w:r>
      </w:hyperlink>
      <w:r w:rsidRPr="00BB5293">
        <w:rPr>
          <w:rFonts w:ascii="Arial" w:eastAsia="Times New Roman" w:hAnsi="Arial" w:cs="Arial"/>
          <w:kern w:val="0"/>
          <w:lang w:eastAsia="en-GB"/>
          <w14:ligatures w14:val="none"/>
        </w:rPr>
        <w:t xml:space="preserve"> (Accessed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>:</w:t>
      </w:r>
      <w:r w:rsidRPr="00BB5293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27 May </w:t>
      </w:r>
      <w:r w:rsidRPr="00BB5293">
        <w:rPr>
          <w:rFonts w:ascii="Arial" w:eastAsia="Times New Roman" w:hAnsi="Arial" w:cs="Arial"/>
          <w:kern w:val="0"/>
          <w:lang w:eastAsia="en-GB"/>
          <w14:ligatures w14:val="none"/>
        </w:rPr>
        <w:t>202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>5</w:t>
      </w:r>
      <w:r w:rsidRPr="00BB5293">
        <w:rPr>
          <w:rFonts w:ascii="Arial" w:eastAsia="Times New Roman" w:hAnsi="Arial" w:cs="Arial"/>
          <w:kern w:val="0"/>
          <w:lang w:eastAsia="en-GB"/>
          <w14:ligatures w14:val="none"/>
        </w:rPr>
        <w:t>)</w:t>
      </w:r>
      <w:r w:rsidR="00115569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</w:p>
    <w:p w14:paraId="7DBD6834" w14:textId="77777777" w:rsidR="00BB5293" w:rsidRPr="00BB5293" w:rsidRDefault="00BB5293" w:rsidP="00BB5293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0444581F" w14:textId="77777777" w:rsidR="00C75AC6" w:rsidRPr="00C75AC6" w:rsidRDefault="00C75AC6">
      <w:pPr>
        <w:rPr>
          <w:rFonts w:ascii="Arial" w:hAnsi="Arial" w:cs="Arial"/>
          <w:sz w:val="28"/>
          <w:szCs w:val="28"/>
        </w:rPr>
      </w:pPr>
    </w:p>
    <w:sectPr w:rsidR="00C75AC6" w:rsidRPr="00C75AC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17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5AC6"/>
    <w:rsid w:val="00115569"/>
    <w:rsid w:val="001C22CC"/>
    <w:rsid w:val="00231E31"/>
    <w:rsid w:val="00A224E7"/>
    <w:rsid w:val="00A420A7"/>
    <w:rsid w:val="00BB5293"/>
    <w:rsid w:val="00C75A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A6F7F7"/>
  <w15:chartTrackingRefBased/>
  <w15:docId w15:val="{2819DA43-469C-46DD-BB1A-1EA2AB0F61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75AC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75AC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75AC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75AC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75AC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75AC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75AC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75AC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75AC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75AC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75AC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75AC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75AC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75AC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75AC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75AC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75AC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75AC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75AC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75AC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75AC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75AC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75AC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75AC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75AC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75AC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75AC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75AC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75AC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B529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B529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36081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962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esl-curriculum.com/learning-styles-effective-teaching-strategy-or-harmful-neuromyth/" TargetMode="External"/><Relationship Id="rId4" Type="http://schemas.openxmlformats.org/officeDocument/2006/relationships/hyperlink" Target="https://www.cipd.org/uk/knowledge/factsheets/swot-analysis-factsheet/#:~:text=A%20SWOT%20analysis%20is%20a,environment%20in%20which%20it%20operat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486</Words>
  <Characters>2774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Riccardo Sterling</dc:creator>
  <cp:keywords/>
  <dc:description/>
  <cp:lastModifiedBy>Linda Davies</cp:lastModifiedBy>
  <cp:revision>4</cp:revision>
  <dcterms:created xsi:type="dcterms:W3CDTF">2025-05-27T15:31:00Z</dcterms:created>
  <dcterms:modified xsi:type="dcterms:W3CDTF">2025-05-27T15:37:00Z</dcterms:modified>
</cp:coreProperties>
</file>