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7BC4FE" w14:textId="77777777" w:rsidR="006C0F3B" w:rsidRDefault="00000000">
      <w:pPr>
        <w:jc w:val="center"/>
      </w:pPr>
      <w:r>
        <w:rPr>
          <w:noProof/>
        </w:rPr>
        <w:drawing>
          <wp:inline distT="0" distB="0" distL="0" distR="0" wp14:anchorId="2A561639" wp14:editId="439F59DB">
            <wp:extent cx="1800000" cy="720000"/>
            <wp:effectExtent l="0" t="0" r="0" b="0"/>
            <wp:docPr id="1" name="Picture 1" descr="University of Wales Trinity Saint David logo" title="Universit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8"/>
                    <a:stretch>
                      <a:fillRect/>
                    </a:stretch>
                  </pic:blipFill>
                  <pic:spPr>
                    <a:xfrm>
                      <a:off x="0" y="0"/>
                      <a:ext cx="1800000" cy="720000"/>
                    </a:xfrm>
                    <a:prstGeom prst="rect">
                      <a:avLst/>
                    </a:prstGeom>
                  </pic:spPr>
                </pic:pic>
              </a:graphicData>
            </a:graphic>
          </wp:inline>
        </w:drawing>
      </w:r>
    </w:p>
    <w:p w14:paraId="33413D6F" w14:textId="77777777" w:rsidR="006C0F3B" w:rsidRDefault="00000000">
      <w:pPr>
        <w:jc w:val="center"/>
      </w:pPr>
      <w:r>
        <w:rPr>
          <w:sz w:val="32"/>
        </w:rPr>
        <w:t>UNIVERSITY OF WALES TRINITY SAINT DAVID</w:t>
      </w:r>
    </w:p>
    <w:p w14:paraId="68DE9A39" w14:textId="77777777" w:rsidR="006C0F3B" w:rsidRDefault="00000000">
      <w:pPr>
        <w:jc w:val="center"/>
      </w:pPr>
      <w:r>
        <w:rPr>
          <w:sz w:val="28"/>
        </w:rPr>
        <w:t>Master of Business Administration</w:t>
      </w:r>
    </w:p>
    <w:p w14:paraId="3ECF60D0" w14:textId="77777777" w:rsidR="006C0F3B" w:rsidRDefault="00000000">
      <w:pPr>
        <w:jc w:val="center"/>
      </w:pPr>
      <w:r>
        <w:rPr>
          <w:sz w:val="28"/>
        </w:rPr>
        <w:t>Module: Marketing Management (LCMB7024)</w:t>
      </w:r>
    </w:p>
    <w:p w14:paraId="34C1D8D1" w14:textId="77777777" w:rsidR="006C0F3B" w:rsidRDefault="00000000">
      <w:pPr>
        <w:spacing w:before="400"/>
        <w:jc w:val="center"/>
      </w:pPr>
      <w:r>
        <w:rPr>
          <w:sz w:val="36"/>
        </w:rPr>
        <w:t>Assessment Component 1: Marketing Environment Analysis</w:t>
      </w:r>
    </w:p>
    <w:p w14:paraId="0BA787D2" w14:textId="77777777" w:rsidR="006C0F3B" w:rsidRDefault="00000000">
      <w:pPr>
        <w:jc w:val="center"/>
      </w:pPr>
      <w:r>
        <w:rPr>
          <w:sz w:val="30"/>
        </w:rPr>
        <w:t>Fortescue Ltd: Environmental, Technological and Regulatory Drivers of the Transition towards Lower-Carbon Iron and Green Metals</w:t>
      </w:r>
    </w:p>
    <w:p w14:paraId="3512381D" w14:textId="2F115A6B" w:rsidR="00E26B6F" w:rsidRDefault="00000000">
      <w:pPr>
        <w:jc w:val="center"/>
      </w:pPr>
      <w:r>
        <w:t xml:space="preserve">Student name: </w:t>
      </w:r>
      <w:r w:rsidR="009A3E87">
        <w:t xml:space="preserve">Diya Trivedi </w:t>
      </w:r>
    </w:p>
    <w:p w14:paraId="16FF8C8D" w14:textId="10417BD3" w:rsidR="006C0F3B" w:rsidRDefault="00000000">
      <w:pPr>
        <w:jc w:val="center"/>
      </w:pPr>
      <w:r>
        <w:t xml:space="preserve">Student ID: </w:t>
      </w:r>
      <w:r w:rsidR="009A3E87">
        <w:t>2608781</w:t>
      </w:r>
    </w:p>
    <w:p w14:paraId="64BFB2CB" w14:textId="77777777" w:rsidR="006C0F3B" w:rsidRDefault="00000000">
      <w:pPr>
        <w:jc w:val="center"/>
      </w:pPr>
      <w:r>
        <w:rPr>
          <w:color w:val="FF0000"/>
        </w:rPr>
        <w:t>Lecturer: Taonga Kaonga Sobere-Snithers</w:t>
      </w:r>
    </w:p>
    <w:p w14:paraId="293B1114" w14:textId="77777777" w:rsidR="006C0F3B" w:rsidRDefault="00000000">
      <w:pPr>
        <w:jc w:val="center"/>
      </w:pPr>
      <w:r>
        <w:t>Submission date: 22 October 2026</w:t>
      </w:r>
    </w:p>
    <w:p w14:paraId="5A0B055B" w14:textId="25119D75" w:rsidR="006C0F3B" w:rsidRDefault="00000000">
      <w:pPr>
        <w:jc w:val="center"/>
      </w:pPr>
      <w:r>
        <w:t>Word count:</w:t>
      </w:r>
      <w:r w:rsidR="009A3E87">
        <w:t>2432</w:t>
      </w:r>
    </w:p>
    <w:p w14:paraId="73D94CC5" w14:textId="77777777" w:rsidR="006C0F3B" w:rsidRDefault="00000000">
      <w:r>
        <w:br w:type="page"/>
      </w:r>
    </w:p>
    <w:p w14:paraId="7263242A" w14:textId="77777777" w:rsidR="002B3BA6" w:rsidRDefault="002B3BA6" w:rsidP="002B3BA6">
      <w:pPr>
        <w:spacing w:before="0" w:after="200" w:line="276" w:lineRule="auto"/>
        <w:jc w:val="left"/>
      </w:pPr>
    </w:p>
    <w:sdt>
      <w:sdtPr>
        <w:rPr>
          <w:b/>
          <w:bCs/>
        </w:rPr>
        <w:id w:val="219014977"/>
        <w:docPartObj>
          <w:docPartGallery w:val="Table of Contents"/>
          <w:docPartUnique/>
        </w:docPartObj>
      </w:sdtPr>
      <w:sdtEndPr>
        <w:rPr>
          <w:noProof/>
        </w:rPr>
      </w:sdtEndPr>
      <w:sdtContent>
        <w:p w14:paraId="606F502C" w14:textId="77777777" w:rsidR="00E26B6F" w:rsidRPr="002B3BA6" w:rsidRDefault="00E26B6F" w:rsidP="002B3BA6">
          <w:pPr>
            <w:spacing w:before="0" w:after="200" w:line="276" w:lineRule="auto"/>
            <w:jc w:val="center"/>
            <w:rPr>
              <w:rFonts w:cstheme="majorBidi"/>
              <w:b/>
              <w:bCs/>
              <w:szCs w:val="28"/>
            </w:rPr>
          </w:pPr>
          <w:r w:rsidRPr="002B3BA6">
            <w:rPr>
              <w:b/>
              <w:bCs/>
            </w:rPr>
            <w:t>Table of Contents</w:t>
          </w:r>
        </w:p>
        <w:p w14:paraId="29639E00" w14:textId="77777777" w:rsidR="00E26B6F" w:rsidRDefault="00E26B6F">
          <w:pPr>
            <w:pStyle w:val="TOC1"/>
            <w:tabs>
              <w:tab w:val="right" w:leader="dot" w:pos="9508"/>
            </w:tabs>
            <w:rPr>
              <w:noProof/>
            </w:rPr>
          </w:pPr>
          <w:r>
            <w:fldChar w:fldCharType="begin"/>
          </w:r>
          <w:r>
            <w:instrText xml:space="preserve"> TOC \o "1-3" \h \z \u </w:instrText>
          </w:r>
          <w:r>
            <w:fldChar w:fldCharType="separate"/>
          </w:r>
          <w:hyperlink w:anchor="_Toc242254503" w:history="1">
            <w:r w:rsidRPr="00E462F0">
              <w:rPr>
                <w:rStyle w:val="Hyperlink"/>
                <w:noProof/>
              </w:rPr>
              <w:t>Introduction</w:t>
            </w:r>
            <w:r>
              <w:rPr>
                <w:noProof/>
                <w:webHidden/>
              </w:rPr>
              <w:tab/>
            </w:r>
            <w:r>
              <w:rPr>
                <w:noProof/>
                <w:webHidden/>
              </w:rPr>
              <w:fldChar w:fldCharType="begin"/>
            </w:r>
            <w:r>
              <w:rPr>
                <w:noProof/>
                <w:webHidden/>
              </w:rPr>
              <w:instrText xml:space="preserve"> PAGEREF _Toc242254503 \h </w:instrText>
            </w:r>
            <w:r>
              <w:rPr>
                <w:noProof/>
                <w:webHidden/>
              </w:rPr>
            </w:r>
            <w:r>
              <w:rPr>
                <w:noProof/>
                <w:webHidden/>
              </w:rPr>
              <w:fldChar w:fldCharType="separate"/>
            </w:r>
            <w:r>
              <w:rPr>
                <w:noProof/>
                <w:webHidden/>
              </w:rPr>
              <w:t>3</w:t>
            </w:r>
            <w:r>
              <w:rPr>
                <w:noProof/>
                <w:webHidden/>
              </w:rPr>
              <w:fldChar w:fldCharType="end"/>
            </w:r>
          </w:hyperlink>
        </w:p>
        <w:p w14:paraId="6DB11CB2" w14:textId="77777777" w:rsidR="00E26B6F" w:rsidRDefault="00E26B6F">
          <w:pPr>
            <w:pStyle w:val="TOC1"/>
            <w:tabs>
              <w:tab w:val="right" w:leader="dot" w:pos="9508"/>
            </w:tabs>
            <w:rPr>
              <w:noProof/>
            </w:rPr>
          </w:pPr>
          <w:hyperlink w:anchor="_Toc242254504" w:history="1">
            <w:r w:rsidRPr="00E462F0">
              <w:rPr>
                <w:rStyle w:val="Hyperlink"/>
                <w:noProof/>
              </w:rPr>
              <w:t>1. Task 1 - Marketing Environment Analysis</w:t>
            </w:r>
            <w:r>
              <w:rPr>
                <w:noProof/>
                <w:webHidden/>
              </w:rPr>
              <w:tab/>
            </w:r>
            <w:r>
              <w:rPr>
                <w:noProof/>
                <w:webHidden/>
              </w:rPr>
              <w:fldChar w:fldCharType="begin"/>
            </w:r>
            <w:r>
              <w:rPr>
                <w:noProof/>
                <w:webHidden/>
              </w:rPr>
              <w:instrText xml:space="preserve"> PAGEREF _Toc242254504 \h </w:instrText>
            </w:r>
            <w:r>
              <w:rPr>
                <w:noProof/>
                <w:webHidden/>
              </w:rPr>
            </w:r>
            <w:r>
              <w:rPr>
                <w:noProof/>
                <w:webHidden/>
              </w:rPr>
              <w:fldChar w:fldCharType="separate"/>
            </w:r>
            <w:r>
              <w:rPr>
                <w:noProof/>
                <w:webHidden/>
              </w:rPr>
              <w:t>3</w:t>
            </w:r>
            <w:r>
              <w:rPr>
                <w:noProof/>
                <w:webHidden/>
              </w:rPr>
              <w:fldChar w:fldCharType="end"/>
            </w:r>
          </w:hyperlink>
        </w:p>
        <w:p w14:paraId="3EA6C96E" w14:textId="77777777" w:rsidR="00E26B6F" w:rsidRDefault="00E26B6F">
          <w:pPr>
            <w:pStyle w:val="TOC2"/>
            <w:tabs>
              <w:tab w:val="right" w:leader="dot" w:pos="9508"/>
            </w:tabs>
            <w:rPr>
              <w:noProof/>
            </w:rPr>
          </w:pPr>
          <w:hyperlink w:anchor="_Toc242254505" w:history="1">
            <w:r w:rsidRPr="00E462F0">
              <w:rPr>
                <w:rStyle w:val="Hyperlink"/>
                <w:noProof/>
              </w:rPr>
              <w:t>1.1 Company context and strategic exposure</w:t>
            </w:r>
            <w:r>
              <w:rPr>
                <w:noProof/>
                <w:webHidden/>
              </w:rPr>
              <w:tab/>
            </w:r>
            <w:r>
              <w:rPr>
                <w:noProof/>
                <w:webHidden/>
              </w:rPr>
              <w:fldChar w:fldCharType="begin"/>
            </w:r>
            <w:r>
              <w:rPr>
                <w:noProof/>
                <w:webHidden/>
              </w:rPr>
              <w:instrText xml:space="preserve"> PAGEREF _Toc242254505 \h </w:instrText>
            </w:r>
            <w:r>
              <w:rPr>
                <w:noProof/>
                <w:webHidden/>
              </w:rPr>
            </w:r>
            <w:r>
              <w:rPr>
                <w:noProof/>
                <w:webHidden/>
              </w:rPr>
              <w:fldChar w:fldCharType="separate"/>
            </w:r>
            <w:r>
              <w:rPr>
                <w:noProof/>
                <w:webHidden/>
              </w:rPr>
              <w:t>3</w:t>
            </w:r>
            <w:r>
              <w:rPr>
                <w:noProof/>
                <w:webHidden/>
              </w:rPr>
              <w:fldChar w:fldCharType="end"/>
            </w:r>
          </w:hyperlink>
        </w:p>
        <w:p w14:paraId="1F8A690A" w14:textId="77777777" w:rsidR="00E26B6F" w:rsidRDefault="00E26B6F">
          <w:pPr>
            <w:pStyle w:val="TOC2"/>
            <w:tabs>
              <w:tab w:val="right" w:leader="dot" w:pos="9508"/>
            </w:tabs>
            <w:rPr>
              <w:noProof/>
            </w:rPr>
          </w:pPr>
          <w:hyperlink w:anchor="_Toc242254506" w:history="1">
            <w:r w:rsidRPr="00E462F0">
              <w:rPr>
                <w:rStyle w:val="Hyperlink"/>
                <w:noProof/>
              </w:rPr>
              <w:t>1.2 Environmental actor - the primary influence</w:t>
            </w:r>
            <w:r>
              <w:rPr>
                <w:noProof/>
                <w:webHidden/>
              </w:rPr>
              <w:tab/>
            </w:r>
            <w:r>
              <w:rPr>
                <w:noProof/>
                <w:webHidden/>
              </w:rPr>
              <w:fldChar w:fldCharType="begin"/>
            </w:r>
            <w:r>
              <w:rPr>
                <w:noProof/>
                <w:webHidden/>
              </w:rPr>
              <w:instrText xml:space="preserve"> PAGEREF _Toc242254506 \h </w:instrText>
            </w:r>
            <w:r>
              <w:rPr>
                <w:noProof/>
                <w:webHidden/>
              </w:rPr>
            </w:r>
            <w:r>
              <w:rPr>
                <w:noProof/>
                <w:webHidden/>
              </w:rPr>
              <w:fldChar w:fldCharType="separate"/>
            </w:r>
            <w:r>
              <w:rPr>
                <w:noProof/>
                <w:webHidden/>
              </w:rPr>
              <w:t>6</w:t>
            </w:r>
            <w:r>
              <w:rPr>
                <w:noProof/>
                <w:webHidden/>
              </w:rPr>
              <w:fldChar w:fldCharType="end"/>
            </w:r>
          </w:hyperlink>
        </w:p>
        <w:p w14:paraId="1BEC6393" w14:textId="77777777" w:rsidR="00E26B6F" w:rsidRDefault="00E26B6F">
          <w:pPr>
            <w:pStyle w:val="TOC2"/>
            <w:tabs>
              <w:tab w:val="right" w:leader="dot" w:pos="9508"/>
            </w:tabs>
            <w:rPr>
              <w:noProof/>
            </w:rPr>
          </w:pPr>
          <w:hyperlink w:anchor="_Toc242254507" w:history="1">
            <w:r w:rsidRPr="00E462F0">
              <w:rPr>
                <w:rStyle w:val="Hyperlink"/>
                <w:noProof/>
              </w:rPr>
              <w:t>1.3 Technological actor</w:t>
            </w:r>
            <w:r>
              <w:rPr>
                <w:noProof/>
                <w:webHidden/>
              </w:rPr>
              <w:tab/>
            </w:r>
            <w:r>
              <w:rPr>
                <w:noProof/>
                <w:webHidden/>
              </w:rPr>
              <w:fldChar w:fldCharType="begin"/>
            </w:r>
            <w:r>
              <w:rPr>
                <w:noProof/>
                <w:webHidden/>
              </w:rPr>
              <w:instrText xml:space="preserve"> PAGEREF _Toc242254507 \h </w:instrText>
            </w:r>
            <w:r>
              <w:rPr>
                <w:noProof/>
                <w:webHidden/>
              </w:rPr>
            </w:r>
            <w:r>
              <w:rPr>
                <w:noProof/>
                <w:webHidden/>
              </w:rPr>
              <w:fldChar w:fldCharType="separate"/>
            </w:r>
            <w:r>
              <w:rPr>
                <w:noProof/>
                <w:webHidden/>
              </w:rPr>
              <w:t>7</w:t>
            </w:r>
            <w:r>
              <w:rPr>
                <w:noProof/>
                <w:webHidden/>
              </w:rPr>
              <w:fldChar w:fldCharType="end"/>
            </w:r>
          </w:hyperlink>
        </w:p>
        <w:p w14:paraId="56B4C80E" w14:textId="77777777" w:rsidR="00E26B6F" w:rsidRDefault="00E26B6F">
          <w:pPr>
            <w:pStyle w:val="TOC2"/>
            <w:tabs>
              <w:tab w:val="right" w:leader="dot" w:pos="9508"/>
            </w:tabs>
            <w:rPr>
              <w:noProof/>
            </w:rPr>
          </w:pPr>
          <w:hyperlink w:anchor="_Toc242254508" w:history="1">
            <w:r w:rsidRPr="00E462F0">
              <w:rPr>
                <w:rStyle w:val="Hyperlink"/>
                <w:noProof/>
              </w:rPr>
              <w:t>1.4 Political and legal environment</w:t>
            </w:r>
            <w:r>
              <w:rPr>
                <w:noProof/>
                <w:webHidden/>
              </w:rPr>
              <w:tab/>
            </w:r>
            <w:r>
              <w:rPr>
                <w:noProof/>
                <w:webHidden/>
              </w:rPr>
              <w:fldChar w:fldCharType="begin"/>
            </w:r>
            <w:r>
              <w:rPr>
                <w:noProof/>
                <w:webHidden/>
              </w:rPr>
              <w:instrText xml:space="preserve"> PAGEREF _Toc242254508 \h </w:instrText>
            </w:r>
            <w:r>
              <w:rPr>
                <w:noProof/>
                <w:webHidden/>
              </w:rPr>
            </w:r>
            <w:r>
              <w:rPr>
                <w:noProof/>
                <w:webHidden/>
              </w:rPr>
              <w:fldChar w:fldCharType="separate"/>
            </w:r>
            <w:r>
              <w:rPr>
                <w:noProof/>
                <w:webHidden/>
              </w:rPr>
              <w:t>8</w:t>
            </w:r>
            <w:r>
              <w:rPr>
                <w:noProof/>
                <w:webHidden/>
              </w:rPr>
              <w:fldChar w:fldCharType="end"/>
            </w:r>
          </w:hyperlink>
        </w:p>
        <w:p w14:paraId="706BB021" w14:textId="77777777" w:rsidR="00E26B6F" w:rsidRDefault="00E26B6F">
          <w:pPr>
            <w:pStyle w:val="TOC2"/>
            <w:tabs>
              <w:tab w:val="right" w:leader="dot" w:pos="9508"/>
            </w:tabs>
            <w:rPr>
              <w:noProof/>
            </w:rPr>
          </w:pPr>
          <w:hyperlink w:anchor="_Toc242254509" w:history="1">
            <w:r w:rsidRPr="00E462F0">
              <w:rPr>
                <w:rStyle w:val="Hyperlink"/>
                <w:noProof/>
              </w:rPr>
              <w:t>1.5 Critical synthesis: opportunities and challenges</w:t>
            </w:r>
            <w:r>
              <w:rPr>
                <w:noProof/>
                <w:webHidden/>
              </w:rPr>
              <w:tab/>
            </w:r>
            <w:r>
              <w:rPr>
                <w:noProof/>
                <w:webHidden/>
              </w:rPr>
              <w:fldChar w:fldCharType="begin"/>
            </w:r>
            <w:r>
              <w:rPr>
                <w:noProof/>
                <w:webHidden/>
              </w:rPr>
              <w:instrText xml:space="preserve"> PAGEREF _Toc242254509 \h </w:instrText>
            </w:r>
            <w:r>
              <w:rPr>
                <w:noProof/>
                <w:webHidden/>
              </w:rPr>
            </w:r>
            <w:r>
              <w:rPr>
                <w:noProof/>
                <w:webHidden/>
              </w:rPr>
              <w:fldChar w:fldCharType="separate"/>
            </w:r>
            <w:r>
              <w:rPr>
                <w:noProof/>
                <w:webHidden/>
              </w:rPr>
              <w:t>8</w:t>
            </w:r>
            <w:r>
              <w:rPr>
                <w:noProof/>
                <w:webHidden/>
              </w:rPr>
              <w:fldChar w:fldCharType="end"/>
            </w:r>
          </w:hyperlink>
        </w:p>
        <w:p w14:paraId="6E50C32B" w14:textId="77777777" w:rsidR="00E26B6F" w:rsidRDefault="00E26B6F">
          <w:pPr>
            <w:pStyle w:val="TOC1"/>
            <w:tabs>
              <w:tab w:val="right" w:leader="dot" w:pos="9508"/>
            </w:tabs>
            <w:rPr>
              <w:noProof/>
            </w:rPr>
          </w:pPr>
          <w:hyperlink w:anchor="_Toc242254510" w:history="1">
            <w:r w:rsidRPr="00E462F0">
              <w:rPr>
                <w:rStyle w:val="Hyperlink"/>
                <w:noProof/>
              </w:rPr>
              <w:t>2. Task 2 - Strategic Growth and Competitive Positioning</w:t>
            </w:r>
            <w:r>
              <w:rPr>
                <w:noProof/>
                <w:webHidden/>
              </w:rPr>
              <w:tab/>
            </w:r>
            <w:r>
              <w:rPr>
                <w:noProof/>
                <w:webHidden/>
              </w:rPr>
              <w:fldChar w:fldCharType="begin"/>
            </w:r>
            <w:r>
              <w:rPr>
                <w:noProof/>
                <w:webHidden/>
              </w:rPr>
              <w:instrText xml:space="preserve"> PAGEREF _Toc242254510 \h </w:instrText>
            </w:r>
            <w:r>
              <w:rPr>
                <w:noProof/>
                <w:webHidden/>
              </w:rPr>
            </w:r>
            <w:r>
              <w:rPr>
                <w:noProof/>
                <w:webHidden/>
              </w:rPr>
              <w:fldChar w:fldCharType="separate"/>
            </w:r>
            <w:r>
              <w:rPr>
                <w:noProof/>
                <w:webHidden/>
              </w:rPr>
              <w:t>9</w:t>
            </w:r>
            <w:r>
              <w:rPr>
                <w:noProof/>
                <w:webHidden/>
              </w:rPr>
              <w:fldChar w:fldCharType="end"/>
            </w:r>
          </w:hyperlink>
        </w:p>
        <w:p w14:paraId="2B5C3917" w14:textId="77777777" w:rsidR="00E26B6F" w:rsidRDefault="00E26B6F">
          <w:pPr>
            <w:pStyle w:val="TOC2"/>
            <w:tabs>
              <w:tab w:val="right" w:leader="dot" w:pos="9508"/>
            </w:tabs>
            <w:rPr>
              <w:noProof/>
            </w:rPr>
          </w:pPr>
          <w:hyperlink w:anchor="_Toc242254511" w:history="1">
            <w:r w:rsidRPr="00E462F0">
              <w:rPr>
                <w:rStyle w:val="Hyperlink"/>
                <w:noProof/>
              </w:rPr>
              <w:t>2.1 Ansoff Matrix assessment</w:t>
            </w:r>
            <w:r>
              <w:rPr>
                <w:noProof/>
                <w:webHidden/>
              </w:rPr>
              <w:tab/>
            </w:r>
            <w:r>
              <w:rPr>
                <w:noProof/>
                <w:webHidden/>
              </w:rPr>
              <w:fldChar w:fldCharType="begin"/>
            </w:r>
            <w:r>
              <w:rPr>
                <w:noProof/>
                <w:webHidden/>
              </w:rPr>
              <w:instrText xml:space="preserve"> PAGEREF _Toc242254511 \h </w:instrText>
            </w:r>
            <w:r>
              <w:rPr>
                <w:noProof/>
                <w:webHidden/>
              </w:rPr>
            </w:r>
            <w:r>
              <w:rPr>
                <w:noProof/>
                <w:webHidden/>
              </w:rPr>
              <w:fldChar w:fldCharType="separate"/>
            </w:r>
            <w:r>
              <w:rPr>
                <w:noProof/>
                <w:webHidden/>
              </w:rPr>
              <w:t>9</w:t>
            </w:r>
            <w:r>
              <w:rPr>
                <w:noProof/>
                <w:webHidden/>
              </w:rPr>
              <w:fldChar w:fldCharType="end"/>
            </w:r>
          </w:hyperlink>
        </w:p>
        <w:p w14:paraId="0C06F390" w14:textId="77777777" w:rsidR="00E26B6F" w:rsidRDefault="00E26B6F">
          <w:pPr>
            <w:pStyle w:val="TOC2"/>
            <w:tabs>
              <w:tab w:val="right" w:leader="dot" w:pos="9508"/>
            </w:tabs>
            <w:rPr>
              <w:noProof/>
            </w:rPr>
          </w:pPr>
          <w:hyperlink w:anchor="_Toc242254512" w:history="1">
            <w:r w:rsidRPr="00E462F0">
              <w:rPr>
                <w:rStyle w:val="Hyperlink"/>
                <w:noProof/>
              </w:rPr>
              <w:t>2.2 Recommended strategy: product development supported by selective diversification</w:t>
            </w:r>
            <w:r>
              <w:rPr>
                <w:noProof/>
                <w:webHidden/>
              </w:rPr>
              <w:tab/>
            </w:r>
            <w:r>
              <w:rPr>
                <w:noProof/>
                <w:webHidden/>
              </w:rPr>
              <w:fldChar w:fldCharType="begin"/>
            </w:r>
            <w:r>
              <w:rPr>
                <w:noProof/>
                <w:webHidden/>
              </w:rPr>
              <w:instrText xml:space="preserve"> PAGEREF _Toc242254512 \h </w:instrText>
            </w:r>
            <w:r>
              <w:rPr>
                <w:noProof/>
                <w:webHidden/>
              </w:rPr>
            </w:r>
            <w:r>
              <w:rPr>
                <w:noProof/>
                <w:webHidden/>
              </w:rPr>
              <w:fldChar w:fldCharType="separate"/>
            </w:r>
            <w:r>
              <w:rPr>
                <w:noProof/>
                <w:webHidden/>
              </w:rPr>
              <w:t>9</w:t>
            </w:r>
            <w:r>
              <w:rPr>
                <w:noProof/>
                <w:webHidden/>
              </w:rPr>
              <w:fldChar w:fldCharType="end"/>
            </w:r>
          </w:hyperlink>
        </w:p>
        <w:p w14:paraId="01BA8461" w14:textId="77777777" w:rsidR="00E26B6F" w:rsidRDefault="00E26B6F">
          <w:pPr>
            <w:pStyle w:val="TOC2"/>
            <w:tabs>
              <w:tab w:val="right" w:leader="dot" w:pos="9508"/>
            </w:tabs>
            <w:rPr>
              <w:noProof/>
            </w:rPr>
          </w:pPr>
          <w:hyperlink w:anchor="_Toc242254513" w:history="1">
            <w:r w:rsidRPr="00E462F0">
              <w:rPr>
                <w:rStyle w:val="Hyperlink"/>
                <w:noProof/>
              </w:rPr>
              <w:t>2.3 Competitive positioning and implementation</w:t>
            </w:r>
            <w:r>
              <w:rPr>
                <w:noProof/>
                <w:webHidden/>
              </w:rPr>
              <w:tab/>
            </w:r>
            <w:r>
              <w:rPr>
                <w:noProof/>
                <w:webHidden/>
              </w:rPr>
              <w:fldChar w:fldCharType="begin"/>
            </w:r>
            <w:r>
              <w:rPr>
                <w:noProof/>
                <w:webHidden/>
              </w:rPr>
              <w:instrText xml:space="preserve"> PAGEREF _Toc242254513 \h </w:instrText>
            </w:r>
            <w:r>
              <w:rPr>
                <w:noProof/>
                <w:webHidden/>
              </w:rPr>
            </w:r>
            <w:r>
              <w:rPr>
                <w:noProof/>
                <w:webHidden/>
              </w:rPr>
              <w:fldChar w:fldCharType="separate"/>
            </w:r>
            <w:r>
              <w:rPr>
                <w:noProof/>
                <w:webHidden/>
              </w:rPr>
              <w:t>10</w:t>
            </w:r>
            <w:r>
              <w:rPr>
                <w:noProof/>
                <w:webHidden/>
              </w:rPr>
              <w:fldChar w:fldCharType="end"/>
            </w:r>
          </w:hyperlink>
        </w:p>
        <w:p w14:paraId="6B751F07" w14:textId="77777777" w:rsidR="00E26B6F" w:rsidRDefault="00E26B6F">
          <w:pPr>
            <w:pStyle w:val="TOC1"/>
            <w:tabs>
              <w:tab w:val="right" w:leader="dot" w:pos="9508"/>
            </w:tabs>
            <w:rPr>
              <w:noProof/>
            </w:rPr>
          </w:pPr>
          <w:hyperlink w:anchor="_Toc242254514" w:history="1">
            <w:r w:rsidRPr="00E462F0">
              <w:rPr>
                <w:rStyle w:val="Hyperlink"/>
                <w:noProof/>
              </w:rPr>
              <w:t>3. Task 3 - Managerial and Professional Reflection</w:t>
            </w:r>
            <w:r>
              <w:rPr>
                <w:noProof/>
                <w:webHidden/>
              </w:rPr>
              <w:tab/>
            </w:r>
            <w:r>
              <w:rPr>
                <w:noProof/>
                <w:webHidden/>
              </w:rPr>
              <w:fldChar w:fldCharType="begin"/>
            </w:r>
            <w:r>
              <w:rPr>
                <w:noProof/>
                <w:webHidden/>
              </w:rPr>
              <w:instrText xml:space="preserve"> PAGEREF _Toc242254514 \h </w:instrText>
            </w:r>
            <w:r>
              <w:rPr>
                <w:noProof/>
                <w:webHidden/>
              </w:rPr>
            </w:r>
            <w:r>
              <w:rPr>
                <w:noProof/>
                <w:webHidden/>
              </w:rPr>
              <w:fldChar w:fldCharType="separate"/>
            </w:r>
            <w:r>
              <w:rPr>
                <w:noProof/>
                <w:webHidden/>
              </w:rPr>
              <w:t>11</w:t>
            </w:r>
            <w:r>
              <w:rPr>
                <w:noProof/>
                <w:webHidden/>
              </w:rPr>
              <w:fldChar w:fldCharType="end"/>
            </w:r>
          </w:hyperlink>
        </w:p>
        <w:p w14:paraId="07344CAE" w14:textId="77777777" w:rsidR="00E26B6F" w:rsidRDefault="00E26B6F">
          <w:pPr>
            <w:pStyle w:val="TOC1"/>
            <w:tabs>
              <w:tab w:val="right" w:leader="dot" w:pos="9508"/>
            </w:tabs>
            <w:rPr>
              <w:noProof/>
            </w:rPr>
          </w:pPr>
          <w:hyperlink w:anchor="_Toc242254515" w:history="1">
            <w:r w:rsidRPr="00E462F0">
              <w:rPr>
                <w:rStyle w:val="Hyperlink"/>
                <w:noProof/>
              </w:rPr>
              <w:t>Conclusion</w:t>
            </w:r>
            <w:r>
              <w:rPr>
                <w:noProof/>
                <w:webHidden/>
              </w:rPr>
              <w:tab/>
            </w:r>
            <w:r>
              <w:rPr>
                <w:noProof/>
                <w:webHidden/>
              </w:rPr>
              <w:fldChar w:fldCharType="begin"/>
            </w:r>
            <w:r>
              <w:rPr>
                <w:noProof/>
                <w:webHidden/>
              </w:rPr>
              <w:instrText xml:space="preserve"> PAGEREF _Toc242254515 \h </w:instrText>
            </w:r>
            <w:r>
              <w:rPr>
                <w:noProof/>
                <w:webHidden/>
              </w:rPr>
            </w:r>
            <w:r>
              <w:rPr>
                <w:noProof/>
                <w:webHidden/>
              </w:rPr>
              <w:fldChar w:fldCharType="separate"/>
            </w:r>
            <w:r>
              <w:rPr>
                <w:noProof/>
                <w:webHidden/>
              </w:rPr>
              <w:t>12</w:t>
            </w:r>
            <w:r>
              <w:rPr>
                <w:noProof/>
                <w:webHidden/>
              </w:rPr>
              <w:fldChar w:fldCharType="end"/>
            </w:r>
          </w:hyperlink>
        </w:p>
        <w:p w14:paraId="7C6E606F" w14:textId="77777777" w:rsidR="00E26B6F" w:rsidRDefault="00E26B6F">
          <w:pPr>
            <w:pStyle w:val="TOC1"/>
            <w:tabs>
              <w:tab w:val="right" w:leader="dot" w:pos="9508"/>
            </w:tabs>
            <w:rPr>
              <w:noProof/>
            </w:rPr>
          </w:pPr>
          <w:hyperlink w:anchor="_Toc242254516" w:history="1">
            <w:r w:rsidRPr="00E462F0">
              <w:rPr>
                <w:rStyle w:val="Hyperlink"/>
                <w:noProof/>
              </w:rPr>
              <w:t>References</w:t>
            </w:r>
            <w:r>
              <w:rPr>
                <w:noProof/>
                <w:webHidden/>
              </w:rPr>
              <w:tab/>
            </w:r>
            <w:r>
              <w:rPr>
                <w:noProof/>
                <w:webHidden/>
              </w:rPr>
              <w:fldChar w:fldCharType="begin"/>
            </w:r>
            <w:r>
              <w:rPr>
                <w:noProof/>
                <w:webHidden/>
              </w:rPr>
              <w:instrText xml:space="preserve"> PAGEREF _Toc242254516 \h </w:instrText>
            </w:r>
            <w:r>
              <w:rPr>
                <w:noProof/>
                <w:webHidden/>
              </w:rPr>
            </w:r>
            <w:r>
              <w:rPr>
                <w:noProof/>
                <w:webHidden/>
              </w:rPr>
              <w:fldChar w:fldCharType="separate"/>
            </w:r>
            <w:r>
              <w:rPr>
                <w:noProof/>
                <w:webHidden/>
              </w:rPr>
              <w:t>12</w:t>
            </w:r>
            <w:r>
              <w:rPr>
                <w:noProof/>
                <w:webHidden/>
              </w:rPr>
              <w:fldChar w:fldCharType="end"/>
            </w:r>
          </w:hyperlink>
        </w:p>
        <w:p w14:paraId="31768F7E" w14:textId="77777777" w:rsidR="00E26B6F" w:rsidRDefault="00E26B6F">
          <w:r>
            <w:rPr>
              <w:b/>
              <w:bCs/>
              <w:noProof/>
            </w:rPr>
            <w:fldChar w:fldCharType="end"/>
          </w:r>
        </w:p>
      </w:sdtContent>
    </w:sdt>
    <w:p w14:paraId="2C6B9058" w14:textId="77777777" w:rsidR="00E26B6F" w:rsidRDefault="00E26B6F">
      <w:pPr>
        <w:spacing w:before="0" w:after="200" w:line="276" w:lineRule="auto"/>
        <w:jc w:val="left"/>
        <w:rPr>
          <w:rFonts w:cstheme="majorBidi"/>
          <w:b/>
          <w:bCs/>
          <w:szCs w:val="28"/>
        </w:rPr>
      </w:pPr>
      <w:bookmarkStart w:id="0" w:name="_Toc242254503"/>
      <w:r>
        <w:br w:type="page"/>
      </w:r>
    </w:p>
    <w:bookmarkEnd w:id="0"/>
    <w:p w14:paraId="358D42F5" w14:textId="77777777" w:rsidR="00407EBD" w:rsidRDefault="00407EBD" w:rsidP="00407EBD">
      <w:pPr>
        <w:pStyle w:val="Heading1"/>
      </w:pPr>
      <w:r>
        <w:lastRenderedPageBreak/>
        <w:t>Introduction</w:t>
      </w:r>
    </w:p>
    <w:p w14:paraId="074E7352" w14:textId="77777777" w:rsidR="00407EBD" w:rsidRDefault="00407EBD" w:rsidP="00407EBD">
      <w:r>
        <w:t>Mining marketing is changing due to climate policy changes and customers’ demands with regards to carbon performance. This report analyzes Fortescue Ltd which is one of the largest producers of iron ore in Australia. This firm develops green energy and metal capabilities. The company is appropriate for this purpose as it needs to decarbonize itself and reduce emissions generated when its customers use its iron ore. In FY25, the company set a record high of shipping volumes reaching 198.4 Mt and earning $15.54 billion of revenue (Fortescue Ltd, 2025a).</w:t>
      </w:r>
    </w:p>
    <w:p w14:paraId="67AABABF" w14:textId="77777777" w:rsidR="00407EBD" w:rsidRDefault="00407EBD" w:rsidP="00407EBD">
      <w:r>
        <w:t>This report will examine three external stakeholders including environment, technology and political/legal environment with special emphasis being made on environment.</w:t>
      </w:r>
      <w:r>
        <w:rPr>
          <w:color w:val="FF0000"/>
        </w:rPr>
        <w:t xml:space="preserve"> Porter’s Five Forces suggests buyer power and rivalry may constrain green premiums; supplier power, substitutes and entrants shape Fortescue’s position (Porter, 2008).</w:t>
      </w:r>
      <w:r>
        <w:t xml:space="preserve"> The key statement of this report is the following – Fortescue Ltd must convert its verified lower carbon performance in a tangible proposition for its customers, which will be achieved using technology and partnerships (Armstrong &amp; Kotler, 2024; Muñoz, 2025).</w:t>
      </w:r>
    </w:p>
    <w:p w14:paraId="1BCB26CD" w14:textId="77777777" w:rsidR="00407EBD" w:rsidRDefault="00407EBD" w:rsidP="00407EBD">
      <w:pPr>
        <w:pStyle w:val="Heading1"/>
      </w:pPr>
      <w:r>
        <w:t>1. Task 1 – Marketing Environment Analysis</w:t>
      </w:r>
    </w:p>
    <w:p w14:paraId="5B9C5226" w14:textId="77777777" w:rsidR="00407EBD" w:rsidRDefault="00407EBD" w:rsidP="00407EBD">
      <w:pPr>
        <w:pStyle w:val="Heading2"/>
      </w:pPr>
      <w:r>
        <w:t>1.1 Company context and strategic exposure</w:t>
      </w:r>
    </w:p>
    <w:p w14:paraId="1708672E" w14:textId="77777777" w:rsidR="00407EBD" w:rsidRDefault="00407EBD" w:rsidP="00407EBD">
      <w:r>
        <w:t>The firm works mostly in Pilbara region of Australia's western territories. In FY25 the company increased shipment volumes by 4% up to 198.4 Mt, however the revenue decreased by 15% and reached $15.54 billion due to the decline of hematite revenue per dry metric ton by 18% up to $84.79 (Fortescue Ltd, 2025a). It means that only volume does not help in marketing success.</w:t>
      </w:r>
    </w:p>
    <w:p w14:paraId="386B0E5A" w14:textId="77777777" w:rsidR="00407EBD" w:rsidRDefault="00407EBD" w:rsidP="00407EBD">
      <w:r>
        <w:t>Real Zero strategy developed by Fortescue adds another level. Its 2024 Climate Transition Plan is directed at elimination of Scope 1 and 2 emissions from Australian terrestrial iron ore operation by 2030 using no voluntary offsets (Fortescue Ltd, 2024). In FY25, Fortescue Ltd reports emission rate of 2.66 MtCO2-e related to its Real Zero initiative and 275.88 MtCO2-e of Group Scope 3 emissions where about 98% relates to the processing of downstream products (Fortescue Ltd, 2025b). It means that the marketing problem is not clean mining only, but the need to assist customers in reducing their processing emissions.</w:t>
      </w:r>
    </w:p>
    <w:p w14:paraId="7E1266D6" w14:textId="77777777" w:rsidR="006C0F3B" w:rsidRDefault="002B3BA6" w:rsidP="002B3BA6">
      <w:pPr>
        <w:jc w:val="center"/>
      </w:pPr>
      <w:r>
        <w:rPr>
          <w:noProof/>
        </w:rPr>
        <w:lastRenderedPageBreak/>
        <w:drawing>
          <wp:inline distT="0" distB="0" distL="0" distR="0" wp14:anchorId="17A9807F" wp14:editId="75B2F832">
            <wp:extent cx="5707953" cy="3103972"/>
            <wp:effectExtent l="0" t="0" r="7620" b="1270"/>
            <wp:docPr id="134657499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398" cy="3116722"/>
                    </a:xfrm>
                    <a:prstGeom prst="rect">
                      <a:avLst/>
                    </a:prstGeom>
                    <a:noFill/>
                  </pic:spPr>
                </pic:pic>
              </a:graphicData>
            </a:graphic>
          </wp:inline>
        </w:drawing>
      </w:r>
    </w:p>
    <w:p w14:paraId="23001F46" w14:textId="77777777" w:rsidR="00E26B6F" w:rsidRDefault="00000000" w:rsidP="00E26B6F">
      <w:pPr>
        <w:jc w:val="center"/>
      </w:pPr>
      <w:r w:rsidRPr="00E26B6F">
        <w:rPr>
          <w:b/>
          <w:bCs/>
        </w:rPr>
        <w:t>Figure 1.</w:t>
      </w:r>
      <w:r>
        <w:t xml:space="preserve"> Fortescue iron ore shipments, FY23-FY25. </w:t>
      </w:r>
    </w:p>
    <w:p w14:paraId="56BC79E6" w14:textId="77777777" w:rsidR="006C0F3B" w:rsidRDefault="00000000" w:rsidP="00E26B6F">
      <w:pPr>
        <w:jc w:val="center"/>
      </w:pPr>
      <w:r w:rsidRPr="00E26B6F">
        <w:rPr>
          <w:b/>
          <w:bCs/>
        </w:rPr>
        <w:t>Source:</w:t>
      </w:r>
      <w:r>
        <w:t xml:space="preserve"> Fortescue Ltd (2025a).</w:t>
      </w:r>
    </w:p>
    <w:p w14:paraId="179D529C" w14:textId="77777777" w:rsidR="006C0F3B" w:rsidRDefault="002B3BA6">
      <w:pPr>
        <w:jc w:val="center"/>
      </w:pPr>
      <w:r>
        <w:rPr>
          <w:noProof/>
        </w:rPr>
        <w:drawing>
          <wp:inline distT="0" distB="0" distL="0" distR="0" wp14:anchorId="4AF41B4E" wp14:editId="39A1CBB3">
            <wp:extent cx="5951501" cy="3236413"/>
            <wp:effectExtent l="0" t="0" r="0" b="2540"/>
            <wp:docPr id="173755950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72435" cy="3247797"/>
                    </a:xfrm>
                    <a:prstGeom prst="rect">
                      <a:avLst/>
                    </a:prstGeom>
                    <a:noFill/>
                  </pic:spPr>
                </pic:pic>
              </a:graphicData>
            </a:graphic>
          </wp:inline>
        </w:drawing>
      </w:r>
    </w:p>
    <w:p w14:paraId="0976ED49" w14:textId="77777777" w:rsidR="00E26B6F" w:rsidRDefault="00000000" w:rsidP="00E26B6F">
      <w:pPr>
        <w:jc w:val="center"/>
      </w:pPr>
      <w:r w:rsidRPr="00E26B6F">
        <w:rPr>
          <w:b/>
          <w:bCs/>
        </w:rPr>
        <w:t>Figure 2.</w:t>
      </w:r>
      <w:r>
        <w:t xml:space="preserve"> Fortescue revenue, FY23-FY25.</w:t>
      </w:r>
    </w:p>
    <w:p w14:paraId="3279CF5B" w14:textId="77777777" w:rsidR="006C0F3B" w:rsidRDefault="00000000" w:rsidP="00E26B6F">
      <w:pPr>
        <w:jc w:val="center"/>
      </w:pPr>
      <w:r w:rsidRPr="00E26B6F">
        <w:rPr>
          <w:b/>
          <w:bCs/>
        </w:rPr>
        <w:t>Source:</w:t>
      </w:r>
      <w:r>
        <w:t xml:space="preserve"> Fortescue Ltd (2025a).</w:t>
      </w:r>
    </w:p>
    <w:p w14:paraId="061494A1" w14:textId="77777777" w:rsidR="006C0F3B" w:rsidRDefault="00000000">
      <w:r>
        <w:br w:type="page"/>
      </w:r>
    </w:p>
    <w:p w14:paraId="5E968B4D" w14:textId="77777777" w:rsidR="006C0F3B" w:rsidRDefault="00000000" w:rsidP="00E26B6F">
      <w:pPr>
        <w:jc w:val="center"/>
      </w:pPr>
      <w:r w:rsidRPr="00E26B6F">
        <w:rPr>
          <w:b/>
          <w:bCs/>
        </w:rPr>
        <w:lastRenderedPageBreak/>
        <w:t>Table 1.</w:t>
      </w:r>
      <w:r>
        <w:t xml:space="preserve"> Critical comparison of the three external marketing environment actors. </w:t>
      </w:r>
    </w:p>
    <w:tbl>
      <w:tblPr>
        <w:tblStyle w:val="TableGrid"/>
        <w:tblW w:w="0" w:type="auto"/>
        <w:jc w:val="center"/>
        <w:tblLook w:val="04A0" w:firstRow="1" w:lastRow="0" w:firstColumn="1" w:lastColumn="0" w:noHBand="0" w:noVBand="1"/>
      </w:tblPr>
      <w:tblGrid>
        <w:gridCol w:w="2379"/>
        <w:gridCol w:w="2379"/>
        <w:gridCol w:w="2379"/>
        <w:gridCol w:w="2379"/>
      </w:tblGrid>
      <w:tr w:rsidR="006C0F3B" w14:paraId="3BBFDDA2" w14:textId="77777777">
        <w:trPr>
          <w:cantSplit/>
          <w:tblHeader/>
          <w:jc w:val="center"/>
        </w:trPr>
        <w:tc>
          <w:tcPr>
            <w:tcW w:w="2379" w:type="dxa"/>
            <w:vAlign w:val="center"/>
          </w:tcPr>
          <w:p w14:paraId="506AE642" w14:textId="77777777" w:rsidR="006C0F3B" w:rsidRDefault="00000000">
            <w:r>
              <w:t>External actor</w:t>
            </w:r>
          </w:p>
        </w:tc>
        <w:tc>
          <w:tcPr>
            <w:tcW w:w="2379" w:type="dxa"/>
            <w:vAlign w:val="center"/>
          </w:tcPr>
          <w:p w14:paraId="30105149" w14:textId="77777777" w:rsidR="006C0F3B" w:rsidRDefault="00000000">
            <w:r>
              <w:t>Key evidence</w:t>
            </w:r>
          </w:p>
        </w:tc>
        <w:tc>
          <w:tcPr>
            <w:tcW w:w="2379" w:type="dxa"/>
            <w:vAlign w:val="center"/>
          </w:tcPr>
          <w:p w14:paraId="7D0B3927" w14:textId="77777777" w:rsidR="006C0F3B" w:rsidRDefault="00000000">
            <w:r>
              <w:t>Marketing effect</w:t>
            </w:r>
          </w:p>
        </w:tc>
        <w:tc>
          <w:tcPr>
            <w:tcW w:w="2379" w:type="dxa"/>
            <w:vAlign w:val="center"/>
          </w:tcPr>
          <w:p w14:paraId="329C92FE" w14:textId="77777777" w:rsidR="006C0F3B" w:rsidRDefault="00000000">
            <w:r>
              <w:t>Strategic judgement</w:t>
            </w:r>
          </w:p>
        </w:tc>
      </w:tr>
      <w:tr w:rsidR="006C0F3B" w14:paraId="1635D7EC" w14:textId="77777777">
        <w:trPr>
          <w:cantSplit/>
          <w:jc w:val="center"/>
        </w:trPr>
        <w:tc>
          <w:tcPr>
            <w:tcW w:w="2379" w:type="dxa"/>
            <w:vAlign w:val="center"/>
          </w:tcPr>
          <w:p w14:paraId="4AA67501" w14:textId="77777777" w:rsidR="006C0F3B" w:rsidRDefault="00000000">
            <w:r>
              <w:t>Environment</w:t>
            </w:r>
          </w:p>
        </w:tc>
        <w:tc>
          <w:tcPr>
            <w:tcW w:w="2379" w:type="dxa"/>
            <w:vAlign w:val="center"/>
          </w:tcPr>
          <w:p w14:paraId="6EE38971" w14:textId="77777777" w:rsidR="006C0F3B" w:rsidRDefault="00000000">
            <w:r>
              <w:t>Steel: 1,886 Mt and about 4.1 billion t CO2-e in 2024; 7–8% of global anthropogenic GHG. Fortescue’s Scope 3 is dominated by downstream processing (World Steel Association, 2025; Fortescue Ltd, 2025b).</w:t>
            </w:r>
          </w:p>
        </w:tc>
        <w:tc>
          <w:tcPr>
            <w:tcW w:w="2379" w:type="dxa"/>
            <w:vAlign w:val="center"/>
          </w:tcPr>
          <w:p w14:paraId="2A1CAB57" w14:textId="77777777" w:rsidR="006C0F3B" w:rsidRDefault="00000000">
            <w:r>
              <w:t>Raises demand for credible low-carbon products and emissions data.</w:t>
            </w:r>
          </w:p>
        </w:tc>
        <w:tc>
          <w:tcPr>
            <w:tcW w:w="2379" w:type="dxa"/>
            <w:vAlign w:val="center"/>
          </w:tcPr>
          <w:p w14:paraId="28E5E2AD" w14:textId="77777777" w:rsidR="006C0F3B" w:rsidRDefault="00000000">
            <w:r>
              <w:t>Treat environmental pressure as a market force and product-design issue.</w:t>
            </w:r>
          </w:p>
        </w:tc>
      </w:tr>
      <w:tr w:rsidR="006C0F3B" w14:paraId="4F21A3E3" w14:textId="77777777">
        <w:trPr>
          <w:cantSplit/>
          <w:jc w:val="center"/>
        </w:trPr>
        <w:tc>
          <w:tcPr>
            <w:tcW w:w="2379" w:type="dxa"/>
            <w:vAlign w:val="center"/>
          </w:tcPr>
          <w:p w14:paraId="2AA940BE" w14:textId="77777777" w:rsidR="006C0F3B" w:rsidRDefault="00000000">
            <w:r>
              <w:t>Technology</w:t>
            </w:r>
          </w:p>
        </w:tc>
        <w:tc>
          <w:tcPr>
            <w:tcW w:w="2379" w:type="dxa"/>
            <w:vAlign w:val="center"/>
          </w:tcPr>
          <w:p w14:paraId="3A2581DB" w14:textId="77777777" w:rsidR="006C0F3B" w:rsidRDefault="00000000">
            <w:r>
              <w:t>Hydrogen and electrification are developing, but low-emissions hydrogen was still below 1% of global hydrogen production in 2024 (IEA, 2025b).</w:t>
            </w:r>
          </w:p>
        </w:tc>
        <w:tc>
          <w:tcPr>
            <w:tcW w:w="2379" w:type="dxa"/>
            <w:vAlign w:val="center"/>
          </w:tcPr>
          <w:p w14:paraId="4BF37750" w14:textId="77777777" w:rsidR="006C0F3B" w:rsidRDefault="00000000">
            <w:r>
              <w:t>Creates differentiation but adds technology and cost risk.</w:t>
            </w:r>
          </w:p>
        </w:tc>
        <w:tc>
          <w:tcPr>
            <w:tcW w:w="2379" w:type="dxa"/>
            <w:vAlign w:val="center"/>
          </w:tcPr>
          <w:p w14:paraId="56352036" w14:textId="77777777" w:rsidR="006C0F3B" w:rsidRDefault="00000000">
            <w:r>
              <w:t>Use staged pilots linked to customers and commercial gates.</w:t>
            </w:r>
          </w:p>
        </w:tc>
      </w:tr>
      <w:tr w:rsidR="006C0F3B" w14:paraId="6B0BD54E" w14:textId="77777777">
        <w:trPr>
          <w:cantSplit/>
          <w:jc w:val="center"/>
        </w:trPr>
        <w:tc>
          <w:tcPr>
            <w:tcW w:w="2379" w:type="dxa"/>
            <w:vAlign w:val="center"/>
          </w:tcPr>
          <w:p w14:paraId="5899275C" w14:textId="77777777" w:rsidR="006C0F3B" w:rsidRDefault="00000000">
            <w:r>
              <w:lastRenderedPageBreak/>
              <w:t>Political/legal</w:t>
            </w:r>
          </w:p>
        </w:tc>
        <w:tc>
          <w:tcPr>
            <w:tcW w:w="2379" w:type="dxa"/>
            <w:vAlign w:val="center"/>
          </w:tcPr>
          <w:p w14:paraId="0687E3D8" w14:textId="77777777" w:rsidR="006C0F3B" w:rsidRDefault="00000000">
            <w:r>
              <w:t>Australia’s Safeguard Mechanism uses declining baselines; EU CBAM includes iron and steel (DCCEEW, 2024; European Commission, 2024).</w:t>
            </w:r>
          </w:p>
        </w:tc>
        <w:tc>
          <w:tcPr>
            <w:tcW w:w="2379" w:type="dxa"/>
            <w:vAlign w:val="center"/>
          </w:tcPr>
          <w:p w14:paraId="263C8CC5" w14:textId="77777777" w:rsidR="006C0F3B" w:rsidRDefault="00000000">
            <w:r>
              <w:t>Raises the value of emissions measurement and lower-carbon supply.</w:t>
            </w:r>
          </w:p>
        </w:tc>
        <w:tc>
          <w:tcPr>
            <w:tcW w:w="2379" w:type="dxa"/>
            <w:vAlign w:val="center"/>
          </w:tcPr>
          <w:p w14:paraId="7BF116FD" w14:textId="77777777" w:rsidR="006C0F3B" w:rsidRDefault="00000000">
            <w:r>
              <w:t>Turn compliance data into trusted product differentiation and market access.</w:t>
            </w:r>
          </w:p>
        </w:tc>
      </w:tr>
    </w:tbl>
    <w:p w14:paraId="4002F2AB" w14:textId="77777777" w:rsidR="0022084B" w:rsidRDefault="0022084B" w:rsidP="0022084B">
      <w:pPr>
        <w:pStyle w:val="Heading2"/>
      </w:pPr>
      <w:r>
        <w:t>1.2 Environmental actor - the most influential</w:t>
      </w:r>
    </w:p>
    <w:p w14:paraId="4C246229" w14:textId="77777777" w:rsidR="0022084B" w:rsidRDefault="0022084B" w:rsidP="0022084B">
      <w:r>
        <w:t>The environmental actor is the most powerful because the climate and resource constraints affect the cost structure of Fortescue and the value that their customers place on the product. In 2024, the steel industry produced 1,886 Mt and emitted around 4.1 billion tonnes of CO2-e, which accounted for 7-8% of global anthropogenic greenhouse-gas emissions (World Steel Association, 2025). The IEA also points out that low-emissions steel technologies are expensive and immature (IEA, 2025a). Thus, Fortescue has to balance the lower-carbon value proposition and the price and reliability of the commodity supplier.</w:t>
      </w:r>
    </w:p>
    <w:p w14:paraId="2AD6A925" w14:textId="77777777" w:rsidR="0022084B" w:rsidRDefault="0022084B" w:rsidP="0022084B">
      <w:r>
        <w:t xml:space="preserve">The value chain of Fortescue makes the challenge more apparent. In FY25, 269.20 MtCO2-e of Scope 3 emissions were related to the processing of sold products, out of 275.88 MtCO2-e total Scope 3 emissions (Fortescue Ltd, 2025b). Therefore, operational decarbonisation alone is insufficient to change the total impact of the company. There is a reason for Fortescue to move to a lower-carbon iron proposition with support from customers and emissions data. The mining literature argues that pressure from stakeholders and institutions can prompt sustainability action because companies seek legitimacy and competitive advantage (Famiyeh </w:t>
      </w:r>
      <w:r w:rsidR="00EA21D8" w:rsidRPr="00EA21D8">
        <w:rPr>
          <w:i/>
          <w:iCs/>
        </w:rPr>
        <w:t>et al</w:t>
      </w:r>
      <w:r>
        <w:t>., 2021; Ivic, Saviolidis and Johannsdottir, 2021).</w:t>
      </w:r>
    </w:p>
    <w:p w14:paraId="0823B9A6" w14:textId="77777777" w:rsidR="0022084B" w:rsidRDefault="0022084B" w:rsidP="0022084B">
      <w:r>
        <w:t xml:space="preserve">The environmental constraints present an opportunity as well. The IEA expects the demand for clean-energy minerals to increase significantly by 2030 in both the current policy and net-zero scenarios (IEA, 2024). The UNEP (2024) associates growing resource use with climate, biodiversity and pollution challenges. Thus, for Fortescue, the credible green metal proposition has </w:t>
      </w:r>
      <w:r>
        <w:lastRenderedPageBreak/>
        <w:t>to address carbon, water, land, biodiversity and community impact issues. The value of the proposition depends on evidence rather than the green label.</w:t>
      </w:r>
    </w:p>
    <w:p w14:paraId="5D95DA89" w14:textId="77777777" w:rsidR="0022084B" w:rsidRDefault="0022084B" w:rsidP="0022084B">
      <w:r>
        <w:t xml:space="preserve">The greatest threat is poor evidence or greenwashing. Muslemani </w:t>
      </w:r>
      <w:r w:rsidR="00EA21D8" w:rsidRPr="00EA21D8">
        <w:rPr>
          <w:i/>
          <w:iCs/>
        </w:rPr>
        <w:t>et al</w:t>
      </w:r>
      <w:r>
        <w:t>. (2021) discuss challenges of defining green steel, carbon accounting, assurance and market design. Johansson and Kriström (2022) also demonstrate sensitivity of the economics of the green-steel premium to the cost and market factors. Thus, Fortescue should sell verified emissions performance and customer value, but not rely on buyers paying a premium without evidence.</w:t>
      </w:r>
    </w:p>
    <w:p w14:paraId="58EDB3AD" w14:textId="77777777" w:rsidR="006C0F3B" w:rsidRDefault="002B3BA6" w:rsidP="00E26B6F">
      <w:pPr>
        <w:jc w:val="center"/>
      </w:pPr>
      <w:r>
        <w:rPr>
          <w:noProof/>
        </w:rPr>
        <w:drawing>
          <wp:inline distT="0" distB="0" distL="0" distR="0" wp14:anchorId="309B003E" wp14:editId="0331E15D">
            <wp:extent cx="5941340" cy="1985010"/>
            <wp:effectExtent l="0" t="0" r="2540" b="0"/>
            <wp:docPr id="5379758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53283" cy="1989000"/>
                    </a:xfrm>
                    <a:prstGeom prst="rect">
                      <a:avLst/>
                    </a:prstGeom>
                    <a:noFill/>
                  </pic:spPr>
                </pic:pic>
              </a:graphicData>
            </a:graphic>
          </wp:inline>
        </w:drawing>
      </w:r>
    </w:p>
    <w:p w14:paraId="3212E1FE" w14:textId="77777777" w:rsidR="00E26B6F" w:rsidRDefault="00000000" w:rsidP="00E26B6F">
      <w:pPr>
        <w:jc w:val="center"/>
      </w:pPr>
      <w:r w:rsidRPr="00E26B6F">
        <w:rPr>
          <w:b/>
          <w:bCs/>
        </w:rPr>
        <w:t>Figure 3.</w:t>
      </w:r>
      <w:r>
        <w:t xml:space="preserve"> Integrated pathway from external actors to marketing implications.</w:t>
      </w:r>
    </w:p>
    <w:p w14:paraId="1974A791" w14:textId="77777777" w:rsidR="006C0F3B" w:rsidRDefault="00000000" w:rsidP="00E26B6F">
      <w:pPr>
        <w:jc w:val="center"/>
      </w:pPr>
      <w:r>
        <w:t xml:space="preserve">Source: </w:t>
      </w:r>
      <w:r w:rsidR="002B3BA6">
        <w:t xml:space="preserve">Self-developed. </w:t>
      </w:r>
    </w:p>
    <w:p w14:paraId="2B4D146F" w14:textId="77777777" w:rsidR="0022084B" w:rsidRDefault="0022084B" w:rsidP="0022084B">
      <w:pPr>
        <w:pStyle w:val="Heading2"/>
      </w:pPr>
      <w:r>
        <w:t>1.3 Technological actor</w:t>
      </w:r>
    </w:p>
    <w:p w14:paraId="4715A6FD" w14:textId="77777777" w:rsidR="0022084B" w:rsidRDefault="0022084B" w:rsidP="0022084B">
      <w:r>
        <w:t>The technology is the major decarbonisation path, however, it brings uncertainty. According to Fortescue</w:t>
      </w:r>
      <w:r>
        <w:rPr>
          <w:color w:val="FF0000"/>
        </w:rPr>
        <w:t xml:space="preserve"> Ltd (2025a)</w:t>
      </w:r>
      <w:r>
        <w:t xml:space="preserve">, there is an investment in renewable power, transmission, and electrified mining equipment. The FY25 </w:t>
      </w:r>
      <w:r>
        <w:rPr>
          <w:color w:val="FF0000"/>
        </w:rPr>
        <w:t>full-year</w:t>
      </w:r>
      <w:r>
        <w:t xml:space="preserve"> results reveal 100 MW of solar capacity, more than 640 km of transmission lines, electric excavators and a drill, and Green Metal Project under construction and planning of the pilot production of green iron using green hydrogen.</w:t>
      </w:r>
    </w:p>
    <w:p w14:paraId="24B40863" w14:textId="77777777" w:rsidR="0022084B" w:rsidRDefault="0022084B" w:rsidP="0022084B">
      <w:r>
        <w:t>The wider hydrogen market illustrates the reason to be careful. In 2024, global demand for hydrogen was close to 100 Mt, however, less than 1% of it comes from low-emissions hydrogen (IEA, 2025b). It means that there is a strong relevance, however, low maturity and poor cost competitiveness. The research in B2B area states that sustainability communication influences green purchase intention, however, product quality is important (Muñoz, 2025). Therefore, the company should start with technical evidence, specification and data.</w:t>
      </w:r>
    </w:p>
    <w:p w14:paraId="29B27497" w14:textId="77777777" w:rsidR="0022084B" w:rsidRDefault="0022084B" w:rsidP="0022084B">
      <w:r>
        <w:lastRenderedPageBreak/>
        <w:t xml:space="preserve">There is another opportunity in the agreement of Fortescue and TISCO made in December 2025. The trial will help to investigate hydrogen-based plasma-enhanced ironmaking and will be designed for a pilot line up to 5,000 tonnes of molten iron per year (Fortescue Ltd, 2025c). However, the independent research indicates that the green-iron routes still face challenges in energy, process and economic areas (Humbert </w:t>
      </w:r>
      <w:r w:rsidR="00EA21D8" w:rsidRPr="00EA21D8">
        <w:rPr>
          <w:i/>
          <w:iCs/>
        </w:rPr>
        <w:t>et al</w:t>
      </w:r>
      <w:r>
        <w:t>., 2024). Therefore, technology should be managed in the portfolio way.</w:t>
      </w:r>
    </w:p>
    <w:p w14:paraId="3E2F884B" w14:textId="77777777" w:rsidR="0022084B" w:rsidRDefault="0022084B" w:rsidP="0022084B">
      <w:pPr>
        <w:pStyle w:val="Heading2"/>
      </w:pPr>
      <w:r>
        <w:t>1.4 Political and legal environment</w:t>
      </w:r>
    </w:p>
    <w:p w14:paraId="408C6B01" w14:textId="77777777" w:rsidR="0022084B" w:rsidRDefault="0022084B" w:rsidP="0022084B">
      <w:r>
        <w:t>Political and legal factors make carbon performance more commercial. The Australian Safeguard Mechanism is applicable to facilities above 100,000 tonnes CO2-e and uses declining baselines (DCCEEW, 2024). Moreover, the Australian Government makes the green metals a priority with A$18.1 million for Green Metals Foundational Initiatives and a A$1.7 billion Future Made in Innovation Fund for renewable hydrogen, green metals and clean technologies (Department of Industry, Science and Resources, 2024). It is supportive for Fortescue, however, increases expectations.</w:t>
      </w:r>
    </w:p>
    <w:p w14:paraId="65F1E352" w14:textId="77777777" w:rsidR="0022084B" w:rsidRDefault="0022084B" w:rsidP="0022084B">
      <w:r>
        <w:t>The EU Carbon Border Adjustment Mechanism (CBAM) is another factor since iron and steel are included into its scope (European Commission, 2024). For Fortescue, it increases the importance of the product-level emissions data and makes the case for lower-carbon supply to carbon-conscious markets. Regulation can become not only a cost but a barrier for the high-carbon competitors. The strategic advantage is the conversion of compliance information into product differentiation.</w:t>
      </w:r>
    </w:p>
    <w:p w14:paraId="0BAAB874" w14:textId="77777777" w:rsidR="0022084B" w:rsidRDefault="0022084B" w:rsidP="0022084B">
      <w:r>
        <w:t xml:space="preserve">Three actors interrelate and do not work independently. The environmental pressure makes the need for change, technology defines what can be delivered, and regulation influences the speed, cost and market value of that change. The research on stakeholder pressure shows the connection between the pressure and green dynamic capability and green innovation (Singh </w:t>
      </w:r>
      <w:r w:rsidR="00EA21D8" w:rsidRPr="00EA21D8">
        <w:rPr>
          <w:i/>
          <w:iCs/>
        </w:rPr>
        <w:t>et al</w:t>
      </w:r>
      <w:r>
        <w:t>., 2022). Therefore, Fortescue should coordinate its technical, policy and marketing teams to create one measurable customer proposition.</w:t>
      </w:r>
    </w:p>
    <w:p w14:paraId="2F72F0B1" w14:textId="77777777" w:rsidR="0022084B" w:rsidRDefault="0022084B" w:rsidP="0022084B">
      <w:pPr>
        <w:pStyle w:val="Heading2"/>
      </w:pPr>
      <w:r>
        <w:t>1.5 Critical synthesis: opportunities and challenges</w:t>
      </w:r>
    </w:p>
    <w:p w14:paraId="678872C4" w14:textId="77777777" w:rsidR="0022084B" w:rsidRDefault="0022084B" w:rsidP="0022084B">
      <w:r>
        <w:t xml:space="preserve">The combined analysis shows that the lower-carbon capability becomes commercially valuable only when it is credible, technically feasible and relevant to customer regulation. It supports the growth strategy based on product development rather than rapid and unrelated diversification. The opportunity is the strongest where customers face the pressure to disclose and reduce emissions </w:t>
      </w:r>
      <w:r>
        <w:lastRenderedPageBreak/>
        <w:t>but still require the reliable iron units. Fortescue can use this contradiction to position lower-carbon supply as risk reduction for customers if the emissions boundary and methodology are clear. It makes marketing a part of value creation and not just post-production promotion.</w:t>
      </w:r>
    </w:p>
    <w:p w14:paraId="78A7B971" w14:textId="77777777" w:rsidR="0022084B" w:rsidRDefault="0022084B" w:rsidP="0022084B">
      <w:r>
        <w:t xml:space="preserve">The important implication for marketing is that Fortescue should measure and communicate the customer outcome: lower embedded emissions, reliable supply, traceability and evidence. It is more defensible than broad sustainability communication since the B2B buyers assess price, quality, corporate image and seller expertise when evaluate green offers (Gelderman </w:t>
      </w:r>
      <w:r w:rsidR="00EA21D8" w:rsidRPr="00EA21D8">
        <w:rPr>
          <w:i/>
          <w:iCs/>
        </w:rPr>
        <w:t>et al</w:t>
      </w:r>
      <w:r>
        <w:t>., 2021). It should not claim that every environmental attribute has equal buyer value. Carbon intensity is more visible than less measurable claims, while biodiversity and community performance may be crucial for licence to operate. Management should prioritize claims which can be measured independently and have buyer decisions link.</w:t>
      </w:r>
    </w:p>
    <w:p w14:paraId="55822800" w14:textId="77777777" w:rsidR="0022084B" w:rsidRDefault="0022084B" w:rsidP="0022084B">
      <w:pPr>
        <w:pStyle w:val="Heading1"/>
      </w:pPr>
      <w:r>
        <w:t>2. Task 2 - Strategic Growth and Competitive Positioning</w:t>
      </w:r>
    </w:p>
    <w:p w14:paraId="7D455CE4" w14:textId="77777777" w:rsidR="0022084B" w:rsidRDefault="0022084B" w:rsidP="0022084B">
      <w:pPr>
        <w:pStyle w:val="Heading2"/>
      </w:pPr>
      <w:r>
        <w:t>2.1 Ansoff Matrix assessment</w:t>
      </w:r>
    </w:p>
    <w:p w14:paraId="69098F50" w14:textId="77777777" w:rsidR="0022084B" w:rsidRDefault="0022084B" w:rsidP="0022084B">
      <w:r>
        <w:t>According to Ansoff’s Matrix, the growth depends on products and markets. For Fortescue, the environmental findings favor the product development as the key route, with the diversification into enabling technologies (Armstrong and Kotler, 2024).</w:t>
      </w:r>
    </w:p>
    <w:p w14:paraId="2ECBCCE6" w14:textId="77777777" w:rsidR="0040248A" w:rsidRDefault="0040248A" w:rsidP="0022084B">
      <w:r>
        <w:rPr>
          <w:noProof/>
        </w:rPr>
        <w:lastRenderedPageBreak/>
        <w:drawing>
          <wp:inline distT="0" distB="0" distL="0" distR="0" wp14:anchorId="09871444" wp14:editId="43E18BFB">
            <wp:extent cx="5935911" cy="3966303"/>
            <wp:effectExtent l="0" t="0" r="8255" b="0"/>
            <wp:docPr id="46318267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4577" cy="3998821"/>
                    </a:xfrm>
                    <a:prstGeom prst="rect">
                      <a:avLst/>
                    </a:prstGeom>
                    <a:noFill/>
                  </pic:spPr>
                </pic:pic>
              </a:graphicData>
            </a:graphic>
          </wp:inline>
        </w:drawing>
      </w:r>
    </w:p>
    <w:p w14:paraId="5B806F6A" w14:textId="77777777" w:rsidR="0040248A" w:rsidRDefault="0040248A" w:rsidP="00E26B6F">
      <w:pPr>
        <w:jc w:val="center"/>
      </w:pPr>
      <w:r>
        <w:rPr>
          <w:b/>
          <w:bCs/>
        </w:rPr>
        <w:t>Figure</w:t>
      </w:r>
      <w:r w:rsidRPr="00E26B6F">
        <w:rPr>
          <w:b/>
          <w:bCs/>
        </w:rPr>
        <w:t xml:space="preserve"> </w:t>
      </w:r>
      <w:r>
        <w:rPr>
          <w:b/>
          <w:bCs/>
        </w:rPr>
        <w:t>4</w:t>
      </w:r>
      <w:r w:rsidRPr="00E26B6F">
        <w:rPr>
          <w:b/>
          <w:bCs/>
        </w:rPr>
        <w:t>.</w:t>
      </w:r>
      <w:r>
        <w:t xml:space="preserve"> Fortescue-specific Ansoff Matrix assessment. </w:t>
      </w:r>
    </w:p>
    <w:p w14:paraId="693F29DF" w14:textId="77777777" w:rsidR="006C0F3B" w:rsidRDefault="00000000" w:rsidP="00E26B6F">
      <w:pPr>
        <w:jc w:val="center"/>
      </w:pPr>
      <w:r w:rsidRPr="0040248A">
        <w:rPr>
          <w:b/>
          <w:bCs/>
        </w:rPr>
        <w:t>Source:</w:t>
      </w:r>
      <w:r>
        <w:t xml:space="preserve"> </w:t>
      </w:r>
      <w:r w:rsidR="0040248A">
        <w:t xml:space="preserve">Self-Developed by </w:t>
      </w:r>
      <w:r>
        <w:t>adap</w:t>
      </w:r>
      <w:r w:rsidR="0040248A">
        <w:t>ting</w:t>
      </w:r>
      <w:r>
        <w:t xml:space="preserve"> from Armstrong and Kotler (2024).</w:t>
      </w:r>
    </w:p>
    <w:p w14:paraId="37362D39" w14:textId="77777777" w:rsidR="0022084B" w:rsidRDefault="0022084B" w:rsidP="0022084B">
      <w:pPr>
        <w:pStyle w:val="Heading2"/>
      </w:pPr>
      <w:bookmarkStart w:id="1" w:name="_Toc242254516"/>
      <w:r>
        <w:t>2.2 Strategy recommendation: product development complemented by selective diversification</w:t>
      </w:r>
    </w:p>
    <w:p w14:paraId="3471BC0C" w14:textId="77777777" w:rsidR="0022084B" w:rsidRDefault="0022084B" w:rsidP="0022084B">
      <w:r>
        <w:t xml:space="preserve">Product development is the right strategy. Fortescue already has its customer relationships, iron ore infrastructure and operating know-how. It can leverage these assets in conjunction with new lower-carbon iron offering, carbon intensity metrics and customer transition support. That provides differentiation without ignoring the existing market. The results of the green-market study confirm the necessity of defining products, measuring carbon intensity and developing market mechanisms (Muslemani </w:t>
      </w:r>
      <w:r w:rsidR="00EA21D8" w:rsidRPr="00EA21D8">
        <w:rPr>
          <w:i/>
          <w:iCs/>
        </w:rPr>
        <w:t>et al</w:t>
      </w:r>
      <w:r>
        <w:t>., 2021).</w:t>
      </w:r>
    </w:p>
    <w:p w14:paraId="0A47F81F" w14:textId="77777777" w:rsidR="0022084B" w:rsidRDefault="0022084B" w:rsidP="0022084B">
      <w:r>
        <w:t xml:space="preserve">Customer collaborations are vital. Fortescue needs to collaborate with steelmakers in piloting, product specifications and offtake commitments before the capacity expansion. This way, the company can mitigate demand risks and find out what carbon characteristics customers really need. B2B marketing literature states that product quality and communication are crucial for green satisfaction and loyalty (Gelderman </w:t>
      </w:r>
      <w:r w:rsidR="00EA21D8" w:rsidRPr="00EA21D8">
        <w:rPr>
          <w:i/>
          <w:iCs/>
        </w:rPr>
        <w:t>et al</w:t>
      </w:r>
      <w:r>
        <w:t xml:space="preserve">., 2021; Muñoz, 2025). Such approach helps to learn. </w:t>
      </w:r>
      <w:r>
        <w:lastRenderedPageBreak/>
        <w:t>Initial offtakes can be used to learn about preferred product grades, carbon threshold, audit practices and delivery terms. This knowledge can be incorporated into product design and pricing. Iteration is needed since the green steel markets evolve faster than common standards and since customers may prefer different types of evidence.</w:t>
      </w:r>
    </w:p>
    <w:p w14:paraId="060675FC" w14:textId="77777777" w:rsidR="0022084B" w:rsidRDefault="0022084B" w:rsidP="0022084B">
      <w:r>
        <w:t>Selective diversification should complement the core offering. Green hydrogen, renewable energy and green-iron technologies can develop capabilities complementary to mining, but unrelated expansion is risky for execution. The capital expenditure of Fortescue in fiscal year 25 was US$3.93 billion, of which US$405 million were invested in decarbonisation (Fortescue Ltd, 2025a). Thus, investment should be phased against technical, customer and economic milestones.</w:t>
      </w:r>
    </w:p>
    <w:p w14:paraId="40E90B48" w14:textId="77777777" w:rsidR="0022084B" w:rsidRDefault="0022084B" w:rsidP="0022084B">
      <w:pPr>
        <w:pStyle w:val="Heading2"/>
      </w:pPr>
      <w:r>
        <w:t>2.3 Competitive positioning and implementation</w:t>
      </w:r>
    </w:p>
    <w:p w14:paraId="47628E9D" w14:textId="77777777" w:rsidR="0022084B" w:rsidRDefault="0022084B" w:rsidP="0022084B">
      <w:r>
        <w:t xml:space="preserve">The competitive positioning should be focused differentiation based on iron quality and reliability as well as lower-carbon performance that is verified. Green innovation can become a strategic resource if it is based on knowledge, relationships, learning and hard-to-copy capabilities (Khanra </w:t>
      </w:r>
      <w:r w:rsidR="00EA21D8" w:rsidRPr="00EA21D8">
        <w:rPr>
          <w:i/>
          <w:iCs/>
        </w:rPr>
        <w:t>et al</w:t>
      </w:r>
      <w:r>
        <w:t>., 2022). Literature also shows that green innovation can enhance competitive advantage via relational capabilities (Juo and Wang, 2022). The logic of focused differentiation is appropriate for Fortescue since the company does not need to win all segments of iron ore. Instead, it can focus on customers and markets where lower carbon performance is valuable and preserve its scale advantage in mining. The risk is that competitors may provide similar low-carbon claims. Defensibility will thus rely on verified performance, proprietary technologies, long-term partnerships and execution speed.</w:t>
      </w:r>
    </w:p>
    <w:p w14:paraId="2B06057D" w14:textId="77777777" w:rsidR="0022084B" w:rsidRDefault="0022084B" w:rsidP="0022084B">
      <w:r>
        <w:t>The implementation should follow five decision gates: technical performance, verified carbon intensity, customer offtake, delivered cost and regulatory acceptance. The relevant measures are lower-carbon tonnes sold, customer emissions reduction, differentiated-product revenue, renewable energy share and pilot-to-contract conversion rate. In this way, sustainability becomes part of the value proposition, not just the communication activity. One more control can be to tie the executives' incentives to a few transition metrics. In this way, the risk of marketing communication getting ahead of physical performance is reduced. Annual verification of key carbon data and disclosure of their limitations will also help maintain trust in the evolving product proposition.</w:t>
      </w:r>
    </w:p>
    <w:p w14:paraId="210D47D5" w14:textId="77777777" w:rsidR="0022084B" w:rsidRDefault="0022084B" w:rsidP="0022084B">
      <w:pPr>
        <w:pStyle w:val="Heading1"/>
      </w:pPr>
      <w:r>
        <w:lastRenderedPageBreak/>
        <w:t>3. Task 3 – Managerial and professional reflection</w:t>
      </w:r>
    </w:p>
    <w:p w14:paraId="15896B6E" w14:textId="77777777" w:rsidR="0022084B" w:rsidRDefault="0022084B" w:rsidP="0022084B">
      <w:r>
        <w:t>From the senior leadership perspective, Fortescue was chosen because it has large existing iron ore business together with an explicit Real Zero target and active green-metal strategy. Thus, there is a real strategic choice, not just a sustainability case. The environmental actor was given the highest weight because downstream customer processing accounts for most of Fortescue's Scope 3 footprint, and therefore climate pressure directly impacts product relevance (Fortescue Ltd, 2025b). Technology and regulation were chosen next because they determine whether this pressure can be transformed into a credible commercial proposition.</w:t>
      </w:r>
    </w:p>
    <w:p w14:paraId="53EB2584" w14:textId="77777777" w:rsidR="0022084B" w:rsidRDefault="0022084B" w:rsidP="0022084B">
      <w:r>
        <w:t>The main managerial judgement is that green iron should be seen as a market proposition, not only a technical project. Customers need credible carbon metrics, common standards, supply reliability and commercial logic. The evidence from B2B marketing indicates that sustainability communication can increase purchase intention, but product quality still matters (Muñoz, 2025). Thus, the recommended Ansoff strategy starts with product development and uses diversification only to develop enabling capabilities.</w:t>
      </w:r>
    </w:p>
    <w:p w14:paraId="7F0B0886" w14:textId="77777777" w:rsidR="0022084B" w:rsidRDefault="0022084B" w:rsidP="0022084B">
      <w:r>
        <w:t xml:space="preserve">The analysis has several limitations. Public information cannot fully reveal willingness to pay, offtake terms, competitor pricing, carbon footprints at the product level and future cost of hydrogen. Green-steel definitions and market mechanisms also evolve (Muslemani </w:t>
      </w:r>
      <w:r w:rsidR="00EA21D8" w:rsidRPr="00EA21D8">
        <w:rPr>
          <w:i/>
          <w:iCs/>
        </w:rPr>
        <w:t>et al</w:t>
      </w:r>
      <w:r>
        <w:t>., 2021; Johansson and Kriström, 2022). A real consultant would ask for customer interviews, offtake data, competitor benchmarks, carbon footprints at the product level, evidence of technology readiness, energy costs of projects and regulatory scenarios. Thus, the recommendation should be seen as an investment hypothesis, not a forecast. Financial and strategic uncertainties also matter. The company may face a mismatch between capital spending and demand for green products. Management should thus use a staged funding with expansion only after demonstrating technical reliability and customer willingness to contract. This will reduce the risk of building capacity ahead of proven market.</w:t>
      </w:r>
    </w:p>
    <w:p w14:paraId="6552F922" w14:textId="77777777" w:rsidR="0022084B" w:rsidRDefault="0022084B" w:rsidP="0022084B">
      <w:pPr>
        <w:pStyle w:val="Heading1"/>
      </w:pPr>
      <w:r>
        <w:t>Conclusion</w:t>
      </w:r>
    </w:p>
    <w:p w14:paraId="3B2C8251" w14:textId="77777777" w:rsidR="0022084B" w:rsidRDefault="0022084B" w:rsidP="0022084B">
      <w:r>
        <w:t xml:space="preserve">Fortescue operates in a marketing environment where climate pressure, technological changes and regulation converge. Large Scope 3 exposure suggests that lower-carbon customer outcomes should become part of the value proposition. Focused product development strategy supported by selective diversification into green-energy and green-metal capabilities seems like a balanced </w:t>
      </w:r>
      <w:r>
        <w:lastRenderedPageBreak/>
        <w:t>growth path. Competitive advantage should be based on measurable carbon value, technical credibility, customer relationships and prudent investment rather than sustainability claims.</w:t>
      </w:r>
    </w:p>
    <w:p w14:paraId="359025A8" w14:textId="77777777" w:rsidR="0040248A" w:rsidRDefault="0040248A">
      <w:pPr>
        <w:spacing w:before="0" w:after="200" w:line="276" w:lineRule="auto"/>
        <w:jc w:val="left"/>
        <w:rPr>
          <w:rFonts w:cstheme="majorBidi"/>
          <w:b/>
          <w:bCs/>
          <w:szCs w:val="28"/>
        </w:rPr>
      </w:pPr>
      <w:r>
        <w:br w:type="page"/>
      </w:r>
    </w:p>
    <w:p w14:paraId="76017BC3" w14:textId="77777777" w:rsidR="006C0F3B" w:rsidRDefault="00000000">
      <w:pPr>
        <w:pStyle w:val="Heading1"/>
      </w:pPr>
      <w:r>
        <w:rPr>
          <w:rFonts w:eastAsia="Times New Roman"/>
        </w:rPr>
        <w:lastRenderedPageBreak/>
        <w:t>References</w:t>
      </w:r>
      <w:bookmarkEnd w:id="1"/>
    </w:p>
    <w:p w14:paraId="31F5F0F6" w14:textId="77777777" w:rsidR="006C0F3B" w:rsidRDefault="00000000" w:rsidP="00E26B6F">
      <w:r>
        <w:t xml:space="preserve">Armstrong, G. and Kotler, P. (2024) Principles of Marketing. 19th edn. Pearson. </w:t>
      </w:r>
      <w:hyperlink r:id="rId13" w:history="1">
        <w:r w:rsidR="00E26B6F" w:rsidRPr="002D1658">
          <w:rPr>
            <w:rStyle w:val="Hyperlink"/>
          </w:rPr>
          <w:t>https://www.pearson.com/en-gb/subject-catalog/p/principles-of-marketing-global-edition/P200000010013/9781292449364</w:t>
        </w:r>
      </w:hyperlink>
      <w:r w:rsidR="00E26B6F">
        <w:t xml:space="preserve"> </w:t>
      </w:r>
    </w:p>
    <w:p w14:paraId="4329D06E" w14:textId="77777777" w:rsidR="006C0F3B" w:rsidRDefault="00000000" w:rsidP="00E26B6F">
      <w:r>
        <w:t xml:space="preserve">Department of Climate Change, Energy, the Environment and Water (DCCEEW) (2024) Safeguard Mechanism document. Australian Government. </w:t>
      </w:r>
      <w:hyperlink r:id="rId14" w:history="1">
        <w:r w:rsidR="00E26B6F" w:rsidRPr="002D1658">
          <w:rPr>
            <w:rStyle w:val="Hyperlink"/>
          </w:rPr>
          <w:t>https://www.dcceew.gov.au/climate-change/publications/safeguard-mechanism-document</w:t>
        </w:r>
      </w:hyperlink>
      <w:r w:rsidR="00E26B6F">
        <w:t xml:space="preserve"> </w:t>
      </w:r>
    </w:p>
    <w:p w14:paraId="362DD53E" w14:textId="77777777" w:rsidR="006C0F3B" w:rsidRDefault="00000000" w:rsidP="00E26B6F">
      <w:r>
        <w:t xml:space="preserve">Department of Industry, Science and Resources (2024) Announcing the 2024-25 May Budget. Australian Government. </w:t>
      </w:r>
      <w:hyperlink r:id="rId15" w:history="1">
        <w:r w:rsidR="00E26B6F" w:rsidRPr="002D1658">
          <w:rPr>
            <w:rStyle w:val="Hyperlink"/>
          </w:rPr>
          <w:t>https://www.industry.gov.au/news/announcing-2024-25-may-budget</w:t>
        </w:r>
      </w:hyperlink>
      <w:r w:rsidR="00E26B6F">
        <w:t xml:space="preserve"> </w:t>
      </w:r>
    </w:p>
    <w:p w14:paraId="175A77BA" w14:textId="77777777" w:rsidR="006C0F3B" w:rsidRDefault="00000000" w:rsidP="00E26B6F">
      <w:r>
        <w:t xml:space="preserve">European Commission (2024) Carbon Border Adjustment Mechanism: information for non-EU producers of iron and steel. </w:t>
      </w:r>
      <w:hyperlink r:id="rId16" w:history="1">
        <w:r w:rsidR="00E26B6F" w:rsidRPr="002D1658">
          <w:rPr>
            <w:rStyle w:val="Hyperlink"/>
          </w:rPr>
          <w:t>https://taxation-customs.ec.europa.eu/carbon-border-adjustment-mechanism/cbam-sectors_en</w:t>
        </w:r>
      </w:hyperlink>
      <w:r w:rsidR="00E26B6F">
        <w:t xml:space="preserve"> </w:t>
      </w:r>
    </w:p>
    <w:p w14:paraId="04AFEA00" w14:textId="77777777" w:rsidR="006C0F3B" w:rsidRDefault="00000000" w:rsidP="00E26B6F">
      <w:r>
        <w:t xml:space="preserve">Famiyeh, S., Opoku, R.A., Kwarteng, A. and Asante-Darko, D. (2021) ‘Driving forces of sustainability in the mining industry: Evidence from a developing country’, Resources Policy, 70, 101910. </w:t>
      </w:r>
      <w:hyperlink r:id="rId17" w:history="1">
        <w:r w:rsidR="00E26B6F" w:rsidRPr="002D1658">
          <w:rPr>
            <w:rStyle w:val="Hyperlink"/>
          </w:rPr>
          <w:t>https://doi.org/10.1016/j.resourpol.2020.101910</w:t>
        </w:r>
      </w:hyperlink>
      <w:r w:rsidR="00E26B6F">
        <w:t xml:space="preserve"> </w:t>
      </w:r>
    </w:p>
    <w:p w14:paraId="6BB0A3CA" w14:textId="77777777" w:rsidR="006C0F3B" w:rsidRDefault="00000000" w:rsidP="00E26B6F">
      <w:r>
        <w:t xml:space="preserve">Fortescue Ltd (2024) Climate Transition Plan: The Road to Real Zero. </w:t>
      </w:r>
      <w:hyperlink r:id="rId18" w:history="1">
        <w:r w:rsidR="00E26B6F" w:rsidRPr="002D1658">
          <w:rPr>
            <w:rStyle w:val="Hyperlink"/>
          </w:rPr>
          <w:t>https://cdn.fortescue.com/docs/default-source/announcements-and-reports/climate-transition-plan.pdf?sfvrsn=6ecf50e3_11</w:t>
        </w:r>
      </w:hyperlink>
      <w:r w:rsidR="00E26B6F">
        <w:t xml:space="preserve"> </w:t>
      </w:r>
    </w:p>
    <w:p w14:paraId="72887983" w14:textId="77777777" w:rsidR="006C0F3B" w:rsidRDefault="00000000" w:rsidP="00E26B6F">
      <w:r>
        <w:t xml:space="preserve">Fortescue Ltd (2025a) FY25 Full Year Results. </w:t>
      </w:r>
      <w:hyperlink r:id="rId19" w:history="1">
        <w:r w:rsidR="00E26B6F" w:rsidRPr="002D1658">
          <w:rPr>
            <w:rStyle w:val="Hyperlink"/>
          </w:rPr>
          <w:t>https://content.fortescue.com/fortescue17114-fortescueeb60-productionbbdb-8be5/media/project/fortescueportal/shared/documents/regulatory/asx-announcements/2935116-fy25-full-year-results.pdf</w:t>
        </w:r>
      </w:hyperlink>
      <w:r w:rsidR="00E26B6F">
        <w:t xml:space="preserve"> </w:t>
      </w:r>
    </w:p>
    <w:p w14:paraId="78AA7D9D" w14:textId="77777777" w:rsidR="006C0F3B" w:rsidRDefault="00000000" w:rsidP="00E26B6F">
      <w:r>
        <w:t xml:space="preserve">Fortescue Ltd (2025b) FY25 Sustainability Report. </w:t>
      </w:r>
      <w:hyperlink r:id="rId20" w:history="1">
        <w:r w:rsidR="00E26B6F" w:rsidRPr="002D1658">
          <w:rPr>
            <w:rStyle w:val="Hyperlink"/>
          </w:rPr>
          <w:t>https://fy25sustainability.fortescue.com/</w:t>
        </w:r>
      </w:hyperlink>
      <w:r w:rsidR="00E26B6F">
        <w:t xml:space="preserve"> </w:t>
      </w:r>
    </w:p>
    <w:p w14:paraId="3FA1E6F2" w14:textId="77777777" w:rsidR="006C0F3B" w:rsidRDefault="00000000" w:rsidP="00E26B6F">
      <w:r>
        <w:t xml:space="preserve">Fortescue Ltd (2025c) Fortescue and TISCO join forces on green ironmaking technology trial. </w:t>
      </w:r>
      <w:hyperlink r:id="rId21" w:history="1">
        <w:r w:rsidR="00E26B6F" w:rsidRPr="002D1658">
          <w:rPr>
            <w:rStyle w:val="Hyperlink"/>
          </w:rPr>
          <w:t>https://www.fortescue.com/en/articles/fortescue-and-tisco-join-forces-on-green-ironmaking-technology-trial</w:t>
        </w:r>
      </w:hyperlink>
      <w:r w:rsidR="00E26B6F">
        <w:t xml:space="preserve"> </w:t>
      </w:r>
    </w:p>
    <w:p w14:paraId="4125B5F2" w14:textId="77777777" w:rsidR="006C0F3B" w:rsidRDefault="00000000" w:rsidP="00E26B6F">
      <w:r>
        <w:t>Gelderman, C.J., Schijns, J.M.C., Lambrechts, W. and Vijgen, S. (2021) ‘Green marketing as an environmental practice: The impact on green satisfaction and green loyalty in a business-to-</w:t>
      </w:r>
      <w:r>
        <w:lastRenderedPageBreak/>
        <w:t xml:space="preserve">business context’, Business Strategy and the Environment, 30(4), pp. 2061-2076. </w:t>
      </w:r>
      <w:hyperlink r:id="rId22" w:history="1">
        <w:r w:rsidR="00E26B6F" w:rsidRPr="002D1658">
          <w:rPr>
            <w:rStyle w:val="Hyperlink"/>
          </w:rPr>
          <w:t>https://doi.org/10.1002/bse.2732</w:t>
        </w:r>
      </w:hyperlink>
      <w:r w:rsidR="00E26B6F">
        <w:t xml:space="preserve"> </w:t>
      </w:r>
    </w:p>
    <w:p w14:paraId="5EC1CB32" w14:textId="77777777" w:rsidR="006C0F3B" w:rsidRDefault="00000000" w:rsidP="00E26B6F">
      <w:r>
        <w:t xml:space="preserve">Humbert, M.S., Brooks, G.A., Duffy, A.R., Hargrave, C. and Rhamdhani, M.A. (2024) ‘Economics of Electrowinning Iron from Ore for Green Steel Production’, Journal of Sustainable Metallurgy, 10, pp. 1679-1701. </w:t>
      </w:r>
      <w:hyperlink r:id="rId23" w:history="1">
        <w:r w:rsidR="00E26B6F" w:rsidRPr="002D1658">
          <w:rPr>
            <w:rStyle w:val="Hyperlink"/>
          </w:rPr>
          <w:t>https://doi.org/10.1007/s40831-024-00878-3</w:t>
        </w:r>
      </w:hyperlink>
      <w:r w:rsidR="00E26B6F">
        <w:t xml:space="preserve"> </w:t>
      </w:r>
    </w:p>
    <w:p w14:paraId="4B9D258A" w14:textId="77777777" w:rsidR="006C0F3B" w:rsidRDefault="00000000" w:rsidP="00E26B6F">
      <w:r>
        <w:t xml:space="preserve">IEA (2024) Global Critical Minerals Outlook 2024. International Energy Agency, Paris. </w:t>
      </w:r>
      <w:hyperlink r:id="rId24" w:history="1">
        <w:r w:rsidR="00E26B6F" w:rsidRPr="002D1658">
          <w:rPr>
            <w:rStyle w:val="Hyperlink"/>
          </w:rPr>
          <w:t>https://www.iea.org/reports/global-critical-minerals-outlook-2024</w:t>
        </w:r>
      </w:hyperlink>
      <w:r w:rsidR="00E26B6F">
        <w:t xml:space="preserve"> </w:t>
      </w:r>
    </w:p>
    <w:p w14:paraId="66B5F9F2" w14:textId="77777777" w:rsidR="006C0F3B" w:rsidRDefault="00000000" w:rsidP="00E26B6F">
      <w:r>
        <w:t xml:space="preserve">IEA (2025a) Breakthrough Agenda Report 2025: Steel. International Energy Agency, Paris. </w:t>
      </w:r>
      <w:hyperlink r:id="rId25" w:history="1">
        <w:r w:rsidR="00E26B6F" w:rsidRPr="002D1658">
          <w:rPr>
            <w:rStyle w:val="Hyperlink"/>
          </w:rPr>
          <w:t>https://www.iea.org/reports/breakthrough-agenda-report-2025/steel</w:t>
        </w:r>
      </w:hyperlink>
      <w:r w:rsidR="00E26B6F">
        <w:t xml:space="preserve"> </w:t>
      </w:r>
    </w:p>
    <w:p w14:paraId="6E429872" w14:textId="77777777" w:rsidR="006C0F3B" w:rsidRDefault="00000000" w:rsidP="00E26B6F">
      <w:r>
        <w:t xml:space="preserve">IEA (2025b) Global Hydrogen Review 2025. International Energy Agency, Paris. </w:t>
      </w:r>
      <w:hyperlink r:id="rId26" w:history="1">
        <w:r w:rsidR="00E26B6F" w:rsidRPr="002D1658">
          <w:rPr>
            <w:rStyle w:val="Hyperlink"/>
          </w:rPr>
          <w:t>https://www.iea.org/reports/global-hydrogen-review-2025</w:t>
        </w:r>
      </w:hyperlink>
      <w:r w:rsidR="00E26B6F">
        <w:t xml:space="preserve"> </w:t>
      </w:r>
    </w:p>
    <w:p w14:paraId="0BDF3DF6" w14:textId="77777777" w:rsidR="006C0F3B" w:rsidRDefault="00000000" w:rsidP="00E26B6F">
      <w:r>
        <w:t xml:space="preserve">Ivic, A., Saviolidis, N.M. and Johannsdottir, L. (2021) ‘Drivers of sustainability practices and contributions to sustainable development evident in sustainability reports of European mining companies’, Discover Sustainability, 2, 17. </w:t>
      </w:r>
      <w:hyperlink r:id="rId27" w:history="1">
        <w:r w:rsidR="00E26B6F" w:rsidRPr="002D1658">
          <w:rPr>
            <w:rStyle w:val="Hyperlink"/>
          </w:rPr>
          <w:t>https://doi.org/10.1007/s43621-021-00025-y</w:t>
        </w:r>
      </w:hyperlink>
      <w:r w:rsidR="00E26B6F">
        <w:t xml:space="preserve"> </w:t>
      </w:r>
    </w:p>
    <w:p w14:paraId="0E58B341" w14:textId="77777777" w:rsidR="006C0F3B" w:rsidRDefault="00000000" w:rsidP="00E26B6F">
      <w:r>
        <w:t xml:space="preserve">Johansson, P.-O. and Kriström, B. (2022) ‘Paying a Premium for “Green Steel”: Paying for an Illusion?’, Journal of Benefit-Cost Analysis, 13(3), pp. 383-393. </w:t>
      </w:r>
      <w:hyperlink r:id="rId28" w:history="1">
        <w:r w:rsidR="00E26B6F" w:rsidRPr="002D1658">
          <w:rPr>
            <w:rStyle w:val="Hyperlink"/>
          </w:rPr>
          <w:t>https://doi.org/10.1017/bca.2022.20</w:t>
        </w:r>
      </w:hyperlink>
      <w:r w:rsidR="00E26B6F">
        <w:t xml:space="preserve"> </w:t>
      </w:r>
    </w:p>
    <w:p w14:paraId="7BE17085" w14:textId="77777777" w:rsidR="006C0F3B" w:rsidRDefault="00000000" w:rsidP="00E26B6F">
      <w:r>
        <w:t xml:space="preserve">Juo, W.-J. and Wang, C.-H. (2022) ‘Does green innovation mediate the relationship between green relational view and competitive advantage?’, Business Strategy and the Environment, 31(5), pp. 2456-2468. </w:t>
      </w:r>
      <w:hyperlink r:id="rId29" w:history="1">
        <w:r w:rsidR="00E26B6F" w:rsidRPr="002D1658">
          <w:rPr>
            <w:rStyle w:val="Hyperlink"/>
          </w:rPr>
          <w:t>https://doi.org/10.1002/bse.3037</w:t>
        </w:r>
      </w:hyperlink>
      <w:r w:rsidR="00E26B6F">
        <w:t xml:space="preserve"> </w:t>
      </w:r>
    </w:p>
    <w:p w14:paraId="12A68918" w14:textId="77777777" w:rsidR="006C0F3B" w:rsidRDefault="00000000" w:rsidP="00E26B6F">
      <w:r>
        <w:t xml:space="preserve">Khanra, S., Kaur, P., Joseph, R.P., Malik, A. and Dhir, A. (2022) ‘A resource-based view of green innovation as a strategic firm resource: Present status and future directions’, Business Strategy and the Environment, 31(4), pp. 1395-1413. </w:t>
      </w:r>
      <w:hyperlink r:id="rId30" w:history="1">
        <w:r w:rsidR="00E26B6F" w:rsidRPr="002D1658">
          <w:rPr>
            <w:rStyle w:val="Hyperlink"/>
          </w:rPr>
          <w:t>https://doi.org/10.1002/bse.2961</w:t>
        </w:r>
      </w:hyperlink>
      <w:r w:rsidR="00E26B6F">
        <w:t xml:space="preserve"> </w:t>
      </w:r>
    </w:p>
    <w:p w14:paraId="19E60B0E" w14:textId="77777777" w:rsidR="006C0F3B" w:rsidRDefault="00000000" w:rsidP="00E26B6F">
      <w:r>
        <w:t xml:space="preserve">Muñoz, J.R. (2025) ‘Now hear this!: increasing purchase intentions of green products in business-to-business marketing’, Cogent Business &amp; Management, 12(1), 2494071. </w:t>
      </w:r>
      <w:hyperlink r:id="rId31" w:history="1">
        <w:r w:rsidR="00E26B6F" w:rsidRPr="002D1658">
          <w:rPr>
            <w:rStyle w:val="Hyperlink"/>
          </w:rPr>
          <w:t>https://doi.org/10.1080/23311975.2025.2494071</w:t>
        </w:r>
      </w:hyperlink>
      <w:r w:rsidR="00E26B6F">
        <w:t xml:space="preserve"> </w:t>
      </w:r>
    </w:p>
    <w:p w14:paraId="2942C771" w14:textId="77777777" w:rsidR="006C0F3B" w:rsidRDefault="00000000" w:rsidP="00E26B6F">
      <w:r>
        <w:t xml:space="preserve">Muslemani, H., Liang, X., Kaesehage, K., Ascui, F. and Wilson, J. (2021) ‘Opportunities and challenges for decarbonizing steel production by creating markets for “green steel” products’, Journal of Cleaner Production, 315, 128127. </w:t>
      </w:r>
      <w:hyperlink r:id="rId32" w:history="1">
        <w:r w:rsidR="00E26B6F" w:rsidRPr="002D1658">
          <w:rPr>
            <w:rStyle w:val="Hyperlink"/>
          </w:rPr>
          <w:t>https://doi.org/10.1016/j.jclepro.2021.128127</w:t>
        </w:r>
      </w:hyperlink>
      <w:r w:rsidR="00E26B6F">
        <w:t xml:space="preserve"> </w:t>
      </w:r>
    </w:p>
    <w:p w14:paraId="01EA0C1A" w14:textId="77777777" w:rsidR="00070C05" w:rsidRDefault="00000000">
      <w:r>
        <w:rPr>
          <w:color w:val="FF0000"/>
        </w:rPr>
        <w:lastRenderedPageBreak/>
        <w:t>Porter, M.E. (2008) ‘The five competitive forces that shape strategy’, Harvard Business Review, 86(1), pp. 78–93. Available at: https://hbr.org/2008/01/the-five-competitive-forces-that-shape-strategy.</w:t>
      </w:r>
    </w:p>
    <w:p w14:paraId="0ADEF0F4" w14:textId="77777777" w:rsidR="006C0F3B" w:rsidRDefault="00000000" w:rsidP="00E26B6F">
      <w:r>
        <w:t xml:space="preserve">Singh, S.K., Del Giudice, M., Chiappetta Jabbour, C.J., Latan, H. and Sohal, A.S. (2022) ‘Stakeholder pressure, green innovation, and performance in small and medium-sized enterprises: The role of green dynamic capabilities’, Business Strategy and the Environment, 31(1), pp. 500-514. </w:t>
      </w:r>
      <w:hyperlink r:id="rId33" w:history="1">
        <w:r w:rsidR="00E26B6F" w:rsidRPr="002D1658">
          <w:rPr>
            <w:rStyle w:val="Hyperlink"/>
          </w:rPr>
          <w:t>https://doi.org/10.1002/bse.2906</w:t>
        </w:r>
      </w:hyperlink>
      <w:r w:rsidR="00E26B6F">
        <w:t xml:space="preserve"> </w:t>
      </w:r>
    </w:p>
    <w:p w14:paraId="25CE7A44" w14:textId="77777777" w:rsidR="006C0F3B" w:rsidRDefault="00000000" w:rsidP="00E26B6F">
      <w:r>
        <w:t xml:space="preserve">UNEP (2024) Global Resources Outlook 2024: Bend the Trend - Pathways to a Liveable Planet as Resource Use Spikes. United Nations Environment Programme. </w:t>
      </w:r>
      <w:hyperlink r:id="rId34" w:history="1">
        <w:r w:rsidR="00E26B6F" w:rsidRPr="002D1658">
          <w:rPr>
            <w:rStyle w:val="Hyperlink"/>
          </w:rPr>
          <w:t>https://www.unep.org/resources/Global-Resource-Outlook-2024</w:t>
        </w:r>
      </w:hyperlink>
      <w:r w:rsidR="00E26B6F">
        <w:t xml:space="preserve"> </w:t>
      </w:r>
    </w:p>
    <w:p w14:paraId="7D3540F5" w14:textId="77777777" w:rsidR="006C0F3B" w:rsidRDefault="00000000" w:rsidP="00E26B6F">
      <w:r>
        <w:t xml:space="preserve">World Bank (2020) Minerals for Climate Action: The Mineral Intensity of the Clean Energy Transition. World Bank Group. </w:t>
      </w:r>
      <w:hyperlink r:id="rId35" w:history="1">
        <w:r w:rsidR="00E26B6F" w:rsidRPr="002D1658">
          <w:rPr>
            <w:rStyle w:val="Hyperlink"/>
          </w:rPr>
          <w:t>https://www.worldbank.org/en/news/press-release/2020/05/11/mineral-production-to-soar-as-demand-for-clean-energy-increases</w:t>
        </w:r>
      </w:hyperlink>
      <w:r w:rsidR="00E26B6F">
        <w:t xml:space="preserve"> </w:t>
      </w:r>
    </w:p>
    <w:p w14:paraId="7F09E5C8" w14:textId="77777777" w:rsidR="006C0F3B" w:rsidRDefault="00000000" w:rsidP="00E26B6F">
      <w:r>
        <w:t xml:space="preserve">World Steel Association (2025) Climate change and the production of iron and steel. </w:t>
      </w:r>
      <w:hyperlink r:id="rId36" w:history="1">
        <w:r w:rsidR="00E26B6F" w:rsidRPr="002D1658">
          <w:rPr>
            <w:rStyle w:val="Hyperlink"/>
          </w:rPr>
          <w:t>https://worldsteel.org/climate-action/climate-change-and-the-production-of-iron-and-steel/</w:t>
        </w:r>
      </w:hyperlink>
      <w:r w:rsidR="00E26B6F">
        <w:t xml:space="preserve"> </w:t>
      </w:r>
    </w:p>
    <w:sectPr w:rsidR="006C0F3B" w:rsidSect="00034616">
      <w:footerReference w:type="default" r:id="rId37"/>
      <w:pgSz w:w="12240" w:h="15840"/>
      <w:pgMar w:top="1247" w:right="1361" w:bottom="1134" w:left="1361"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A8DBAC" w14:textId="77777777" w:rsidR="00682210" w:rsidRDefault="00682210">
      <w:pPr>
        <w:spacing w:before="0" w:after="0" w:line="240" w:lineRule="auto"/>
      </w:pPr>
      <w:r>
        <w:separator/>
      </w:r>
    </w:p>
  </w:endnote>
  <w:endnote w:type="continuationSeparator" w:id="0">
    <w:p w14:paraId="417D70D1" w14:textId="77777777" w:rsidR="00682210" w:rsidRDefault="0068221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Vrinda">
    <w:panose1 w:val="00000400000000000000"/>
    <w:charset w:val="00"/>
    <w:family w:val="swiss"/>
    <w:pitch w:val="variable"/>
    <w:sig w:usb0="0001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78021944"/>
      <w:docPartObj>
        <w:docPartGallery w:val="Page Numbers (Bottom of Page)"/>
        <w:docPartUnique/>
      </w:docPartObj>
    </w:sdtPr>
    <w:sdtEndPr>
      <w:rPr>
        <w:noProof/>
      </w:rPr>
    </w:sdtEndPr>
    <w:sdtContent>
      <w:p w14:paraId="4991749B" w14:textId="77777777" w:rsidR="0040248A" w:rsidRDefault="0040248A">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9340A07" w14:textId="77777777" w:rsidR="00682210" w:rsidRDefault="00682210">
      <w:pPr>
        <w:spacing w:before="0" w:after="0" w:line="240" w:lineRule="auto"/>
      </w:pPr>
      <w:r>
        <w:separator/>
      </w:r>
    </w:p>
  </w:footnote>
  <w:footnote w:type="continuationSeparator" w:id="0">
    <w:p w14:paraId="7AE02564" w14:textId="77777777" w:rsidR="00682210" w:rsidRDefault="00682210">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09385638">
    <w:abstractNumId w:val="8"/>
  </w:num>
  <w:num w:numId="2" w16cid:durableId="1442341121">
    <w:abstractNumId w:val="6"/>
  </w:num>
  <w:num w:numId="3" w16cid:durableId="844051347">
    <w:abstractNumId w:val="5"/>
  </w:num>
  <w:num w:numId="4" w16cid:durableId="346369013">
    <w:abstractNumId w:val="4"/>
  </w:num>
  <w:num w:numId="5" w16cid:durableId="861093843">
    <w:abstractNumId w:val="7"/>
  </w:num>
  <w:num w:numId="6" w16cid:durableId="226914569">
    <w:abstractNumId w:val="3"/>
  </w:num>
  <w:num w:numId="7" w16cid:durableId="2124303010">
    <w:abstractNumId w:val="2"/>
  </w:num>
  <w:num w:numId="8" w16cid:durableId="222907931">
    <w:abstractNumId w:val="1"/>
  </w:num>
  <w:num w:numId="9" w16cid:durableId="740908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70C05"/>
    <w:rsid w:val="0015074B"/>
    <w:rsid w:val="0022084B"/>
    <w:rsid w:val="00236416"/>
    <w:rsid w:val="0029639D"/>
    <w:rsid w:val="002B3BA6"/>
    <w:rsid w:val="00326F90"/>
    <w:rsid w:val="00342B61"/>
    <w:rsid w:val="0040248A"/>
    <w:rsid w:val="00407EBD"/>
    <w:rsid w:val="005E2CF7"/>
    <w:rsid w:val="00682210"/>
    <w:rsid w:val="006C0F3B"/>
    <w:rsid w:val="006F736E"/>
    <w:rsid w:val="00734CC2"/>
    <w:rsid w:val="009A3E87"/>
    <w:rsid w:val="00AA1D8D"/>
    <w:rsid w:val="00B47730"/>
    <w:rsid w:val="00CB0664"/>
    <w:rsid w:val="00E26B6F"/>
    <w:rsid w:val="00EA21D8"/>
    <w:rsid w:val="00EF1F2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4BB0B1F"/>
  <w14:defaultImageDpi w14:val="300"/>
  <w15:docId w15:val="{34806EF7-6431-4131-98A6-990FC5FF7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B6F"/>
    <w:pPr>
      <w:spacing w:before="120" w:after="120" w:line="360" w:lineRule="auto"/>
      <w:jc w:val="both"/>
    </w:pPr>
    <w:rPr>
      <w:rFonts w:ascii="Times New Roman" w:eastAsia="Times New Roman" w:hAnsi="Times New Roman"/>
      <w:sz w:val="24"/>
    </w:rPr>
  </w:style>
  <w:style w:type="paragraph" w:styleId="Heading1">
    <w:name w:val="heading 1"/>
    <w:basedOn w:val="Normal"/>
    <w:next w:val="Normal"/>
    <w:link w:val="Heading1Char"/>
    <w:uiPriority w:val="9"/>
    <w:qFormat/>
    <w:rsid w:val="00E26B6F"/>
    <w:pPr>
      <w:keepNext/>
      <w:keepLines/>
      <w:outlineLvl w:val="0"/>
    </w:pPr>
    <w:rPr>
      <w:rFonts w:eastAsiaTheme="majorEastAsia" w:cstheme="majorBidi"/>
      <w:b/>
      <w:bCs/>
      <w:szCs w:val="28"/>
    </w:rPr>
  </w:style>
  <w:style w:type="paragraph" w:styleId="Heading2">
    <w:name w:val="heading 2"/>
    <w:basedOn w:val="Heading1"/>
    <w:next w:val="Normal"/>
    <w:link w:val="Heading2Char"/>
    <w:uiPriority w:val="9"/>
    <w:unhideWhenUsed/>
    <w:qFormat/>
    <w:rsid w:val="00E26B6F"/>
    <w:pPr>
      <w:outlineLvl w:val="1"/>
    </w:pPr>
    <w:rPr>
      <w:rFonts w:eastAsia="Times New Roman"/>
    </w:rPr>
  </w:style>
  <w:style w:type="paragraph" w:styleId="Heading3">
    <w:name w:val="heading 3"/>
    <w:basedOn w:val="Heading2"/>
    <w:next w:val="Normal"/>
    <w:link w:val="Heading3Char"/>
    <w:uiPriority w:val="9"/>
    <w:unhideWhenUsed/>
    <w:qFormat/>
    <w:rsid w:val="00E26B6F"/>
    <w:pPr>
      <w:outlineLvl w:val="2"/>
    </w:p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26B6F"/>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E26B6F"/>
    <w:rPr>
      <w:rFonts w:ascii="Times New Roman" w:eastAsia="Times New Roman" w:hAnsi="Times New Roman" w:cstheme="majorBidi"/>
      <w:b/>
      <w:bCs/>
      <w:sz w:val="24"/>
      <w:szCs w:val="28"/>
    </w:rPr>
  </w:style>
  <w:style w:type="character" w:customStyle="1" w:styleId="Heading3Char">
    <w:name w:val="Heading 3 Char"/>
    <w:basedOn w:val="DefaultParagraphFont"/>
    <w:link w:val="Heading3"/>
    <w:uiPriority w:val="9"/>
    <w:rsid w:val="00E26B6F"/>
    <w:rPr>
      <w:rFonts w:ascii="Times New Roman" w:eastAsia="Times New Roman" w:hAnsi="Times New Roman" w:cstheme="majorBidi"/>
      <w:b/>
      <w:bCs/>
      <w:sz w:val="24"/>
      <w:szCs w:val="28"/>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40"/>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CaptionTNR">
    <w:name w:val="CaptionTNR"/>
    <w:pPr>
      <w:spacing w:before="60" w:after="100"/>
      <w:jc w:val="center"/>
    </w:pPr>
    <w:rPr>
      <w:rFonts w:ascii="Times New Roman" w:eastAsia="Times New Roman" w:hAnsi="Times New Roman"/>
      <w:sz w:val="20"/>
    </w:rPr>
  </w:style>
  <w:style w:type="character" w:styleId="Hyperlink">
    <w:name w:val="Hyperlink"/>
    <w:basedOn w:val="DefaultParagraphFont"/>
    <w:uiPriority w:val="99"/>
    <w:unhideWhenUsed/>
    <w:rsid w:val="00E26B6F"/>
    <w:rPr>
      <w:color w:val="0000FF" w:themeColor="hyperlink"/>
      <w:u w:val="single"/>
    </w:rPr>
  </w:style>
  <w:style w:type="character" w:styleId="UnresolvedMention">
    <w:name w:val="Unresolved Mention"/>
    <w:basedOn w:val="DefaultParagraphFont"/>
    <w:uiPriority w:val="99"/>
    <w:semiHidden/>
    <w:unhideWhenUsed/>
    <w:rsid w:val="00E26B6F"/>
    <w:rPr>
      <w:color w:val="605E5C"/>
      <w:shd w:val="clear" w:color="auto" w:fill="E1DFDD"/>
    </w:rPr>
  </w:style>
  <w:style w:type="paragraph" w:styleId="TOC1">
    <w:name w:val="toc 1"/>
    <w:basedOn w:val="Normal"/>
    <w:next w:val="Normal"/>
    <w:autoRedefine/>
    <w:uiPriority w:val="39"/>
    <w:unhideWhenUsed/>
    <w:rsid w:val="00E26B6F"/>
    <w:pPr>
      <w:spacing w:after="100"/>
    </w:pPr>
  </w:style>
  <w:style w:type="paragraph" w:styleId="TOC2">
    <w:name w:val="toc 2"/>
    <w:basedOn w:val="Normal"/>
    <w:next w:val="Normal"/>
    <w:autoRedefine/>
    <w:uiPriority w:val="39"/>
    <w:unhideWhenUsed/>
    <w:rsid w:val="00E26B6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earson.com/en-gb/subject-catalog/p/principles-of-marketing-global-edition/P200000010013/9781292449364" TargetMode="External"/><Relationship Id="rId18" Type="http://schemas.openxmlformats.org/officeDocument/2006/relationships/hyperlink" Target="https://cdn.fortescue.com/docs/default-source/announcements-and-reports/climate-transition-plan.pdf?sfvrsn=6ecf50e3_11" TargetMode="External"/><Relationship Id="rId26" Type="http://schemas.openxmlformats.org/officeDocument/2006/relationships/hyperlink" Target="https://www.iea.org/reports/global-hydrogen-review-2025" TargetMode="External"/><Relationship Id="rId39" Type="http://schemas.openxmlformats.org/officeDocument/2006/relationships/theme" Target="theme/theme1.xml"/><Relationship Id="rId21" Type="http://schemas.openxmlformats.org/officeDocument/2006/relationships/hyperlink" Target="https://www.fortescue.com/en/articles/fortescue-and-tisco-join-forces-on-green-ironmaking-technology-trial" TargetMode="External"/><Relationship Id="rId34" Type="http://schemas.openxmlformats.org/officeDocument/2006/relationships/hyperlink" Target="https://www.unep.org/resources/Global-Resource-Outlook-2024"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doi.org/10.1016/j.resourpol.2020.101910" TargetMode="External"/><Relationship Id="rId25" Type="http://schemas.openxmlformats.org/officeDocument/2006/relationships/hyperlink" Target="https://www.iea.org/reports/breakthrough-agenda-report-2025/steel" TargetMode="External"/><Relationship Id="rId33" Type="http://schemas.openxmlformats.org/officeDocument/2006/relationships/hyperlink" Target="https://doi.org/10.1002/bse.2906"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taxation-customs.ec.europa.eu/carbon-border-adjustment-mechanism/cbam-sectors_en" TargetMode="External"/><Relationship Id="rId20" Type="http://schemas.openxmlformats.org/officeDocument/2006/relationships/hyperlink" Target="https://fy25sustainability.fortescue.com/" TargetMode="External"/><Relationship Id="rId29" Type="http://schemas.openxmlformats.org/officeDocument/2006/relationships/hyperlink" Target="https://doi.org/10.1002/bse.3037"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iea.org/reports/global-critical-minerals-outlook-2024" TargetMode="External"/><Relationship Id="rId32" Type="http://schemas.openxmlformats.org/officeDocument/2006/relationships/hyperlink" Target="https://doi.org/10.1016/j.jclepro.2021.128127"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industry.gov.au/news/announcing-2024-25-may-budget" TargetMode="External"/><Relationship Id="rId23" Type="http://schemas.openxmlformats.org/officeDocument/2006/relationships/hyperlink" Target="https://doi.org/10.1007/s40831-024-00878-3" TargetMode="External"/><Relationship Id="rId28" Type="http://schemas.openxmlformats.org/officeDocument/2006/relationships/hyperlink" Target="https://doi.org/10.1017/bca.2022.20" TargetMode="External"/><Relationship Id="rId36" Type="http://schemas.openxmlformats.org/officeDocument/2006/relationships/hyperlink" Target="https://worldsteel.org/climate-action/climate-change-and-the-production-of-iron-and-steel/" TargetMode="External"/><Relationship Id="rId10" Type="http://schemas.openxmlformats.org/officeDocument/2006/relationships/image" Target="media/image3.png"/><Relationship Id="rId19" Type="http://schemas.openxmlformats.org/officeDocument/2006/relationships/hyperlink" Target="https://content.fortescue.com/fortescue17114-fortescueeb60-productionbbdb-8be5/media/project/fortescueportal/shared/documents/regulatory/asx-announcements/2935116-fy25-full-year-results.pdf" TargetMode="External"/><Relationship Id="rId31" Type="http://schemas.openxmlformats.org/officeDocument/2006/relationships/hyperlink" Target="https://doi.org/10.1080/23311975.2025.249407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dcceew.gov.au/climate-change/publications/safeguard-mechanism-document" TargetMode="External"/><Relationship Id="rId22" Type="http://schemas.openxmlformats.org/officeDocument/2006/relationships/hyperlink" Target="https://doi.org/10.1002/bse.2732" TargetMode="External"/><Relationship Id="rId27" Type="http://schemas.openxmlformats.org/officeDocument/2006/relationships/hyperlink" Target="https://doi.org/10.1007/s43621-021-00025-y" TargetMode="External"/><Relationship Id="rId30" Type="http://schemas.openxmlformats.org/officeDocument/2006/relationships/hyperlink" Target="https://doi.org/10.1002/bse.2961" TargetMode="External"/><Relationship Id="rId35" Type="http://schemas.openxmlformats.org/officeDocument/2006/relationships/hyperlink" Target="https://www.worldbank.org/en/news/press-release/2020/05/11/mineral-production-to-soar-as-demand-for-clean-energy-increase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3964</Words>
  <Characters>22599</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Marketing Environment Analysis of Fortescue Ltd</vt:lpstr>
    </vt:vector>
  </TitlesOfParts>
  <Manager/>
  <Company/>
  <LinksUpToDate>false</LinksUpToDate>
  <CharactersWithSpaces>26510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cp:lastModifiedBy>diyatrivedi0604@outlook.com</cp:lastModifiedBy>
  <cp:revision>2</cp:revision>
  <dcterms:created xsi:type="dcterms:W3CDTF">2013-12-23T23:15:00Z</dcterms:created>
  <dcterms:modified xsi:type="dcterms:W3CDTF">2026-10-21T11:30:00Z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eeff78ea1d80af70174ae3f0f767b7f387a3e396c0daba3a9d24ef4b047ed458</vt:lpwstr>
  </property>
</Properties>
</file>