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Times New Roman" w:hAnsi="Times New Roman" w:cs="Times New Roman"/>
          <w:lang w:val="en-US"/>
        </w:rPr>
      </w:pPr>
      <w:r>
        <w:rPr>
          <w:rFonts w:hint="default" w:ascii="Times New Roman" w:hAnsi="Times New Roman" w:cs="Times New Roman"/>
          <w:lang w:val="en-US"/>
        </w:rPr>
        <w:t xml:space="preserve">NAME : MUHAMMAD ALIF SYAZWAN </w:t>
      </w:r>
    </w:p>
    <w:p>
      <w:pPr>
        <w:jc w:val="both"/>
        <w:rPr>
          <w:rFonts w:hint="default" w:ascii="Times New Roman" w:hAnsi="Times New Roman" w:cs="Times New Roman"/>
          <w:lang w:val="en-US"/>
        </w:rPr>
      </w:pPr>
      <w:r>
        <w:rPr>
          <w:rFonts w:hint="default" w:ascii="Times New Roman" w:hAnsi="Times New Roman" w:cs="Times New Roman"/>
          <w:lang w:val="en-US"/>
        </w:rPr>
        <w:t>ID :2118683</w:t>
      </w: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The 2015 Consumer Rights Act (CRA) strengthened consumer rights. The Consumer Rights Act was signed into law on October 1st, 2015. Since the regulation has gotten more clear and understandable, consumers and businesses can now buy and sell with confidence. When issues arise, they can now be dealt with quickly and affordably. As an alternative to going to court, an Ombudsman can be a quicker and less expensive means to resolve a disagreement. All customers and businesses that sell directly to them are affected. The UK spends around £90 billion per month. As a result, they will save time and money by making better purchasing decisions.</w:t>
      </w:r>
    </w:p>
    <w:p>
      <w:pPr>
        <w:jc w:val="both"/>
        <w:rPr>
          <w:rFonts w:hint="default" w:ascii="Times New Roman" w:hAnsi="Times New Roman" w:cs="Times New Roman"/>
        </w:rPr>
      </w:pPr>
      <w:bookmarkStart w:id="0" w:name="_GoBack"/>
      <w:bookmarkEnd w:id="0"/>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Comparing CRA 2015 to previous consumer protection laws like the Sale of Goods Act can be done (1979). Legally, customers can't seek a refund for digital items they've purchased through the SGA or CRA platforms. Consumer rights for malfunctioning digital gadgets are unclear under present legislation. Information in digital form is now included in the definition of content by the Canada Revenue Agency. To bring the consumer rights framework up to date, it intends to apply the recognised and expected consumer rights to digital content.</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Digital content can be repaired. The SGA requires commodities to be sold with quality, purpose, and description. If a customer discovers a flaw in a product, they can return it for a refund or ask the seller to replace or repair it. This should cause no inconvenience to customers. The SGA regulations do not apply to digital content. The SGA's definition of "goods" excludes digital content that is not on CD or DVD. The SGA's right to reject products and seek refunds is problematic for digital works due to the potential for piracy and ease of duplication.</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So yet, the case law has not dealt with these difficulties. For digital content that isn't working, consumers are likely to rely on the dealer's trust rather than strict legal rights.</w:t>
      </w:r>
    </w:p>
    <w:p>
      <w:pPr>
        <w:jc w:val="both"/>
        <w:rPr>
          <w:rFonts w:hint="default" w:ascii="Times New Roman" w:hAnsi="Times New Roman" w:cs="Times New Roman"/>
        </w:rPr>
      </w:pPr>
      <w:r>
        <w:rPr>
          <w:rFonts w:hint="default" w:ascii="Times New Roman" w:hAnsi="Times New Roman" w:cs="Times New Roman"/>
        </w:rPr>
        <w:t>New digital material rights and remedies are specified by the CRA as long as the consumer has paid a price for that content. If digital content fails to live up to expectations, the law provides a list of precise remedies. Repairing corrupted digital content on a consumer's smartphone may be more difficult than downloading a new copy. However, customers have the option of either repairing or replacing faulty digital information, as long as the chosen method is not impossible or excessively difficult.</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A discount is provided to customers who cannot repair or replace material due to lack of repair or replacement capabilities or the trader's failure to do so. For example, if the goods is defective, the full sum may be claimed. Customers can't get a refund for digital items purchased through SGA or CRA. Other services like digital content. In addition to digital content, the CRA regulates service contracts. .</w:t>
      </w:r>
    </w:p>
    <w:p>
      <w:pPr>
        <w:jc w:val="both"/>
        <w:rPr>
          <w:rFonts w:hint="default" w:ascii="Times New Roman" w:hAnsi="Times New Roman" w:cs="Times New Roman"/>
        </w:rPr>
      </w:pPr>
    </w:p>
    <w:p>
      <w:pPr>
        <w:jc w:val="both"/>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t>. Consumer Law Reform Program developed to support EU reform efforts including the Consumer Rights Directive. A new Consumer Rights Act was passed in 2015 after the government agreed to some basic consumer rights. Scotland's Law Commission and the University of East Anglia conducted research in 2008.</w:t>
      </w:r>
    </w:p>
    <w:p>
      <w:pPr>
        <w:rPr>
          <w:rFonts w:hint="default" w:ascii="Times New Roman" w:hAnsi="Times New Roman" w:cs="Times New Roman"/>
        </w:rPr>
      </w:pPr>
    </w:p>
    <w:p>
      <w:pPr>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 xml:space="preserve">Act on the Provision of Goods and Services (1982). In future, it will only be applicable to transactions between businesses and consumers. Consumer Rights Act of 1998 replaced the Act due to the challenges it caused. Section 14(2) and Section 15(2) of the Act indicated that reasonableness was a 'question of fact', and this was a big difficulty. </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While this may have seemed like a minor issue at first, it quickly became an issue because there was no exact definition for it. This "truth" can only be confirmed by hiring a professional to speak on behalf of the product or service, or by contacting the manufacturer or a representative of the industry. An expert or even a long-term relationship with the manufacturer can be costly. Getting your claim heard might have been difficult because of this. To demonstrate how reasonable the service or product was, a supplier could assert that someone else in their field would have done the same.</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Unfair Contract Terms Act (1977). The rest of the contract will take effect as far as possible if a term is considered to be unjust and hence unenforceable. Few consumer contracts are actually arranged on an individual basis in practise. Only if the contract's essential elements are "transparent and prominent" are they exempt from the requirement of fairness in the contract. Clear and understandable wording is required to meet the transparency standard.</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 xml:space="preserve"> Consumers who are presumptively well-informed, perceptive, and prudent must be made aware of the term in order for it to become prominent.   If a core word does not match these conditions, it isn't unjust, but further scrutiny will be applied to this phrase. Consumer contract provisions that may be seen as unfair the "grey list are included in Section 2 of the act of the CRA 2015, which is referred to as a "indicative and non-exhaustive" list. The terms on the grey list aren't always unjust, but they might be utilised by a court to help determine whether or not the fairness test should be applied to a particular case.</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Similarly, terms that are not on the list may be ruled to be unfair by a court when the fairness test is applied. When a contract ends, the consumer may be required to pay for services that were never provided, or the trader may be given price discretion after the consumer has been contractually bound. These are all examples of "grey list" conditions.</w:t>
      </w:r>
    </w:p>
    <w:p>
      <w:pPr>
        <w:jc w:val="both"/>
        <w:rPr>
          <w:rFonts w:hint="default" w:ascii="Times New Roman" w:hAnsi="Times New Roman" w:cs="Times New Roman"/>
          <w:color w:val="000000" w:themeColor="text1"/>
          <w14:textFill>
            <w14:solidFill>
              <w14:schemeClr w14:val="tx1"/>
            </w14:solidFill>
          </w14:textFill>
        </w:rPr>
      </w:pPr>
    </w:p>
    <w:p>
      <w:pPr>
        <w:jc w:val="both"/>
        <w:rPr>
          <w:rFonts w:hint="default" w:ascii="Times New Roman" w:hAnsi="Times New Roman" w:cs="Times New Roman"/>
          <w:color w:val="000000" w:themeColor="text1"/>
          <w14:textFill>
            <w14:solidFill>
              <w14:schemeClr w14:val="tx1"/>
            </w14:solidFill>
          </w14:textFill>
        </w:rPr>
      </w:pPr>
    </w:p>
    <w:p>
      <w:pPr>
        <w:jc w:val="both"/>
        <w:rPr>
          <w:rFonts w:hint="default" w:ascii="Times New Roman" w:hAnsi="Times New Roman" w:cs="Times New Roman"/>
          <w:color w:val="4472C4" w:themeColor="accent1"/>
          <w14:textFill>
            <w14:solidFill>
              <w14:schemeClr w14:val="accent1"/>
            </w14:solidFill>
          </w14:textFill>
        </w:rPr>
      </w:pPr>
      <w:r>
        <w:rPr>
          <w:rFonts w:hint="default" w:ascii="Times New Roman" w:hAnsi="Times New Roman" w:cs="Times New Roman"/>
          <w:color w:val="000000" w:themeColor="text1"/>
          <w14:textFill>
            <w14:solidFill>
              <w14:schemeClr w14:val="tx1"/>
            </w14:solidFill>
          </w14:textFill>
        </w:rPr>
        <w:t xml:space="preserve">Part 1 of the CRA 2015 focuses on contracts involving commodities, digital content, and services. A large part of this chapter deals with the legal duties that consumers have to one another under consumer contracts and the minimal standards that must be met by the products they purchase. There are set quality and suitability requirements for products that must be met before they can be put into use. </w:t>
      </w:r>
    </w:p>
    <w:p>
      <w:pPr>
        <w:jc w:val="both"/>
        <w:rPr>
          <w:rFonts w:hint="default" w:ascii="Times New Roman" w:hAnsi="Times New Roman" w:cs="Times New Roman"/>
          <w:color w:val="4472C4" w:themeColor="accent1"/>
          <w14:textFill>
            <w14:solidFill>
              <w14:schemeClr w14:val="accent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Some minor changes in the regulations apply based on what kind of supply users have. According to the Sale of Goods Act 1979, buyers can expect that goods will be of a satisfactory quality, be suitable for their intended use, and be consistent with their description. There are, however, a few small alterations.</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 xml:space="preserve">For example, model-based commodities such as cars on display or televisions in department shops must match the model unless otherwise stated to the consumer prior to signing a sales contract. Like the long-standing SGA rule on sample sales, which has finally been modified to match the CRA. Choosing to install or arrange for the installation of products obligates a dealer to ensure proper installation. Due to the Act's requirements, the CRA's three-tiered remedy mechanism will undoubtedly have the greatest impact on goods supply. </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The three-tiered structure functions as follows in general. in the short run, having the ability to reject. In the event of highly perishable items, a new legal remedy is available to buyers during the first thirty days of receiving their goods. Customers who want a refund must make their things available for trader pickup, but this is their right. Consumers are normally liable for the expense of returning products to the retailer from where they originally obtained them unless they are contractually required to do so or willingly transport the goods back to that retailer's location. Products that have been incorrectly installed are not eligible for short-term rejection rights.</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 xml:space="preserve">Repair and replacement rights This is already fixed in the SSGCRs. The trader must repair or replace the product promptly and without further charge to the consumer. When a remedy is excessively costly or time demanding, a consumer cannot choose to replace their item. The 30-day right to reject is suspended if the </w:t>
      </w:r>
      <w:r>
        <w:rPr>
          <w:rFonts w:hint="default" w:ascii="Times New Roman" w:hAnsi="Times New Roman" w:cs="Times New Roman"/>
          <w:color w:val="000000" w:themeColor="text1"/>
          <w:lang w:val="en-US"/>
          <w14:textFill>
            <w14:solidFill>
              <w14:schemeClr w14:val="tx1"/>
            </w14:solidFill>
          </w14:textFill>
        </w:rPr>
        <w:t>customer decided</w:t>
      </w:r>
      <w:r>
        <w:rPr>
          <w:rFonts w:hint="default" w:ascii="Times New Roman" w:hAnsi="Times New Roman" w:cs="Times New Roman"/>
          <w:color w:val="000000" w:themeColor="text1"/>
          <w:lang w:val="en-GB"/>
          <w14:textFill>
            <w14:solidFill>
              <w14:schemeClr w14:val="tx1"/>
            </w14:solidFill>
          </w14:textFill>
        </w:rPr>
        <w:t xml:space="preserve"> </w:t>
      </w:r>
      <w:r>
        <w:rPr>
          <w:rFonts w:hint="default" w:ascii="Times New Roman" w:hAnsi="Times New Roman" w:cs="Times New Roman"/>
          <w:color w:val="000000" w:themeColor="text1"/>
          <w:lang w:val="en-US"/>
          <w14:textFill>
            <w14:solidFill>
              <w14:schemeClr w14:val="tx1"/>
            </w14:solidFill>
          </w14:textFill>
        </w:rPr>
        <w:t>f</w:t>
      </w:r>
      <w:r>
        <w:rPr>
          <w:rFonts w:hint="default" w:ascii="Times New Roman" w:hAnsi="Times New Roman" w:cs="Times New Roman"/>
          <w:color w:val="000000" w:themeColor="text1"/>
          <w:lang w:val="en-GB"/>
          <w14:textFill>
            <w14:solidFill>
              <w14:schemeClr w14:val="tx1"/>
            </w14:solidFill>
          </w14:textFill>
        </w:rPr>
        <w:t xml:space="preserve">or replacement within 30 days of </w:t>
      </w:r>
      <w:r>
        <w:rPr>
          <w:rFonts w:hint="default" w:ascii="Times New Roman" w:hAnsi="Times New Roman" w:cs="Times New Roman"/>
          <w:color w:val="000000" w:themeColor="text1"/>
          <w:lang w:val="en-US"/>
          <w14:textFill>
            <w14:solidFill>
              <w14:schemeClr w14:val="tx1"/>
            </w14:solidFill>
          </w14:textFill>
        </w:rPr>
        <w:t xml:space="preserve">the </w:t>
      </w:r>
      <w:r>
        <w:rPr>
          <w:rFonts w:hint="default" w:ascii="Times New Roman" w:hAnsi="Times New Roman" w:cs="Times New Roman"/>
          <w:color w:val="000000" w:themeColor="text1"/>
          <w:lang w:val="en-GB"/>
          <w14:textFill>
            <w14:solidFill>
              <w14:schemeClr w14:val="tx1"/>
            </w14:solidFill>
          </w14:textFill>
        </w:rPr>
        <w:t>receipt. If the repaired or replacement item still does not meet the contract, the consumer has 30 days or 7 days to reject it. The SSGCRs required only one repair or replacement from the client. If the problem remains or a new one arises, consumers can choose between price reduction or rejection.</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 xml:space="preserve">The final says on whether or not a product will be offered at a reduced price.  </w:t>
      </w:r>
      <w:r>
        <w:rPr>
          <w:rFonts w:hint="default" w:ascii="Times New Roman" w:hAnsi="Times New Roman"/>
          <w:color w:val="000000" w:themeColor="text1"/>
          <w:lang w:val="en-GB"/>
          <w14:textFill>
            <w14:solidFill>
              <w14:schemeClr w14:val="tx1"/>
            </w14:solidFill>
          </w14:textFill>
        </w:rPr>
        <w:t>Customers are protected under the SSGCRs if repair or replacement proves impracticable, takes an unreasonable amount of time to complete, or causes them excessive inconvenience</w:t>
      </w:r>
      <w:r>
        <w:rPr>
          <w:rFonts w:hint="default" w:ascii="Times New Roman" w:hAnsi="Times New Roman" w:cs="Times New Roman"/>
          <w:color w:val="000000" w:themeColor="text1"/>
          <w:lang w:val="en-GB"/>
          <w14:textFill>
            <w14:solidFill>
              <w14:schemeClr w14:val="tx1"/>
            </w14:solidFill>
          </w14:textFill>
        </w:rPr>
        <w:t>. Either the item is kept by the customer and a discount is claimed, or the item are returned and a refund is claimed. Customers' actual usage can be taken into consideration when determining the amount of a discount that is appropriate.</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Motor vehicles are an exception to this rule, as long as they are returned within six months of delivery. Consumers have the right to receive a full refund from traders who fail to comply with the SGA's longstanding demand that they have licence to supply products imported into the CRA. Even if the CRA provides statutory remedies, consumers can pursue other legal avenues, such as suing for breach of contract whether for products, services, or digital material. The CRA, on the other hand, does not permit a second recovery.</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For the Internet. Some previously unanswered questions about whether digital material could be considered commodities or services have been answered by the CRA by adopting a new regulation specifically for digital content. When someone buy a CD, it is almost certain going to get something physical in return. The internet, for example, is becoming an increasingly popular medium for distributing digital content. Products purchased with real money can be included as well as virtual currency acquired with real money. There are no restrictions on one-time purchases or subscriptions when it comes to digital content from the CRA.</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olor w:val="000000" w:themeColor="text1"/>
          <w:lang w:val="en-GB"/>
          <w14:textFill>
            <w14:solidFill>
              <w14:schemeClr w14:val="tx1"/>
            </w14:solidFill>
          </w14:textFill>
        </w:rPr>
        <w:t>As far as the quality, appropriateness and description are concerned, there are no exclusions when it comes to digital information. Whenever certain requirements are violated, a two-tiered legislative remedies procedure is in effect.</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Repairs or replacements for faulty products are offered. It is imperative that consumers receive repair or replacement services quickly and at no additional expense, in compliance with the goods provisions. The customer is unable to choose between replacement and repair if the first remedy is disproportionate to the second. Traders are not required to reduce their prices before providing customers with as many repairs or replacements as they wish when providing consumer services.</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 xml:space="preserve">Right to a price reduction. As long as it can't be fixed in time or without significant inconvenience to the customer then this remedy will be invoked. Discounts of this magnitude are possible, but they should be justified in light of all relevant factors. </w:t>
      </w:r>
      <w:r>
        <w:rPr>
          <w:rFonts w:hint="default" w:ascii="Times New Roman" w:hAnsi="Times New Roman"/>
          <w:color w:val="000000" w:themeColor="text1"/>
          <w:lang w:val="en-GB"/>
          <w14:textFill>
            <w14:solidFill>
              <w14:schemeClr w14:val="tx1"/>
            </w14:solidFill>
          </w14:textFill>
        </w:rPr>
        <w:t>If a digital information is genuinely free of charge, these rights and remedies are not available. If the dealer delivered the digital item with reasonable care and competence, it can be corrected or paid under the Consumer Protection Act (CRA)</w:t>
      </w:r>
      <w:r>
        <w:rPr>
          <w:rFonts w:hint="default" w:ascii="Times New Roman" w:hAnsi="Times New Roman" w:cs="Times New Roman"/>
          <w:color w:val="000000" w:themeColor="text1"/>
          <w:lang w:val="en-GB"/>
          <w14:textFill>
            <w14:solidFill>
              <w14:schemeClr w14:val="tx1"/>
            </w14:solidFill>
          </w14:textFill>
        </w:rPr>
        <w:t>. For the avoidance of doubt, if a product, service, or other digital content comes with a fee and is not normally made available to customers for free, it cannot be termed free.</w:t>
      </w: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p>
    <w:p>
      <w:pPr>
        <w:jc w:val="both"/>
        <w:rPr>
          <w:rFonts w:hint="default" w:ascii="Times New Roman" w:hAnsi="Times New Roman" w:cs="Times New Roman"/>
          <w:color w:val="000000" w:themeColor="text1"/>
          <w:lang w:val="en-GB"/>
          <w14:textFill>
            <w14:solidFill>
              <w14:schemeClr w14:val="tx1"/>
            </w14:solidFill>
          </w14:textFill>
        </w:rPr>
      </w:pPr>
      <w:r>
        <w:rPr>
          <w:rFonts w:hint="default" w:ascii="Times New Roman" w:hAnsi="Times New Roman" w:cs="Times New Roman"/>
          <w:color w:val="000000" w:themeColor="text1"/>
          <w:lang w:val="en-GB"/>
          <w14:textFill>
            <w14:solidFill>
              <w14:schemeClr w14:val="tx1"/>
            </w14:solidFill>
          </w14:textFill>
        </w:rPr>
        <w:t>The CRA is requiring the dealer to supply digital content as a condition of doing business. However, if only a small amount of the digital content given is damaged, consumers are usually entitled to an entire refund. There are no exceptions to this rule when it comes to digital content that is delivered in a corporeal form. When those conditions are not met, consumers have recourse to statutory remedies afforded under the CRA for products. Good remedies are therefore preferred, in part because they offer the option of short-term rejection.</w:t>
      </w:r>
    </w:p>
    <w:p>
      <w:pPr>
        <w:jc w:val="left"/>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Performance of the same piece. As long as the trader has not complied with the information they have provided regarding the service, this remedy is available to ensure that the service is completed in a timely manner. If the work is not completed within a fair amount of time or at no cost to the customer, it is not acceptable.</w:t>
      </w: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rPr>
        <w:t>Regulations enacted in 2013 regarding disclosure of information about consumer contracts, cancellation, and extra costs ("CCRs"). For traders, it is important to remember that the pre-contractual information needed by CCRs is now explicitly included as part of their interaction with clients under CRA laws as well as under CCRs. Any contract, whether it involves real goods or digital data, must follow this norm without exception.</w:t>
      </w: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 xml:space="preserve">For any breach of these terms, the CRA may collect fees up to the full price paid. Information that describes the main attributes of commodities or digital content is exempt from this rule, as is information that indicates the operation and compatibility of digital content. The product description is a basic guideline for both physical and digital goods. </w:t>
      </w:r>
      <w:r>
        <w:rPr>
          <w:rFonts w:hint="default" w:ascii="Times New Roman" w:hAnsi="Times New Roman"/>
        </w:rPr>
        <w:t>The CCRs' provisions on delivery and risk transfer in sales contracts have been transferred to the CRA in light of the current scenario.</w:t>
      </w:r>
    </w:p>
    <w:p>
      <w:pPr>
        <w:jc w:val="both"/>
        <w:rPr>
          <w:rFonts w:hint="default" w:ascii="Times New Roman" w:hAnsi="Times New Roman" w:cs="Times New Roman"/>
        </w:rPr>
      </w:pPr>
    </w:p>
    <w:p>
      <w:pPr>
        <w:jc w:val="both"/>
        <w:rPr>
          <w:rFonts w:hint="default" w:ascii="Times New Roman" w:hAnsi="Times New Roman" w:cs="Times New Roman"/>
        </w:rPr>
      </w:pPr>
      <w:r>
        <w:rPr>
          <w:rFonts w:hint="default" w:ascii="Times New Roman" w:hAnsi="Times New Roman" w:cs="Times New Roman"/>
        </w:rPr>
        <w:t>Schedule 2 of the CRA includes three amendments to the "Grey List" of phrases that may be unfair under the UTCCRs. In order to better serve consumers, three new terms have been included in the Grey List. Disproportionate fees, allowing trader discretion over subject matter characteristics, and allowing trader discretion over price, where no price or method of deducting fees has been established prior to contract signing. Certain facets of EU legislation or case law have been clarified by the CRA. It is stated in the CRA, for example, that courts must assess whether the conditions of consumer contracts are fair, even when the parties to a dispute do not bring it up as an issue.</w:t>
      </w:r>
    </w:p>
    <w:p>
      <w:pPr>
        <w:jc w:val="both"/>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br w:type="page"/>
      </w:r>
    </w:p>
    <w:p>
      <w:pPr>
        <w:jc w:val="center"/>
        <w:rPr>
          <w:rFonts w:hint="default" w:ascii="Times New Roman" w:hAnsi="Times New Roman" w:cs="Times New Roman"/>
          <w:b/>
          <w:bCs/>
          <w:u w:val="single"/>
        </w:rPr>
      </w:pPr>
      <w:r>
        <w:rPr>
          <w:rFonts w:hint="default" w:ascii="Times New Roman" w:hAnsi="Times New Roman" w:cs="Times New Roman"/>
          <w:b/>
          <w:bCs/>
          <w:u w:val="single"/>
        </w:rPr>
        <w:t>REFERENCE LIST</w:t>
      </w:r>
    </w:p>
    <w:p>
      <w:pPr>
        <w:jc w:val="center"/>
        <w:rPr>
          <w:rFonts w:hint="default" w:ascii="Times New Roman" w:hAnsi="Times New Roman" w:cs="Times New Roman"/>
          <w:b/>
          <w:bCs/>
          <w:u w:val="single"/>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OGUNSIPE, D.</w:t>
      </w:r>
    </w:p>
    <w:p>
      <w:pPr>
        <w:jc w:val="both"/>
        <w:rPr>
          <w:rFonts w:hint="default" w:ascii="Times New Roman" w:hAnsi="Times New Roman" w:cs="Times New Roman"/>
        </w:rPr>
      </w:pPr>
      <w:r>
        <w:rPr>
          <w:rFonts w:hint="default" w:ascii="Times New Roman" w:hAnsi="Times New Roman" w:cs="Times New Roman"/>
        </w:rPr>
        <w:t>Regulating Digital Content Under the Consumer Rights Act 2015 (United Kingdom): Lessons for Nigeria</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Damilola Ogunsipe, 'Regulating Digital Content Under The Consumer Rights Act 2015 (United Kingdom): Lessons For Nigeria' [2015] SSRN Electronic Journal.</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Ogunsipe D, 'Regulating Digital Content Under The Consumer Rights Act 2015 (United Kingdom): Lessons For Nigeria' [2015] SSRN Electronic Journal</w:t>
      </w: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RODGER, B. J.</w:t>
      </w:r>
    </w:p>
    <w:p>
      <w:pPr>
        <w:jc w:val="both"/>
        <w:rPr>
          <w:rFonts w:hint="default" w:ascii="Times New Roman" w:hAnsi="Times New Roman" w:cs="Times New Roman"/>
        </w:rPr>
      </w:pPr>
      <w:r>
        <w:rPr>
          <w:rFonts w:hint="default" w:ascii="Times New Roman" w:hAnsi="Times New Roman" w:cs="Times New Roman"/>
        </w:rPr>
        <w:t>The Consumer Rights Act 2015 and collective redress for competition law infringements in the UK: a class act?</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Barry J. Rodger, 'The Consumer Rights Act 2015 And Collective Redress For Competition Law Infringements In The UK: A Class Act?' (2015) 3 Journal of Antitrust Enforcement.</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Rodger B, 'The Consumer Rights Act 2015 And Collective Redress For Competition Law Infringements In The UK: A Class Act?' (2015) 3 Journal of Antitrust Enforcement</w:t>
      </w: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P. E. M.</w:t>
      </w:r>
    </w:p>
    <w:p>
      <w:pPr>
        <w:jc w:val="both"/>
        <w:rPr>
          <w:rFonts w:hint="default" w:ascii="Times New Roman" w:hAnsi="Times New Roman" w:cs="Times New Roman"/>
        </w:rPr>
      </w:pPr>
      <w:r>
        <w:rPr>
          <w:rFonts w:hint="default" w:ascii="Times New Roman" w:hAnsi="Times New Roman" w:cs="Times New Roman"/>
        </w:rPr>
        <w:t>Administrative Law: The Federal Trade Commission: Unfair Competition</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E. M. P., 'Administrative Law: The Federal Trade Commission: Unfair Competition' (1919) 8 California Law Review.</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P. E, 'Administrative Law: The Federal Trade Commission: Unfair Competition' (1919) 8 California Law Review</w:t>
      </w: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THE UNFAIR CONTRACT TERMS ACT: DIVERSIONS ON SECTION 2</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'The Unfair Contract Terms Act: Diversions On Section 2' (1987) 8 Business Law Review.</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'The Unfair Contract Terms Act: Diversions On Section 2' (1987) 8 Business Law Review</w:t>
      </w: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BRENNAN, C. AND COPPACK, M.</w:t>
      </w:r>
    </w:p>
    <w:p>
      <w:pPr>
        <w:jc w:val="both"/>
        <w:rPr>
          <w:rFonts w:hint="default" w:ascii="Times New Roman" w:hAnsi="Times New Roman" w:cs="Times New Roman"/>
        </w:rPr>
      </w:pPr>
      <w:r>
        <w:rPr>
          <w:rFonts w:hint="default" w:ascii="Times New Roman" w:hAnsi="Times New Roman" w:cs="Times New Roman"/>
        </w:rPr>
        <w:t>Consumer empowerment: global context, UK strategies and vulnerable consumers</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Carol Brennan and Martin Coppack, 'Consumer Empowerment: Global Context, UK Strategies And Vulnerable Consumers' (2008) 32 International Journal of Consumer Studies.</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Brennan C, and Coppack M, 'Consumer Empowerment: Global Context, UK Strategies And Vulnerable Consumers' (2008) 32 International Journal of Consumer Studies</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WHITTAKER, S.</w:t>
      </w:r>
    </w:p>
    <w:p>
      <w:pPr>
        <w:jc w:val="both"/>
        <w:rPr>
          <w:rFonts w:hint="default" w:ascii="Times New Roman" w:hAnsi="Times New Roman" w:cs="Times New Roman"/>
        </w:rPr>
      </w:pPr>
      <w:r>
        <w:rPr>
          <w:rFonts w:hint="default" w:ascii="Times New Roman" w:hAnsi="Times New Roman" w:cs="Times New Roman"/>
        </w:rPr>
        <w:t>Unfair Contract Terms and Consumer Guarantees: the Proposal for a Directive on Consumer Rights and the Significance of ‘Full Harmonisation’</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Simon Whittaker, 'Unfair Contract Terms And Consumer Guarantees: The Proposal For A Directive On Consumer Rights And The Significance Of ‘Full Harmonisation’' (2009) 5 European Review of Contract Law.</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Whittaker S, 'Unfair Contract Terms And Consumer Guarantees: The Proposal For A Directive On Consumer Rights And The Significance Of ‘Full Harmonisation’' (2009) 5 European Review of Contract Law</w:t>
      </w: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CONSUMER PROTECTION ACT: PRODUCT LIABILITY AND CONSUMER SAFETY</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'Consumer Protection Act: Product Liability And Consumer Safety' (1987) 8 Business Law Review.</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'Consumer Protection Act: Product Liability And Consumer Safety' (1987) 8 Business Law Review</w:t>
      </w: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PRODUCT LIABILITY AND SAFETY IN THE UK (ENGLAND AND WALES): OVERVIEW | PRACTICAL LAW</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'Product Liability And Safety In The UK (England And Wales): Overview | Practical Law' (</w:t>
      </w:r>
      <w:r>
        <w:rPr>
          <w:rFonts w:hint="default" w:ascii="Times New Roman" w:hAnsi="Times New Roman" w:cs="Times New Roman"/>
          <w:i/>
          <w:iCs/>
        </w:rPr>
        <w:t>Practical Law</w:t>
      </w:r>
      <w:r>
        <w:rPr>
          <w:rFonts w:hint="default" w:ascii="Times New Roman" w:hAnsi="Times New Roman" w:cs="Times New Roman"/>
        </w:rPr>
        <w:t>, 2022) &lt;https://uk.practicallaw.thomsonreuters.com/w-013-0564?contextData=%28sc.Default%29&gt; accessed 6 May 2022.</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'Product Liability And Safety In The UK (England And Wales): Overview | Practical Law' (</w:t>
      </w:r>
      <w:r>
        <w:rPr>
          <w:rFonts w:hint="default" w:ascii="Times New Roman" w:hAnsi="Times New Roman" w:cs="Times New Roman"/>
          <w:i/>
          <w:iCs/>
        </w:rPr>
        <w:t>Practical Law</w:t>
      </w:r>
      <w:r>
        <w:rPr>
          <w:rFonts w:hint="default" w:ascii="Times New Roman" w:hAnsi="Times New Roman" w:cs="Times New Roman"/>
        </w:rPr>
        <w:t>, 2022) &lt;https://uk.practicallaw.thomsonreuters.com/w-013-0564?contextData=%28sc.Default%29&gt; accessed 6 May 2022</w:t>
      </w: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CONSUMER REMEDIES FOR FAULTY GOODS | LAW COMMISSION</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'Consumer Remedies For Faulty Goods | Law Commission' (</w:t>
      </w:r>
      <w:r>
        <w:rPr>
          <w:rFonts w:hint="default" w:ascii="Times New Roman" w:hAnsi="Times New Roman" w:cs="Times New Roman"/>
          <w:i/>
          <w:iCs/>
        </w:rPr>
        <w:t>Lawcom.gov.uk</w:t>
      </w:r>
      <w:r>
        <w:rPr>
          <w:rFonts w:hint="default" w:ascii="Times New Roman" w:hAnsi="Times New Roman" w:cs="Times New Roman"/>
        </w:rPr>
        <w:t>, 2022) &lt;https://www.lawcom.gov.uk/project/consumer-remedies-for-faulty-goods/&gt; accessed 6 May 2022.</w:t>
      </w:r>
    </w:p>
    <w:p>
      <w:pPr>
        <w:jc w:val="both"/>
        <w:rPr>
          <w:rFonts w:hint="default" w:ascii="Times New Roman" w:hAnsi="Times New Roman" w:cs="Times New Roman"/>
        </w:rPr>
      </w:pPr>
      <w:r>
        <w:rPr>
          <w:rFonts w:hint="default" w:ascii="Times New Roman" w:hAnsi="Times New Roman" w:cs="Times New Roman"/>
          <w:b/>
          <w:bCs/>
        </w:rPr>
        <w:t>Bibliography: </w:t>
      </w:r>
      <w:r>
        <w:rPr>
          <w:rFonts w:hint="default" w:ascii="Times New Roman" w:hAnsi="Times New Roman" w:cs="Times New Roman"/>
        </w:rPr>
        <w:t>'Consumer Remedies For Faulty Goods | Law Commission' (</w:t>
      </w:r>
      <w:r>
        <w:rPr>
          <w:rFonts w:hint="default" w:ascii="Times New Roman" w:hAnsi="Times New Roman" w:cs="Times New Roman"/>
          <w:i/>
          <w:iCs/>
        </w:rPr>
        <w:t>Lawcom.gov.uk</w:t>
      </w:r>
      <w:r>
        <w:rPr>
          <w:rFonts w:hint="default" w:ascii="Times New Roman" w:hAnsi="Times New Roman" w:cs="Times New Roman"/>
        </w:rPr>
        <w:t>, 2022) &lt;https://www.lawcom.gov.uk/project/consumer-remedies-for-faulty-goods/&gt; accessed 6 May 2022</w:t>
      </w:r>
    </w:p>
    <w:p>
      <w:pPr>
        <w:jc w:val="both"/>
        <w:rPr>
          <w:rFonts w:hint="default" w:ascii="Times New Roman" w:hAnsi="Times New Roman" w:cs="Times New Roman"/>
        </w:rPr>
      </w:pPr>
    </w:p>
    <w:p>
      <w:pPr>
        <w:numPr>
          <w:ilvl w:val="0"/>
          <w:numId w:val="1"/>
        </w:numPr>
        <w:ind w:left="420" w:leftChars="0" w:hanging="420" w:firstLineChars="0"/>
        <w:jc w:val="both"/>
        <w:rPr>
          <w:rFonts w:hint="default" w:ascii="Times New Roman" w:hAnsi="Times New Roman" w:cs="Times New Roman"/>
          <w:b/>
          <w:bCs/>
        </w:rPr>
      </w:pPr>
      <w:r>
        <w:rPr>
          <w:rFonts w:hint="default" w:ascii="Times New Roman" w:hAnsi="Times New Roman" w:cs="Times New Roman"/>
          <w:b/>
          <w:bCs/>
        </w:rPr>
        <w:t>CONSUMER RIGHTS ACT 2015</w:t>
      </w:r>
    </w:p>
    <w:p>
      <w:pPr>
        <w:jc w:val="both"/>
        <w:rPr>
          <w:rFonts w:hint="default" w:ascii="Times New Roman" w:hAnsi="Times New Roman" w:cs="Times New Roman"/>
        </w:rPr>
      </w:pPr>
      <w:r>
        <w:rPr>
          <w:rFonts w:hint="default" w:ascii="Times New Roman" w:hAnsi="Times New Roman" w:cs="Times New Roman"/>
          <w:b/>
          <w:bCs/>
        </w:rPr>
        <w:t>Footnote: </w:t>
      </w:r>
      <w:r>
        <w:rPr>
          <w:rFonts w:hint="default" w:ascii="Times New Roman" w:hAnsi="Times New Roman" w:cs="Times New Roman"/>
        </w:rPr>
        <w:t>'Consumer Rights Act 2015' (</w:t>
      </w:r>
      <w:r>
        <w:rPr>
          <w:rFonts w:hint="default" w:ascii="Times New Roman" w:hAnsi="Times New Roman" w:cs="Times New Roman"/>
          <w:i/>
          <w:iCs/>
        </w:rPr>
        <w:t>Legislation.gov.uk</w:t>
      </w:r>
      <w:r>
        <w:rPr>
          <w:rFonts w:hint="default" w:ascii="Times New Roman" w:hAnsi="Times New Roman" w:cs="Times New Roman"/>
        </w:rPr>
        <w:t>, 2022) &lt;https://www.legislation.gov.uk/ukpga/2015/15/part/2/enacted&gt; accessed 6 May 2022.</w:t>
      </w:r>
    </w:p>
    <w:p>
      <w:pPr>
        <w:jc w:val="both"/>
        <w:rPr>
          <w:rFonts w:hint="default" w:ascii="Times New Roman" w:hAnsi="Times New Roman" w:cs="Times New Roman"/>
        </w:rPr>
      </w:pPr>
      <w:r>
        <w:rPr>
          <w:rFonts w:hint="default" w:ascii="Times New Roman" w:hAnsi="Times New Roman" w:cs="Times New Roman"/>
          <w:b/>
          <w:bCs/>
        </w:rPr>
        <w:t>Your Bibliography: </w:t>
      </w:r>
      <w:r>
        <w:rPr>
          <w:rFonts w:hint="default" w:ascii="Times New Roman" w:hAnsi="Times New Roman" w:cs="Times New Roman"/>
        </w:rPr>
        <w:t>'Consumer Rights Act 2015' (</w:t>
      </w:r>
      <w:r>
        <w:rPr>
          <w:rFonts w:hint="default" w:ascii="Times New Roman" w:hAnsi="Times New Roman" w:cs="Times New Roman"/>
          <w:i/>
          <w:iCs/>
        </w:rPr>
        <w:t>Legislation.gov.uk</w:t>
      </w:r>
      <w:r>
        <w:rPr>
          <w:rFonts w:hint="default" w:ascii="Times New Roman" w:hAnsi="Times New Roman" w:cs="Times New Roman"/>
        </w:rPr>
        <w:t>, 2022) &lt;https://www.legislation.gov.uk/ukpga/2015/15/part/2/enacted&gt; accessed 6 May 2022</w:t>
      </w:r>
    </w:p>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cs="Arial"/>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75A5D2"/>
    <w:multiLevelType w:val="singleLevel"/>
    <w:tmpl w:val="EC75A5D2"/>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E6A"/>
    <w:rsid w:val="00026E6A"/>
    <w:rsid w:val="00084795"/>
    <w:rsid w:val="000D0DE0"/>
    <w:rsid w:val="00141196"/>
    <w:rsid w:val="001755BE"/>
    <w:rsid w:val="001E451C"/>
    <w:rsid w:val="001F2A85"/>
    <w:rsid w:val="00284D93"/>
    <w:rsid w:val="00394053"/>
    <w:rsid w:val="004004D0"/>
    <w:rsid w:val="00594495"/>
    <w:rsid w:val="00671340"/>
    <w:rsid w:val="00682A48"/>
    <w:rsid w:val="006B5B79"/>
    <w:rsid w:val="006C6948"/>
    <w:rsid w:val="006F554E"/>
    <w:rsid w:val="00704C35"/>
    <w:rsid w:val="00741A2F"/>
    <w:rsid w:val="0076591C"/>
    <w:rsid w:val="00871727"/>
    <w:rsid w:val="008F0921"/>
    <w:rsid w:val="00942393"/>
    <w:rsid w:val="009943F1"/>
    <w:rsid w:val="009B3DAE"/>
    <w:rsid w:val="009E4629"/>
    <w:rsid w:val="00A14A78"/>
    <w:rsid w:val="00A861D4"/>
    <w:rsid w:val="00B52B4E"/>
    <w:rsid w:val="00B93A98"/>
    <w:rsid w:val="00CA2227"/>
    <w:rsid w:val="00E62043"/>
    <w:rsid w:val="00EF45D7"/>
    <w:rsid w:val="00EF7268"/>
    <w:rsid w:val="00F267D2"/>
    <w:rsid w:val="00F379D2"/>
    <w:rsid w:val="00FA1456"/>
    <w:rsid w:val="229A15EA"/>
    <w:rsid w:val="4CE1731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4"/>
      <w:szCs w:val="24"/>
      <w:lang w:val="en-MY" w:eastAsia="en-US" w:bidi="ar-SA"/>
    </w:rPr>
  </w:style>
  <w:style w:type="character" w:default="1" w:styleId="2">
    <w:name w:val="Default Paragraph Font"/>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 w:type="paragraph" w:styleId="5">
    <w:name w:val="List Paragraph"/>
    <w:basedOn w:val="1"/>
    <w:qFormat/>
    <w:uiPriority w:val="34"/>
    <w:pPr>
      <w:ind w:left="720"/>
      <w:contextualSpacing/>
    </w:pPr>
    <w:rPr>
      <w:rFonts w:ascii="Times New Roman" w:hAnsi="Times New Roman" w:eastAsia="Times New Roman" w:cs="Times New Roman"/>
      <w:sz w:val="20"/>
      <w:szCs w:val="20"/>
      <w:lang w:val="en-GB" w:eastAsia="en-GB"/>
    </w:rPr>
  </w:style>
  <w:style w:type="character" w:customStyle="1" w:styleId="6">
    <w:name w:val="Unresolved Mention"/>
    <w:basedOn w:val="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3294</Words>
  <Characters>18781</Characters>
  <Lines>156</Lines>
  <Paragraphs>44</Paragraphs>
  <TotalTime>4</TotalTime>
  <ScaleCrop>false</ScaleCrop>
  <LinksUpToDate>false</LinksUpToDate>
  <CharactersWithSpaces>22031</CharactersWithSpaces>
  <Application>WPS Office_11.2.0.11130_F1E327BC-269C-435d-A152-05C5408002CA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2022-05-03T19:35:00Z</dcterms:created>
  <dc:creator>NURAIN SYAZWANI BINTI KAMARUL AZAM</dc:creator>
  <cp:lastModifiedBy>User</cp:lastModifiedBy>
  <dcterms:modified xsi:type="dcterms:W3CDTF">2022-05-06T20:15:25Z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1501C00ABFB0442FA0DB53ABE813E765</vt:lpwstr>
  </property>
</Properties>
</file>