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D3F8B" w14:textId="77777777" w:rsidR="00D60AEB" w:rsidRDefault="00D60AEB">
      <w:pPr>
        <w:pStyle w:val="p1"/>
      </w:pPr>
      <w:r>
        <w:rPr>
          <w:rStyle w:val="s1"/>
        </w:rPr>
        <w:t>Name: Ahlam hail</w:t>
      </w:r>
    </w:p>
    <w:p w14:paraId="0DFB608F" w14:textId="77777777" w:rsidR="00D60AEB" w:rsidRDefault="00D60AEB">
      <w:pPr>
        <w:pStyle w:val="p1"/>
      </w:pPr>
      <w:r>
        <w:rPr>
          <w:rStyle w:val="s1"/>
        </w:rPr>
        <w:t>Student Number: 2432019</w:t>
      </w:r>
    </w:p>
    <w:p w14:paraId="7FB4161A" w14:textId="77777777" w:rsidR="00D60AEB" w:rsidRDefault="00D60AEB">
      <w:pPr>
        <w:pStyle w:val="p1"/>
      </w:pPr>
      <w:r>
        <w:rPr>
          <w:rStyle w:val="s1"/>
        </w:rPr>
        <w:t>Module Code and Title:Psychology of Health and Social Care</w:t>
      </w:r>
    </w:p>
    <w:p w14:paraId="3AC0E094" w14:textId="77777777" w:rsidR="00D60AEB" w:rsidRDefault="00D60AEB">
      <w:pPr>
        <w:pStyle w:val="p1"/>
      </w:pPr>
      <w:r>
        <w:rPr>
          <w:rStyle w:val="s1"/>
        </w:rPr>
        <w:t>Assignment Title: Two-Part Assessment: Annotated Bibliography and Short Report on Adult Development and Wellbeing</w:t>
      </w:r>
    </w:p>
    <w:p w14:paraId="14744E48" w14:textId="77777777" w:rsidR="00D60AEB" w:rsidRDefault="00D60AEB">
      <w:pPr>
        <w:pStyle w:val="p1"/>
      </w:pPr>
      <w:r>
        <w:rPr>
          <w:rStyle w:val="s1"/>
        </w:rPr>
        <w:t>Part A: Annotated Bibliography</w:t>
      </w:r>
    </w:p>
    <w:p w14:paraId="4CEBE2B1" w14:textId="77777777" w:rsidR="00D60AEB" w:rsidRDefault="00D60AEB">
      <w:pPr>
        <w:pStyle w:val="p2"/>
      </w:pPr>
    </w:p>
    <w:p w14:paraId="10648588" w14:textId="77777777" w:rsidR="00D60AEB" w:rsidRDefault="00D60AEB">
      <w:pPr>
        <w:pStyle w:val="p1"/>
      </w:pPr>
      <w:r>
        <w:rPr>
          <w:rStyle w:val="s1"/>
        </w:rPr>
        <w:t xml:space="preserve">Reference for Source 1: </w:t>
      </w:r>
      <w:proofErr w:type="spellStart"/>
      <w:r>
        <w:rPr>
          <w:rStyle w:val="s1"/>
        </w:rPr>
        <w:t>Erikson</w:t>
      </w:r>
      <w:proofErr w:type="spellEnd"/>
      <w:r>
        <w:rPr>
          <w:rStyle w:val="s1"/>
        </w:rPr>
        <w:t xml:space="preserve">, E. He. and J. </w:t>
      </w:r>
      <w:proofErr w:type="spellStart"/>
      <w:r>
        <w:rPr>
          <w:rStyle w:val="s1"/>
        </w:rPr>
        <w:t>Erikson</w:t>
      </w:r>
      <w:proofErr w:type="spellEnd"/>
      <w:r>
        <w:rPr>
          <w:rStyle w:val="s1"/>
        </w:rPr>
        <w:t xml:space="preserve">. A M. (1998) The life cycle finished (longer version). W. New York. A W. Norton and Associates. This text examines "Integrity versus Despair," the last phase of psychosocial development. The authors contend that as people get older, they need to reflect on their lives with a sense of </w:t>
      </w:r>
      <w:proofErr w:type="spellStart"/>
      <w:r>
        <w:rPr>
          <w:rStyle w:val="s1"/>
        </w:rPr>
        <w:t>fulfillment</w:t>
      </w:r>
      <w:proofErr w:type="spellEnd"/>
      <w:r>
        <w:rPr>
          <w:rStyle w:val="s1"/>
        </w:rPr>
        <w:t xml:space="preserve"> and closure. When this stage is completed successfully, one acquires the virtue of wisdom; when it is not completed successfully, one develops resentment and a fear of dying. Critical Comment: This theory is essential for helping older adults in residential care, according to health and social care professionals. The significance of "Life Review" therapy is </w:t>
      </w:r>
      <w:proofErr w:type="spellStart"/>
      <w:r>
        <w:rPr>
          <w:rStyle w:val="s1"/>
        </w:rPr>
        <w:t>emphasized</w:t>
      </w:r>
      <w:proofErr w:type="spellEnd"/>
      <w:r>
        <w:rPr>
          <w:rStyle w:val="s1"/>
        </w:rPr>
        <w:t>. Staff can assist residents in achieving the "Integrity" required for psychological wellbeing by encouraging them to share their life stories. This will help residents avoid the depression that is frequently linked to the "Despair" of believing their life was pointless.</w:t>
      </w:r>
    </w:p>
    <w:p w14:paraId="7B637517" w14:textId="77777777" w:rsidR="00D60AEB" w:rsidRDefault="00D60AEB">
      <w:pPr>
        <w:pStyle w:val="p2"/>
      </w:pPr>
    </w:p>
    <w:p w14:paraId="318FE685" w14:textId="77777777" w:rsidR="00D60AEB" w:rsidRDefault="00D60AEB">
      <w:pPr>
        <w:pStyle w:val="p1"/>
      </w:pPr>
      <w:r>
        <w:rPr>
          <w:rStyle w:val="s1"/>
        </w:rPr>
        <w:t xml:space="preserve">Reference for Source 2: </w:t>
      </w:r>
      <w:proofErr w:type="spellStart"/>
      <w:r>
        <w:rPr>
          <w:rStyle w:val="s1"/>
        </w:rPr>
        <w:t>Havighurst</w:t>
      </w:r>
      <w:proofErr w:type="spellEnd"/>
      <w:r>
        <w:rPr>
          <w:rStyle w:val="s1"/>
        </w:rPr>
        <w:t xml:space="preserve">, </w:t>
      </w:r>
      <w:proofErr w:type="spellStart"/>
      <w:r>
        <w:rPr>
          <w:rStyle w:val="s1"/>
        </w:rPr>
        <w:t>RdotJ</w:t>
      </w:r>
      <w:proofErr w:type="spellEnd"/>
      <w:r>
        <w:rPr>
          <w:rStyle w:val="s1"/>
        </w:rPr>
        <w:t xml:space="preserve">. The Gerontologist, 1(1), pp. (1961) 'Successful Aging'. 8-13. According to </w:t>
      </w:r>
      <w:proofErr w:type="spellStart"/>
      <w:r>
        <w:rPr>
          <w:rStyle w:val="s1"/>
        </w:rPr>
        <w:t>Havighurst's</w:t>
      </w:r>
      <w:proofErr w:type="spellEnd"/>
      <w:r>
        <w:rPr>
          <w:rStyle w:val="s1"/>
        </w:rPr>
        <w:t xml:space="preserve"> Activity Theory, maintaining social connections and an active lifestyle are essential for a happy old age. In order to stay integrated into society and preserve a positive self-image, he advises older adults who abandon roles (due to retirement or the death of a spouse) to substitute them with new pursuits. Critical Remark: This theory offers a precise framework for intervention in a care facility. It implies that psychological deterioration is frequently the outcome of social disengagement rather than an inherent aspect of aging. This can be used by professionals to support the implementation of a variety of social programs that maintain residents' engagement and directly improve their mental health and sense of worth.</w:t>
      </w:r>
    </w:p>
    <w:p w14:paraId="788B5D32" w14:textId="77777777" w:rsidR="00D60AEB" w:rsidRDefault="00D60AEB">
      <w:pPr>
        <w:pStyle w:val="p2"/>
      </w:pPr>
    </w:p>
    <w:p w14:paraId="1583420D" w14:textId="77777777" w:rsidR="00D60AEB" w:rsidRDefault="00D60AEB">
      <w:pPr>
        <w:pStyle w:val="p1"/>
      </w:pPr>
      <w:r>
        <w:rPr>
          <w:rStyle w:val="s1"/>
        </w:rPr>
        <w:t xml:space="preserve">Knight, B. is the third reference. Gu. and N. </w:t>
      </w:r>
      <w:proofErr w:type="spellStart"/>
      <w:r>
        <w:rPr>
          <w:rStyle w:val="s1"/>
        </w:rPr>
        <w:t>Pachana</w:t>
      </w:r>
      <w:proofErr w:type="spellEnd"/>
      <w:r>
        <w:rPr>
          <w:rStyle w:val="s1"/>
        </w:rPr>
        <w:t xml:space="preserve">. The A. (2008) World Psychiatry, 7(3), pp. "Psychological assessment and therapy with older adults.". 152–148. This article highlights the need to tailor mental health services to the developmental stage of late adulthood while discussing the unique psychological needs of the elderly. It focuses on how a person's sense of self and cognitive abilities are affected by chronic illness and loss of independence. Critical Comment: Because it highlights that physical care is insufficient without psychological support, this source is extremely pertinent to caregivers. It demonstrates how managing </w:t>
      </w:r>
      <w:proofErr w:type="spellStart"/>
      <w:r>
        <w:rPr>
          <w:rStyle w:val="s1"/>
        </w:rPr>
        <w:t>behavioral</w:t>
      </w:r>
      <w:proofErr w:type="spellEnd"/>
      <w:r>
        <w:rPr>
          <w:rStyle w:val="s1"/>
        </w:rPr>
        <w:t xml:space="preserve"> issues in health and social care settings requires an understanding of a resident's emotional state, which supports the application of developmental theories.</w:t>
      </w:r>
    </w:p>
    <w:p w14:paraId="67899C00" w14:textId="77777777" w:rsidR="00D60AEB" w:rsidRDefault="00D60AEB">
      <w:pPr>
        <w:pStyle w:val="p2"/>
      </w:pPr>
    </w:p>
    <w:p w14:paraId="25329D72" w14:textId="77777777" w:rsidR="00D60AEB" w:rsidRDefault="00D60AEB">
      <w:pPr>
        <w:pStyle w:val="p1"/>
      </w:pPr>
      <w:r>
        <w:rPr>
          <w:rStyle w:val="s1"/>
        </w:rPr>
        <w:t xml:space="preserve">Reference for Source 4: Steptoe, A. A. </w:t>
      </w:r>
      <w:proofErr w:type="spellStart"/>
      <w:r>
        <w:rPr>
          <w:rStyle w:val="s1"/>
        </w:rPr>
        <w:t>Deaton</w:t>
      </w:r>
      <w:proofErr w:type="spellEnd"/>
      <w:r>
        <w:rPr>
          <w:rStyle w:val="s1"/>
        </w:rPr>
        <w:t>. and A. Stone. The A. (2015) The Lancet, 385(9968), pp. "Subjective wellbeing, health, and ageing.". 648–640. This study offers empirical evidence that links improved physical health outcomes in older populations to subjective wellbeing, particularly a sense of purpose and social connection. It makes the case that preserving high levels of wellbeing can actually prevent frailty from getting worse. Critical Comment: This demonstrates Activity Theory's usefulness. For social workers, it demonstrates that fostering psychological wellbeing is not merely about "happiness" but rather a clinical requirement that enhances the general health and longevity of senior citizens residing in residential facilities. Section B: Synopsis.</w:t>
      </w:r>
    </w:p>
    <w:p w14:paraId="21CED20B" w14:textId="77777777" w:rsidR="00D60AEB" w:rsidRDefault="00D60AEB">
      <w:pPr>
        <w:pStyle w:val="p2"/>
      </w:pPr>
    </w:p>
    <w:p w14:paraId="165CA93F" w14:textId="77777777" w:rsidR="00D60AEB" w:rsidRDefault="00D60AEB">
      <w:pPr>
        <w:pStyle w:val="p1"/>
      </w:pPr>
      <w:r>
        <w:rPr>
          <w:rStyle w:val="s1"/>
        </w:rPr>
        <w:t>To: Health and Social Care Professionals</w:t>
      </w:r>
    </w:p>
    <w:p w14:paraId="7BD580AB" w14:textId="77777777" w:rsidR="00D60AEB" w:rsidRDefault="00D60AEB">
      <w:pPr>
        <w:pStyle w:val="p1"/>
      </w:pPr>
      <w:r>
        <w:rPr>
          <w:rStyle w:val="s1"/>
        </w:rPr>
        <w:t>From: Ahlam Hail</w:t>
      </w:r>
    </w:p>
    <w:p w14:paraId="48B61575" w14:textId="77777777" w:rsidR="00D60AEB" w:rsidRDefault="00D60AEB">
      <w:pPr>
        <w:pStyle w:val="p1"/>
      </w:pPr>
      <w:r>
        <w:rPr>
          <w:rStyle w:val="s1"/>
        </w:rPr>
        <w:t>Date: March 2, 2026</w:t>
      </w:r>
    </w:p>
    <w:p w14:paraId="0C621494" w14:textId="77777777" w:rsidR="00D60AEB" w:rsidRDefault="00D60AEB">
      <w:pPr>
        <w:pStyle w:val="p1"/>
      </w:pPr>
      <w:r>
        <w:rPr>
          <w:rStyle w:val="s1"/>
        </w:rPr>
        <w:t>Subject: Applying Activity Theory to Enhance Wellbeing in Older Adults Care Homes</w:t>
      </w:r>
    </w:p>
    <w:p w14:paraId="29BC3AE6" w14:textId="77777777" w:rsidR="00D60AEB" w:rsidRDefault="00D60AEB">
      <w:pPr>
        <w:pStyle w:val="p2"/>
      </w:pPr>
    </w:p>
    <w:p w14:paraId="352C47D2" w14:textId="77777777" w:rsidR="00D60AEB" w:rsidRDefault="00D60AEB">
      <w:pPr>
        <w:pStyle w:val="p1"/>
      </w:pPr>
      <w:r>
        <w:rPr>
          <w:rStyle w:val="s1"/>
        </w:rPr>
        <w:t xml:space="preserve">One. This report aims to investigate how health and social care providers can use Robert </w:t>
      </w:r>
      <w:proofErr w:type="spellStart"/>
      <w:r>
        <w:rPr>
          <w:rStyle w:val="s1"/>
        </w:rPr>
        <w:t>Havighurst's</w:t>
      </w:r>
      <w:proofErr w:type="spellEnd"/>
      <w:r>
        <w:rPr>
          <w:rStyle w:val="s1"/>
        </w:rPr>
        <w:t xml:space="preserve"> Activity Theory to improve the psychological well-being of older adults living in residential settings. People who move into care frequently experience "role loss," which can result in social isolation and a deterioration in mental health. This study makes the case that having a vibrant social life is crucial for aging well.</w:t>
      </w:r>
      <w:r>
        <w:rPr>
          <w:rStyle w:val="apple-converted-space"/>
          <w:rFonts w:ascii="UICTFontTextStyleBody" w:hAnsi="UICTFontTextStyleBody"/>
        </w:rPr>
        <w:t> </w:t>
      </w:r>
    </w:p>
    <w:p w14:paraId="7ECC1AF4" w14:textId="77777777" w:rsidR="00D60AEB" w:rsidRDefault="00D60AEB">
      <w:pPr>
        <w:pStyle w:val="p2"/>
      </w:pPr>
    </w:p>
    <w:p w14:paraId="7732F068" w14:textId="77777777" w:rsidR="00D60AEB" w:rsidRDefault="00D60AEB">
      <w:pPr>
        <w:pStyle w:val="p1"/>
      </w:pPr>
      <w:r>
        <w:rPr>
          <w:rStyle w:val="s1"/>
        </w:rPr>
        <w:t>Two. Theoretical Framework: According to Activity Theory (</w:t>
      </w:r>
      <w:proofErr w:type="spellStart"/>
      <w:r>
        <w:rPr>
          <w:rStyle w:val="s1"/>
        </w:rPr>
        <w:t>Havighurst</w:t>
      </w:r>
      <w:proofErr w:type="spellEnd"/>
      <w:r>
        <w:rPr>
          <w:rStyle w:val="s1"/>
        </w:rPr>
        <w:t>, 1961), older adults' psychological needs are essentially the same as those of younger people. Older adults must continue to be socially and physically active in order to preserve a positive self-image and general life satisfaction. When an individual loses a position (e. The g. being a homeowner or employee), they have to substitute it with a different activity (e.g. The g. volunteering or becoming a member of a social club). This means that in order to make residents feel appreciated and included, staff members in a care facility should actively facilitate "roles" for them in addition to providing "care.".</w:t>
      </w:r>
    </w:p>
    <w:p w14:paraId="783DCA07" w14:textId="77777777" w:rsidR="00D60AEB" w:rsidRDefault="00D60AEB">
      <w:pPr>
        <w:pStyle w:val="p2"/>
      </w:pPr>
    </w:p>
    <w:p w14:paraId="757C5F4F" w14:textId="77777777" w:rsidR="00D60AEB" w:rsidRDefault="00D60AEB">
      <w:pPr>
        <w:pStyle w:val="p1"/>
      </w:pPr>
      <w:r>
        <w:rPr>
          <w:rStyle w:val="s1"/>
        </w:rPr>
        <w:t xml:space="preserve">Third. Case Scenario To demonstrate this, think about "Mrs. B," a 78-year-old former elementary school teacher who just moved into a residential home. She has become more reclusive since being admitted, spending the majority of her time in her room and exhibiting early symptoms of depression. Her identity in a past life was </w:t>
      </w:r>
      <w:proofErr w:type="spellStart"/>
      <w:r>
        <w:rPr>
          <w:rStyle w:val="s1"/>
        </w:rPr>
        <w:t>characterized</w:t>
      </w:r>
      <w:proofErr w:type="spellEnd"/>
      <w:r>
        <w:rPr>
          <w:rStyle w:val="s1"/>
        </w:rPr>
        <w:t xml:space="preserve"> by "assisting and instructing others.". The care team uses Activity Theory to determine that Mrs. B's lack of wellbeing is a result of losing her "teaching" role. In order to help, the staff asks her to facilitate a brief "reading circle" for residents who are blind or visually impaired. Mrs. B's mood improves, her social interactions increase, and she expresses a renewed sense of purpose after regaining a role similar to her previous career.</w:t>
      </w:r>
    </w:p>
    <w:p w14:paraId="3F6141C6" w14:textId="77777777" w:rsidR="00D60AEB" w:rsidRDefault="00D60AEB">
      <w:pPr>
        <w:pStyle w:val="p2"/>
      </w:pPr>
    </w:p>
    <w:p w14:paraId="11252E50" w14:textId="77777777" w:rsidR="00D60AEB" w:rsidRDefault="00D60AEB">
      <w:pPr>
        <w:pStyle w:val="p1"/>
      </w:pPr>
      <w:r>
        <w:rPr>
          <w:rStyle w:val="s1"/>
        </w:rPr>
        <w:t>Four. Problems and Solutions for Professionals Physical or cognitive decline is a major obstacle to the application of Activity Theory. For instance, a resident with severe arthritis or advanced dementia might not be able to take part in typical group activities, which would be extremely frustrating.</w:t>
      </w:r>
    </w:p>
    <w:p w14:paraId="5A6E5D52" w14:textId="77777777" w:rsidR="00D60AEB" w:rsidRDefault="00D60AEB">
      <w:pPr>
        <w:pStyle w:val="p2"/>
      </w:pPr>
    </w:p>
    <w:p w14:paraId="56FEFDB6" w14:textId="77777777" w:rsidR="00D60AEB" w:rsidRDefault="00D60AEB">
      <w:pPr>
        <w:pStyle w:val="p1"/>
      </w:pPr>
      <w:r>
        <w:rPr>
          <w:rStyle w:val="s1"/>
        </w:rPr>
        <w:t>Professionals should employ "</w:t>
      </w:r>
      <w:proofErr w:type="spellStart"/>
      <w:r>
        <w:rPr>
          <w:rStyle w:val="s1"/>
        </w:rPr>
        <w:t>Person-Centered</w:t>
      </w:r>
      <w:proofErr w:type="spellEnd"/>
      <w:r>
        <w:rPr>
          <w:rStyle w:val="s1"/>
        </w:rPr>
        <w:t xml:space="preserve"> Adaptation" as a strategy (Plan A). This entails dividing tasks into manageable chunks according to the resident's present skill level. A resident may serve as the "scorekeeper" or "referee" if they are unable to participate in a sport. "Activity" may be reduced to sensory engagement for a person suffering from dementia, such as doing laundry or listening to music. Even if the physical task is made simpler, it is important to preserve the sense of contribution and social connection.</w:t>
      </w:r>
    </w:p>
    <w:p w14:paraId="0F5810AD" w14:textId="77777777" w:rsidR="00D60AEB" w:rsidRDefault="00D60AEB">
      <w:pPr>
        <w:pStyle w:val="p2"/>
      </w:pPr>
    </w:p>
    <w:p w14:paraId="4084835B" w14:textId="77777777" w:rsidR="00D60AEB" w:rsidRDefault="00D60AEB">
      <w:pPr>
        <w:pStyle w:val="p1"/>
      </w:pPr>
      <w:r>
        <w:rPr>
          <w:rStyle w:val="s1"/>
        </w:rPr>
        <w:t>Contingency (Plan B): A "Plan B" based on Continuity Theory must be put into place if a resident finds social roles overwhelming or does not react well to increased activity. This entails changing the emphasis from "new activities" to quiet, personal hobbies that support the resident's current internal identity. Plan B would be to give Mrs. B, a resident, teaching journals or educational books to read in private if she is anxious about leading a group. This guarantees that, free from the demands of social performance, her psychological identity as a "teacher" is maintained.</w:t>
      </w:r>
    </w:p>
    <w:p w14:paraId="36B010FA" w14:textId="77777777" w:rsidR="00D60AEB" w:rsidRDefault="00D60AEB">
      <w:pPr>
        <w:pStyle w:val="p2"/>
      </w:pPr>
    </w:p>
    <w:p w14:paraId="1B881546" w14:textId="77777777" w:rsidR="00D60AEB" w:rsidRDefault="00D60AEB">
      <w:pPr>
        <w:pStyle w:val="p1"/>
      </w:pPr>
      <w:r>
        <w:rPr>
          <w:rStyle w:val="s1"/>
        </w:rPr>
        <w:t xml:space="preserve">Five. In conclusion, achieving psychological wellbeing in late adulthood is an active </w:t>
      </w:r>
      <w:proofErr w:type="spellStart"/>
      <w:r>
        <w:rPr>
          <w:rStyle w:val="s1"/>
        </w:rPr>
        <w:t>endeavor</w:t>
      </w:r>
      <w:proofErr w:type="spellEnd"/>
      <w:r>
        <w:rPr>
          <w:rStyle w:val="s1"/>
        </w:rPr>
        <w:t xml:space="preserve"> rather than a passive state. Health and social care workers can make sure that residential care is a place of ongoing development rather than retreat by applying Activity Theory. We can greatly enhance the quality of life for the elderly people under our care by substituting new, doable activities for lost roles.</w:t>
      </w:r>
    </w:p>
    <w:p w14:paraId="4EA4D8B9" w14:textId="77777777" w:rsidR="00D60AEB" w:rsidRDefault="00D60AEB">
      <w:pPr>
        <w:pStyle w:val="p2"/>
      </w:pPr>
    </w:p>
    <w:p w14:paraId="251B1730" w14:textId="77777777" w:rsidR="00D60AEB" w:rsidRDefault="00D60AEB">
      <w:pPr>
        <w:pStyle w:val="p1"/>
      </w:pPr>
      <w:r>
        <w:rPr>
          <w:rStyle w:val="s1"/>
        </w:rPr>
        <w:t>References</w:t>
      </w:r>
    </w:p>
    <w:p w14:paraId="1B554815" w14:textId="77777777" w:rsidR="00D60AEB" w:rsidRDefault="00D60AEB">
      <w:pPr>
        <w:pStyle w:val="p2"/>
      </w:pPr>
    </w:p>
    <w:p w14:paraId="31BB1796" w14:textId="77777777" w:rsidR="00D60AEB" w:rsidRDefault="00D60AEB">
      <w:pPr>
        <w:pStyle w:val="p1"/>
      </w:pPr>
      <w:proofErr w:type="spellStart"/>
      <w:r>
        <w:rPr>
          <w:rStyle w:val="s1"/>
        </w:rPr>
        <w:t>Erikson</w:t>
      </w:r>
      <w:proofErr w:type="spellEnd"/>
      <w:r>
        <w:rPr>
          <w:rStyle w:val="s1"/>
        </w:rPr>
        <w:t xml:space="preserve">, E.H. and </w:t>
      </w:r>
      <w:proofErr w:type="spellStart"/>
      <w:r>
        <w:rPr>
          <w:rStyle w:val="s1"/>
        </w:rPr>
        <w:t>Erikson</w:t>
      </w:r>
      <w:proofErr w:type="spellEnd"/>
      <w:r>
        <w:rPr>
          <w:rStyle w:val="s1"/>
        </w:rPr>
        <w:t>, J.M. (1998) The life cycle completed (extended version). New York: W.W. Norton &amp; Company.</w:t>
      </w:r>
    </w:p>
    <w:p w14:paraId="718493AE" w14:textId="77777777" w:rsidR="00D60AEB" w:rsidRDefault="00D60AEB">
      <w:pPr>
        <w:pStyle w:val="p2"/>
      </w:pPr>
    </w:p>
    <w:p w14:paraId="06227147" w14:textId="77777777" w:rsidR="00D60AEB" w:rsidRDefault="00D60AEB">
      <w:pPr>
        <w:pStyle w:val="p1"/>
      </w:pPr>
      <w:proofErr w:type="spellStart"/>
      <w:r>
        <w:rPr>
          <w:rStyle w:val="s1"/>
        </w:rPr>
        <w:t>Havighurst</w:t>
      </w:r>
      <w:proofErr w:type="spellEnd"/>
      <w:r>
        <w:rPr>
          <w:rStyle w:val="s1"/>
        </w:rPr>
        <w:t>, R.J. (1961) 'Successful Aging', The Gerontologist, 1(1), pp. 8–13.</w:t>
      </w:r>
    </w:p>
    <w:p w14:paraId="72605608" w14:textId="77777777" w:rsidR="00D60AEB" w:rsidRDefault="00D60AEB">
      <w:pPr>
        <w:pStyle w:val="p2"/>
      </w:pPr>
    </w:p>
    <w:p w14:paraId="74D1554F" w14:textId="77777777" w:rsidR="00D60AEB" w:rsidRDefault="00D60AEB">
      <w:pPr>
        <w:pStyle w:val="p1"/>
      </w:pPr>
      <w:r>
        <w:rPr>
          <w:rStyle w:val="s1"/>
        </w:rPr>
        <w:t xml:space="preserve">Knight, B.G. and </w:t>
      </w:r>
      <w:proofErr w:type="spellStart"/>
      <w:r>
        <w:rPr>
          <w:rStyle w:val="s1"/>
        </w:rPr>
        <w:t>Pachana</w:t>
      </w:r>
      <w:proofErr w:type="spellEnd"/>
      <w:r>
        <w:rPr>
          <w:rStyle w:val="s1"/>
        </w:rPr>
        <w:t>, N.A. (2008) 'Psychological assessment and therapy with older adults', World Psychiatry, 7(3), pp. 148–152.</w:t>
      </w:r>
    </w:p>
    <w:p w14:paraId="1DC2A0D3" w14:textId="77777777" w:rsidR="00D60AEB" w:rsidRDefault="00D60AEB">
      <w:pPr>
        <w:pStyle w:val="p2"/>
      </w:pPr>
    </w:p>
    <w:p w14:paraId="4EA0927F" w14:textId="77777777" w:rsidR="00D60AEB" w:rsidRDefault="00D60AEB">
      <w:pPr>
        <w:pStyle w:val="p1"/>
      </w:pPr>
      <w:r>
        <w:rPr>
          <w:rStyle w:val="s1"/>
        </w:rPr>
        <w:t xml:space="preserve">Steptoe, A., </w:t>
      </w:r>
      <w:proofErr w:type="spellStart"/>
      <w:r>
        <w:rPr>
          <w:rStyle w:val="s1"/>
        </w:rPr>
        <w:t>Deaton</w:t>
      </w:r>
      <w:proofErr w:type="spellEnd"/>
      <w:r>
        <w:rPr>
          <w:rStyle w:val="s1"/>
        </w:rPr>
        <w:t>, A. and Stone, A.A. (2015) 'Subjective wellbeing, health, and ageing', The Lancet, 385(9968), pp. 640–648.</w:t>
      </w:r>
    </w:p>
    <w:p w14:paraId="0120F5CC" w14:textId="77777777" w:rsidR="00D60AEB" w:rsidRDefault="00D60AEB">
      <w:pPr>
        <w:pStyle w:val="p1"/>
      </w:pPr>
      <w:r>
        <w:rPr>
          <w:rStyle w:val="s1"/>
        </w:rPr>
        <w:t>A quick tip for your Word file:</w:t>
      </w:r>
    </w:p>
    <w:p w14:paraId="69507316" w14:textId="40E20285" w:rsidR="00426352" w:rsidRDefault="00426352"/>
    <w:sectPr w:rsidR="004263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352"/>
    <w:rsid w:val="002A0040"/>
    <w:rsid w:val="00426352"/>
    <w:rsid w:val="006A59D4"/>
    <w:rsid w:val="007418BF"/>
    <w:rsid w:val="00823A84"/>
    <w:rsid w:val="00D60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EC7C7F"/>
  <w15:chartTrackingRefBased/>
  <w15:docId w15:val="{22AB8050-CFFD-7341-9936-36B9456C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3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63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63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63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63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63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3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3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3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3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63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63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63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63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63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3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3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352"/>
    <w:rPr>
      <w:rFonts w:eastAsiaTheme="majorEastAsia" w:cstheme="majorBidi"/>
      <w:color w:val="272727" w:themeColor="text1" w:themeTint="D8"/>
    </w:rPr>
  </w:style>
  <w:style w:type="paragraph" w:styleId="Title">
    <w:name w:val="Title"/>
    <w:basedOn w:val="Normal"/>
    <w:next w:val="Normal"/>
    <w:link w:val="TitleChar"/>
    <w:uiPriority w:val="10"/>
    <w:qFormat/>
    <w:rsid w:val="004263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3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3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3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352"/>
    <w:pPr>
      <w:spacing w:before="160"/>
      <w:jc w:val="center"/>
    </w:pPr>
    <w:rPr>
      <w:i/>
      <w:iCs/>
      <w:color w:val="404040" w:themeColor="text1" w:themeTint="BF"/>
    </w:rPr>
  </w:style>
  <w:style w:type="character" w:customStyle="1" w:styleId="QuoteChar">
    <w:name w:val="Quote Char"/>
    <w:basedOn w:val="DefaultParagraphFont"/>
    <w:link w:val="Quote"/>
    <w:uiPriority w:val="29"/>
    <w:rsid w:val="00426352"/>
    <w:rPr>
      <w:i/>
      <w:iCs/>
      <w:color w:val="404040" w:themeColor="text1" w:themeTint="BF"/>
    </w:rPr>
  </w:style>
  <w:style w:type="paragraph" w:styleId="ListParagraph">
    <w:name w:val="List Paragraph"/>
    <w:basedOn w:val="Normal"/>
    <w:uiPriority w:val="34"/>
    <w:qFormat/>
    <w:rsid w:val="00426352"/>
    <w:pPr>
      <w:ind w:left="720"/>
      <w:contextualSpacing/>
    </w:pPr>
  </w:style>
  <w:style w:type="character" w:styleId="IntenseEmphasis">
    <w:name w:val="Intense Emphasis"/>
    <w:basedOn w:val="DefaultParagraphFont"/>
    <w:uiPriority w:val="21"/>
    <w:qFormat/>
    <w:rsid w:val="00426352"/>
    <w:rPr>
      <w:i/>
      <w:iCs/>
      <w:color w:val="2F5496" w:themeColor="accent1" w:themeShade="BF"/>
    </w:rPr>
  </w:style>
  <w:style w:type="paragraph" w:styleId="IntenseQuote">
    <w:name w:val="Intense Quote"/>
    <w:basedOn w:val="Normal"/>
    <w:next w:val="Normal"/>
    <w:link w:val="IntenseQuoteChar"/>
    <w:uiPriority w:val="30"/>
    <w:qFormat/>
    <w:rsid w:val="004263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6352"/>
    <w:rPr>
      <w:i/>
      <w:iCs/>
      <w:color w:val="2F5496" w:themeColor="accent1" w:themeShade="BF"/>
    </w:rPr>
  </w:style>
  <w:style w:type="character" w:styleId="IntenseReference">
    <w:name w:val="Intense Reference"/>
    <w:basedOn w:val="DefaultParagraphFont"/>
    <w:uiPriority w:val="32"/>
    <w:qFormat/>
    <w:rsid w:val="00426352"/>
    <w:rPr>
      <w:b/>
      <w:bCs/>
      <w:smallCaps/>
      <w:color w:val="2F5496" w:themeColor="accent1" w:themeShade="BF"/>
      <w:spacing w:val="5"/>
    </w:rPr>
  </w:style>
  <w:style w:type="character" w:customStyle="1" w:styleId="apple-converted-space">
    <w:name w:val="apple-converted-space"/>
    <w:basedOn w:val="DefaultParagraphFont"/>
    <w:rsid w:val="00426352"/>
  </w:style>
  <w:style w:type="paragraph" w:customStyle="1" w:styleId="p1">
    <w:name w:val="p1"/>
    <w:basedOn w:val="Normal"/>
    <w:rsid w:val="00D60AEB"/>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D60AEB"/>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D60AEB"/>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1209</Words>
  <Characters>6893</Characters>
  <Application>Microsoft Office Word</Application>
  <DocSecurity>0</DocSecurity>
  <Lines>57</Lines>
  <Paragraphs>16</Paragraphs>
  <ScaleCrop>false</ScaleCrop>
  <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Hail</dc:creator>
  <cp:keywords/>
  <dc:description/>
  <cp:lastModifiedBy>V Hail</cp:lastModifiedBy>
  <cp:revision>2</cp:revision>
  <dcterms:created xsi:type="dcterms:W3CDTF">2026-03-09T14:02:00Z</dcterms:created>
  <dcterms:modified xsi:type="dcterms:W3CDTF">2026-03-09T14:02:00Z</dcterms:modified>
</cp:coreProperties>
</file>